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AF0280" w14:textId="1F5A5053" w:rsidR="00831723" w:rsidRPr="00831723" w:rsidRDefault="007A4F7D" w:rsidP="00831723">
      <w:pPr>
        <w:spacing w:line="360" w:lineRule="auto"/>
        <w:jc w:val="center"/>
        <w:rPr>
          <w:rFonts w:cs="Times New Roman"/>
          <w:b/>
          <w:bCs/>
          <w:sz w:val="28"/>
          <w:szCs w:val="28"/>
        </w:rPr>
      </w:pPr>
      <w:r>
        <w:rPr>
          <w:rFonts w:cs="Times New Roman"/>
          <w:b/>
          <w:bCs/>
          <w:sz w:val="28"/>
          <w:szCs w:val="28"/>
        </w:rPr>
        <w:t xml:space="preserve">EDUCAÇÃO SUPERIOR, TRABALHO E </w:t>
      </w:r>
      <w:r w:rsidR="00831723" w:rsidRPr="00831723">
        <w:rPr>
          <w:rFonts w:cs="Times New Roman"/>
          <w:b/>
          <w:bCs/>
          <w:sz w:val="28"/>
          <w:szCs w:val="28"/>
        </w:rPr>
        <w:t xml:space="preserve">DESENVOLVIMENTO REGIONAL: um estudo da Região Geográfica Imediata </w:t>
      </w:r>
      <w:r w:rsidR="00831723">
        <w:rPr>
          <w:rFonts w:cs="Times New Roman"/>
          <w:b/>
          <w:bCs/>
          <w:sz w:val="28"/>
          <w:szCs w:val="28"/>
        </w:rPr>
        <w:t>d</w:t>
      </w:r>
      <w:r w:rsidR="00831723" w:rsidRPr="00831723">
        <w:rPr>
          <w:rFonts w:cs="Times New Roman"/>
          <w:b/>
          <w:bCs/>
          <w:sz w:val="28"/>
          <w:szCs w:val="28"/>
        </w:rPr>
        <w:t>e Pau Dos Ferros</w:t>
      </w:r>
    </w:p>
    <w:p w14:paraId="24083C1A" w14:textId="77777777" w:rsidR="00F50004" w:rsidRDefault="00F50004">
      <w:pPr>
        <w:spacing w:line="360" w:lineRule="auto"/>
        <w:jc w:val="center"/>
        <w:rPr>
          <w:rFonts w:cs="Times New Roman"/>
          <w:sz w:val="28"/>
          <w:szCs w:val="28"/>
        </w:rPr>
      </w:pPr>
    </w:p>
    <w:p w14:paraId="24083C1B" w14:textId="77777777" w:rsidR="00F50004" w:rsidRDefault="004018DB" w:rsidP="00E61136">
      <w:pPr>
        <w:pStyle w:val="Ttulo"/>
        <w:ind w:firstLine="0"/>
        <w:jc w:val="both"/>
        <w:rPr>
          <w:rFonts w:ascii="Times New Roman" w:hAnsi="Times New Roman"/>
          <w:sz w:val="24"/>
        </w:rPr>
      </w:pPr>
      <w:r>
        <w:rPr>
          <w:rFonts w:ascii="Times New Roman" w:hAnsi="Times New Roman"/>
          <w:sz w:val="24"/>
        </w:rPr>
        <w:t>RESUMO</w:t>
      </w:r>
    </w:p>
    <w:p w14:paraId="0F15E4DA" w14:textId="2ABCFEC5" w:rsidR="00240B3F" w:rsidRPr="00240B3F" w:rsidRDefault="00AC76C6" w:rsidP="00240B3F">
      <w:pPr>
        <w:ind w:firstLine="0"/>
        <w:rPr>
          <w:rFonts w:cs="Times New Roman"/>
          <w:bCs/>
          <w:szCs w:val="24"/>
        </w:rPr>
      </w:pPr>
      <w:r>
        <w:rPr>
          <w:rFonts w:cs="Times New Roman"/>
          <w:bCs/>
          <w:szCs w:val="24"/>
        </w:rPr>
        <w:t>O presente artigo tem com</w:t>
      </w:r>
      <w:r w:rsidR="00240B3F" w:rsidRPr="00240B3F">
        <w:rPr>
          <w:rFonts w:cs="Times New Roman"/>
          <w:bCs/>
          <w:szCs w:val="24"/>
        </w:rPr>
        <w:t xml:space="preserve">o objetivo analisar a inserção dos ocupados </w:t>
      </w:r>
      <w:r w:rsidR="00972B28">
        <w:rPr>
          <w:rFonts w:cs="Times New Roman"/>
          <w:bCs/>
          <w:szCs w:val="24"/>
        </w:rPr>
        <w:t xml:space="preserve">com ensino </w:t>
      </w:r>
      <w:r w:rsidR="00240B3F" w:rsidRPr="00240B3F">
        <w:rPr>
          <w:rFonts w:cs="Times New Roman"/>
          <w:bCs/>
          <w:szCs w:val="24"/>
        </w:rPr>
        <w:t>superior</w:t>
      </w:r>
      <w:r w:rsidR="00972B28">
        <w:rPr>
          <w:rFonts w:cs="Times New Roman"/>
          <w:bCs/>
          <w:szCs w:val="24"/>
        </w:rPr>
        <w:t xml:space="preserve"> completo</w:t>
      </w:r>
      <w:r w:rsidR="00240B3F" w:rsidRPr="00240B3F">
        <w:rPr>
          <w:rFonts w:cs="Times New Roman"/>
          <w:bCs/>
          <w:szCs w:val="24"/>
        </w:rPr>
        <w:t xml:space="preserve"> no mercado formal da R.G.I. de Pau dos Ferros e as implicações para o desenvolvimento regional. Para o alcance do objetivo proposto fez-se uso de um estudo bibliográfico, documental e uma análise de dados secundários a partir, principalmente, das informações da Relação Anual de Informações Sociais (RAIS), no período compreendido entre 2009 e 2019. Os resultados encontrados mostraram que houve um aumento na quantidade de trabalhadores formais com ensino superior completo</w:t>
      </w:r>
      <w:r>
        <w:rPr>
          <w:rFonts w:cs="Times New Roman"/>
          <w:bCs/>
          <w:szCs w:val="24"/>
        </w:rPr>
        <w:t xml:space="preserve"> na região e</w:t>
      </w:r>
      <w:r w:rsidR="00240B3F" w:rsidRPr="00240B3F">
        <w:rPr>
          <w:rFonts w:cs="Times New Roman"/>
          <w:bCs/>
          <w:szCs w:val="24"/>
        </w:rPr>
        <w:t xml:space="preserve"> que os ocupados mais bem remunerados foram os que apresentaram níveis mais altos de escolaridade.</w:t>
      </w:r>
    </w:p>
    <w:p w14:paraId="20AEF08F" w14:textId="77777777" w:rsidR="00240B3F" w:rsidRDefault="00240B3F" w:rsidP="00240B3F">
      <w:pPr>
        <w:ind w:firstLine="0"/>
        <w:rPr>
          <w:rFonts w:cs="Times New Roman"/>
          <w:bCs/>
          <w:szCs w:val="24"/>
        </w:rPr>
      </w:pPr>
    </w:p>
    <w:p w14:paraId="2D94BAEC" w14:textId="75113317" w:rsidR="00E85288" w:rsidRPr="00E85288" w:rsidRDefault="004018DB" w:rsidP="00E85288">
      <w:pPr>
        <w:spacing w:line="360" w:lineRule="auto"/>
        <w:ind w:firstLine="0"/>
        <w:rPr>
          <w:rFonts w:cs="Times New Roman"/>
          <w:b/>
          <w:bCs/>
          <w:szCs w:val="24"/>
        </w:rPr>
      </w:pPr>
      <w:r>
        <w:rPr>
          <w:rFonts w:cs="Times New Roman"/>
          <w:b/>
          <w:bCs/>
          <w:szCs w:val="24"/>
        </w:rPr>
        <w:t>Palavras- chave</w:t>
      </w:r>
      <w:r>
        <w:rPr>
          <w:rFonts w:cs="Times New Roman"/>
          <w:szCs w:val="24"/>
        </w:rPr>
        <w:t xml:space="preserve">: </w:t>
      </w:r>
      <w:r w:rsidR="00972B28">
        <w:rPr>
          <w:rFonts w:cs="Times New Roman"/>
          <w:szCs w:val="24"/>
        </w:rPr>
        <w:t>Escolaridade</w:t>
      </w:r>
      <w:r w:rsidR="00972B28" w:rsidRPr="00E85288">
        <w:rPr>
          <w:rFonts w:cs="Times New Roman"/>
          <w:szCs w:val="24"/>
        </w:rPr>
        <w:t>;</w:t>
      </w:r>
      <w:r w:rsidR="00972B28">
        <w:rPr>
          <w:rFonts w:cs="Times New Roman"/>
          <w:szCs w:val="24"/>
        </w:rPr>
        <w:t xml:space="preserve"> Trabalho</w:t>
      </w:r>
      <w:r w:rsidR="00972B28" w:rsidRPr="00E85288">
        <w:rPr>
          <w:rFonts w:cs="Times New Roman"/>
          <w:szCs w:val="24"/>
        </w:rPr>
        <w:t xml:space="preserve">; Pau </w:t>
      </w:r>
      <w:r w:rsidR="00972B28">
        <w:rPr>
          <w:rFonts w:cs="Times New Roman"/>
          <w:szCs w:val="24"/>
        </w:rPr>
        <w:t>d</w:t>
      </w:r>
      <w:r w:rsidR="00972B28" w:rsidRPr="00E85288">
        <w:rPr>
          <w:rFonts w:cs="Times New Roman"/>
          <w:szCs w:val="24"/>
        </w:rPr>
        <w:t>os Ferros; Desenvolvimento Regional</w:t>
      </w:r>
      <w:r w:rsidR="00E85288" w:rsidRPr="00E85288">
        <w:rPr>
          <w:rFonts w:cs="Times New Roman"/>
          <w:szCs w:val="24"/>
        </w:rPr>
        <w:t>.</w:t>
      </w:r>
    </w:p>
    <w:p w14:paraId="24083C1E" w14:textId="3DD3B86A" w:rsidR="00F50004" w:rsidRDefault="00F50004">
      <w:pPr>
        <w:spacing w:line="360" w:lineRule="auto"/>
        <w:rPr>
          <w:rFonts w:cs="Times New Roman"/>
          <w:szCs w:val="24"/>
        </w:rPr>
      </w:pPr>
    </w:p>
    <w:p w14:paraId="24083C20" w14:textId="7D0DC4CB" w:rsidR="00F50004" w:rsidRDefault="004018DB" w:rsidP="00514F26">
      <w:pPr>
        <w:spacing w:line="360" w:lineRule="auto"/>
        <w:ind w:firstLine="0"/>
        <w:rPr>
          <w:rFonts w:cs="Times New Roman"/>
          <w:szCs w:val="24"/>
        </w:rPr>
      </w:pPr>
      <w:r>
        <w:rPr>
          <w:rFonts w:cs="Times New Roman"/>
          <w:b/>
          <w:bCs/>
          <w:szCs w:val="24"/>
        </w:rPr>
        <w:t>GT N</w:t>
      </w:r>
      <w:r w:rsidR="00362FD0">
        <w:rPr>
          <w:rFonts w:cs="Times New Roman"/>
          <w:b/>
          <w:bCs/>
          <w:szCs w:val="24"/>
        </w:rPr>
        <w:t>º</w:t>
      </w:r>
      <w:r>
        <w:rPr>
          <w:rFonts w:cs="Times New Roman"/>
          <w:b/>
          <w:bCs/>
          <w:szCs w:val="24"/>
        </w:rPr>
        <w:t xml:space="preserve"> </w:t>
      </w:r>
      <w:r w:rsidR="00362FD0">
        <w:rPr>
          <w:rFonts w:cs="Times New Roman"/>
          <w:b/>
          <w:bCs/>
          <w:szCs w:val="24"/>
        </w:rPr>
        <w:t>03</w:t>
      </w:r>
      <w:r>
        <w:rPr>
          <w:rFonts w:cs="Times New Roman"/>
          <w:szCs w:val="24"/>
        </w:rPr>
        <w:t xml:space="preserve">: </w:t>
      </w:r>
      <w:r w:rsidR="00362FD0" w:rsidRPr="00514F26">
        <w:rPr>
          <w:rFonts w:cs="Times New Roman"/>
          <w:szCs w:val="24"/>
        </w:rPr>
        <w:t>DINÂMICAS SOCIOECONÔMICAS DO TERRITÓRIO</w:t>
      </w:r>
    </w:p>
    <w:p w14:paraId="66F22EFC" w14:textId="77777777" w:rsidR="00514F26" w:rsidRDefault="00514F26" w:rsidP="00514F26">
      <w:pPr>
        <w:spacing w:line="360" w:lineRule="auto"/>
        <w:ind w:firstLine="0"/>
        <w:rPr>
          <w:rFonts w:cs="Times New Roman"/>
          <w:szCs w:val="24"/>
        </w:rPr>
      </w:pPr>
    </w:p>
    <w:p w14:paraId="5E0F24BE" w14:textId="0B554D12" w:rsidR="00605421" w:rsidRDefault="004018DB" w:rsidP="00605421">
      <w:pPr>
        <w:spacing w:line="360" w:lineRule="auto"/>
        <w:ind w:firstLine="0"/>
        <w:rPr>
          <w:rFonts w:cs="Times New Roman"/>
          <w:b/>
          <w:bCs/>
          <w:szCs w:val="24"/>
        </w:rPr>
      </w:pPr>
      <w:r>
        <w:rPr>
          <w:rFonts w:cs="Times New Roman"/>
          <w:b/>
          <w:bCs/>
          <w:szCs w:val="24"/>
        </w:rPr>
        <w:t>1</w:t>
      </w:r>
      <w:r w:rsidR="00605421">
        <w:rPr>
          <w:rFonts w:cs="Times New Roman"/>
          <w:b/>
          <w:bCs/>
          <w:szCs w:val="24"/>
        </w:rPr>
        <w:t xml:space="preserve"> </w:t>
      </w:r>
      <w:r>
        <w:rPr>
          <w:rFonts w:cs="Times New Roman"/>
          <w:b/>
          <w:bCs/>
          <w:szCs w:val="24"/>
        </w:rPr>
        <w:t>INTRODUÇÃO</w:t>
      </w:r>
    </w:p>
    <w:p w14:paraId="465D43A4" w14:textId="77777777" w:rsidR="00E85288" w:rsidRPr="00E85288" w:rsidRDefault="00E85288" w:rsidP="00E85288">
      <w:pPr>
        <w:ind w:firstLine="708"/>
        <w:rPr>
          <w:rFonts w:cs="Times New Roman"/>
        </w:rPr>
      </w:pPr>
      <w:r w:rsidRPr="00E85288">
        <w:rPr>
          <w:rFonts w:cs="Times New Roman"/>
        </w:rPr>
        <w:t>Uma população com níveis mais elevados de escolaridade é fator fundamental para o desenvolvimento econômico regional. No Brasil, devido ao modo como se deu o processo de ocupação econômica do território, algumas regiões do país ficaram à margem do acesso às instituições produtoras de conhecimento. Os frutos desse processo refletem-se em várias singularidades que moldaram essas regiões. Baixos níveis de escolaridade da população, baixa produtividade do trabalho e nociva distribuição de renda entre as regiões são algumas das heranças advindas dessa heterogeneidade regional do acesso à educação superior.</w:t>
      </w:r>
    </w:p>
    <w:p w14:paraId="02F8D5BB" w14:textId="77777777" w:rsidR="00E85288" w:rsidRPr="00E85288" w:rsidRDefault="00E85288" w:rsidP="00E85288">
      <w:pPr>
        <w:ind w:firstLine="708"/>
        <w:rPr>
          <w:rFonts w:cs="Times New Roman"/>
        </w:rPr>
      </w:pPr>
      <w:r w:rsidRPr="00E85288">
        <w:rPr>
          <w:rFonts w:cs="Times New Roman"/>
        </w:rPr>
        <w:t xml:space="preserve">Na primeira quinzena do século XXI, o Brasil passou por um forte processo de expansão do ensino superior, onde a interiorização das Instituições de Ensino Superior (IES) foi fator de destaque. Esse processo possibilitou que as pessoas residentes em regiões periféricas e desprivilegiadas economicamente tivessem acesso à educação superior. A chegada de IES nessas regiões geram vários estímulos ao desenvolvimento regional, como já demostrado em vários trabalhos, tais como: </w:t>
      </w:r>
      <w:proofErr w:type="spellStart"/>
      <w:r w:rsidRPr="00E85288">
        <w:rPr>
          <w:rFonts w:cs="Times New Roman"/>
        </w:rPr>
        <w:t>Faveri</w:t>
      </w:r>
      <w:proofErr w:type="spellEnd"/>
      <w:r w:rsidRPr="00E85288">
        <w:rPr>
          <w:rFonts w:cs="Times New Roman"/>
        </w:rPr>
        <w:t xml:space="preserve">; </w:t>
      </w:r>
      <w:proofErr w:type="spellStart"/>
      <w:r w:rsidRPr="00E85288">
        <w:rPr>
          <w:rFonts w:cs="Times New Roman"/>
        </w:rPr>
        <w:t>Patterini</w:t>
      </w:r>
      <w:proofErr w:type="spellEnd"/>
      <w:r w:rsidRPr="00E85288">
        <w:rPr>
          <w:rFonts w:cs="Times New Roman"/>
        </w:rPr>
        <w:t xml:space="preserve">; Barbosa (2018); </w:t>
      </w:r>
      <w:proofErr w:type="spellStart"/>
      <w:r w:rsidRPr="00E85288">
        <w:rPr>
          <w:rFonts w:cs="Times New Roman"/>
        </w:rPr>
        <w:t>Niquito</w:t>
      </w:r>
      <w:proofErr w:type="spellEnd"/>
      <w:r w:rsidRPr="00E85288">
        <w:rPr>
          <w:rFonts w:cs="Times New Roman"/>
        </w:rPr>
        <w:t xml:space="preserve">; Ribeiro; Portugal. (2018); </w:t>
      </w:r>
      <w:proofErr w:type="spellStart"/>
      <w:r w:rsidRPr="00E85288">
        <w:rPr>
          <w:rFonts w:cs="Times New Roman"/>
        </w:rPr>
        <w:t>Bizerril</w:t>
      </w:r>
      <w:proofErr w:type="spellEnd"/>
      <w:r w:rsidRPr="00E85288">
        <w:rPr>
          <w:rFonts w:cs="Times New Roman"/>
        </w:rPr>
        <w:t xml:space="preserve"> (2020).</w:t>
      </w:r>
    </w:p>
    <w:p w14:paraId="1F2C10AC" w14:textId="77777777" w:rsidR="00E85288" w:rsidRPr="00E85288" w:rsidRDefault="00E85288" w:rsidP="00E85288">
      <w:pPr>
        <w:ind w:firstLine="708"/>
        <w:rPr>
          <w:rFonts w:cs="Times New Roman"/>
        </w:rPr>
      </w:pPr>
      <w:r w:rsidRPr="00E85288">
        <w:rPr>
          <w:rFonts w:cs="Times New Roman"/>
        </w:rPr>
        <w:t>A Região Geográfica Imediata de Pau dos Ferros (R.G.I. de Pau dos Ferros), no estado do Rio Grande do Norte (Figura 1), participou ativamente do processo de interiorização. Pau dos Ferros, município polo dessa região</w:t>
      </w:r>
      <w:r w:rsidRPr="00E85288">
        <w:rPr>
          <w:rFonts w:cs="Times New Roman"/>
          <w:vertAlign w:val="superscript"/>
        </w:rPr>
        <w:footnoteReference w:id="1"/>
      </w:r>
      <w:r w:rsidRPr="00E85288">
        <w:rPr>
          <w:rFonts w:cs="Times New Roman"/>
        </w:rPr>
        <w:t xml:space="preserve">, que já contava desde 1976 com um </w:t>
      </w:r>
      <w:r w:rsidRPr="00E85288">
        <w:rPr>
          <w:rFonts w:cs="Times New Roman"/>
          <w:i/>
          <w:iCs/>
        </w:rPr>
        <w:t xml:space="preserve">Campus </w:t>
      </w:r>
      <w:r w:rsidRPr="00E85288">
        <w:rPr>
          <w:rFonts w:cs="Times New Roman"/>
        </w:rPr>
        <w:t xml:space="preserve">da </w:t>
      </w:r>
      <w:r w:rsidRPr="00E85288">
        <w:rPr>
          <w:rFonts w:cs="Times New Roman"/>
        </w:rPr>
        <w:lastRenderedPageBreak/>
        <w:t xml:space="preserve">Universidade do Estado do Rio Grande do Norte (UERN), ao receber duas IES, o Instituto Federal de Educação, Ciência e Tecnologia do Rio Grande do Norte (IFRN) e a Universidade Federal Rural do </w:t>
      </w:r>
      <w:proofErr w:type="spellStart"/>
      <w:r w:rsidRPr="00E85288">
        <w:rPr>
          <w:rFonts w:cs="Times New Roman"/>
        </w:rPr>
        <w:t>Semi-Árido</w:t>
      </w:r>
      <w:proofErr w:type="spellEnd"/>
      <w:r w:rsidRPr="00E85288">
        <w:rPr>
          <w:rFonts w:cs="Times New Roman"/>
        </w:rPr>
        <w:t xml:space="preserve"> (UFERSA) tornou-se um ponto central de oferta de ensino superior no estado potiguar, propiciando novos impulsos ao desenvolvimento econômico da região.</w:t>
      </w:r>
    </w:p>
    <w:p w14:paraId="2A9123FE" w14:textId="77777777" w:rsidR="00E85288" w:rsidRPr="00E85288" w:rsidRDefault="00E85288" w:rsidP="00E85288">
      <w:pPr>
        <w:ind w:firstLine="708"/>
        <w:rPr>
          <w:rFonts w:cs="Times New Roman"/>
        </w:rPr>
      </w:pPr>
      <w:r w:rsidRPr="00E85288">
        <w:rPr>
          <w:rFonts w:cs="Times New Roman"/>
          <w:b/>
          <w:bCs/>
        </w:rPr>
        <w:t xml:space="preserve">Figura </w:t>
      </w:r>
      <w:r w:rsidRPr="00E85288">
        <w:rPr>
          <w:rFonts w:cs="Times New Roman"/>
          <w:b/>
          <w:bCs/>
        </w:rPr>
        <w:fldChar w:fldCharType="begin"/>
      </w:r>
      <w:r w:rsidRPr="00E85288">
        <w:rPr>
          <w:rFonts w:cs="Times New Roman"/>
          <w:b/>
          <w:bCs/>
        </w:rPr>
        <w:instrText xml:space="preserve"> SEQ Figura \* ARABIC </w:instrText>
      </w:r>
      <w:r w:rsidRPr="00E85288">
        <w:rPr>
          <w:rFonts w:cs="Times New Roman"/>
          <w:b/>
          <w:bCs/>
        </w:rPr>
        <w:fldChar w:fldCharType="separate"/>
      </w:r>
      <w:r w:rsidRPr="00E85288">
        <w:rPr>
          <w:rFonts w:cs="Times New Roman"/>
          <w:b/>
          <w:bCs/>
        </w:rPr>
        <w:t>1</w:t>
      </w:r>
      <w:r w:rsidRPr="00E85288">
        <w:rPr>
          <w:rFonts w:cs="Times New Roman"/>
        </w:rPr>
        <w:fldChar w:fldCharType="end"/>
      </w:r>
      <w:r w:rsidRPr="00E85288">
        <w:rPr>
          <w:rFonts w:cs="Times New Roman"/>
        </w:rPr>
        <w:t>: Mapa da Região Geográfica Imediata de Pau dos Ferros, 2021</w:t>
      </w:r>
    </w:p>
    <w:p w14:paraId="1D1E9E45" w14:textId="412C0725" w:rsidR="00E85288" w:rsidRPr="00E85288" w:rsidRDefault="00360D5D" w:rsidP="00E85288">
      <w:pPr>
        <w:ind w:firstLine="0"/>
        <w:jc w:val="left"/>
        <w:rPr>
          <w:rFonts w:cs="Times New Roman"/>
        </w:rPr>
      </w:pPr>
      <w:r>
        <w:rPr>
          <w:rFonts w:cs="Times New Roman"/>
          <w:noProof/>
        </w:rPr>
        <w:drawing>
          <wp:inline distT="0" distB="0" distL="0" distR="0" wp14:anchorId="511AE830" wp14:editId="7E92571B">
            <wp:extent cx="5760244" cy="4071791"/>
            <wp:effectExtent l="0" t="0" r="0" b="5080"/>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m 10"/>
                    <pic:cNvPicPr/>
                  </pic:nvPicPr>
                  <pic:blipFill>
                    <a:blip r:embed="rId8">
                      <a:extLst>
                        <a:ext uri="{28A0092B-C50C-407E-A947-70E740481C1C}">
                          <a14:useLocalDpi xmlns:a14="http://schemas.microsoft.com/office/drawing/2010/main" val="0"/>
                        </a:ext>
                      </a:extLst>
                    </a:blip>
                    <a:stretch>
                      <a:fillRect/>
                    </a:stretch>
                  </pic:blipFill>
                  <pic:spPr>
                    <a:xfrm>
                      <a:off x="0" y="0"/>
                      <a:ext cx="5760244" cy="4071791"/>
                    </a:xfrm>
                    <a:prstGeom prst="rect">
                      <a:avLst/>
                    </a:prstGeom>
                  </pic:spPr>
                </pic:pic>
              </a:graphicData>
            </a:graphic>
          </wp:inline>
        </w:drawing>
      </w:r>
    </w:p>
    <w:p w14:paraId="3AAA6C1F" w14:textId="77777777" w:rsidR="00E85288" w:rsidRPr="00E85288" w:rsidRDefault="00E85288" w:rsidP="00E85288">
      <w:pPr>
        <w:ind w:firstLine="0"/>
        <w:rPr>
          <w:rFonts w:cs="Times New Roman"/>
          <w:sz w:val="22"/>
        </w:rPr>
      </w:pPr>
      <w:r w:rsidRPr="00E85288">
        <w:rPr>
          <w:rFonts w:cs="Times New Roman"/>
          <w:b/>
          <w:bCs/>
          <w:sz w:val="22"/>
        </w:rPr>
        <w:t>Fonte:</w:t>
      </w:r>
      <w:r w:rsidRPr="00E85288">
        <w:rPr>
          <w:rFonts w:cs="Times New Roman"/>
          <w:sz w:val="22"/>
        </w:rPr>
        <w:t xml:space="preserve"> Base cartográfica (IBGE, 2019). Elaborado pelos autores.</w:t>
      </w:r>
    </w:p>
    <w:p w14:paraId="3702BDCD" w14:textId="77777777" w:rsidR="00E85288" w:rsidRPr="00E85288" w:rsidRDefault="00E85288" w:rsidP="00E85288">
      <w:pPr>
        <w:ind w:firstLine="708"/>
        <w:rPr>
          <w:rFonts w:cs="Times New Roman"/>
        </w:rPr>
      </w:pPr>
    </w:p>
    <w:p w14:paraId="7F382175" w14:textId="77777777" w:rsidR="00E85288" w:rsidRPr="00E85288" w:rsidRDefault="00E85288" w:rsidP="00E85288">
      <w:pPr>
        <w:ind w:firstLine="708"/>
        <w:rPr>
          <w:rFonts w:cs="Times New Roman"/>
        </w:rPr>
      </w:pPr>
      <w:r w:rsidRPr="00E85288">
        <w:rPr>
          <w:rFonts w:cs="Times New Roman"/>
        </w:rPr>
        <w:t xml:space="preserve">A R.G.I. de Pau dos Ferros é composta de 34 municípios sendo eles: Água Nova, Alexandria, Almino Afonso, Antônio Martins, Coronel João Pessoa, Doutor Severiano, Encanto, Francisco Dantas, Frutuoso Gomes, João Dias, José da Penha, Lucrécia, Luís Gomes, Major Sales, Marcelino Vieira, Martins, Olho-d’água do Borges, Paraná, Patu, Pau dos Ferros, Pilões, Portalegre, Rafael Fernandes, Rafael </w:t>
      </w:r>
      <w:proofErr w:type="spellStart"/>
      <w:r w:rsidRPr="00E85288">
        <w:rPr>
          <w:rFonts w:cs="Times New Roman"/>
        </w:rPr>
        <w:t>Godeiro</w:t>
      </w:r>
      <w:proofErr w:type="spellEnd"/>
      <w:r w:rsidRPr="00E85288">
        <w:rPr>
          <w:rFonts w:cs="Times New Roman"/>
        </w:rPr>
        <w:t xml:space="preserve">, Riacho da Cruz, Riacho de Santana, São Francisco do Oeste, São Miguel, Serrinha dos Pintos, </w:t>
      </w:r>
      <w:proofErr w:type="spellStart"/>
      <w:r w:rsidRPr="00E85288">
        <w:rPr>
          <w:rFonts w:cs="Times New Roman"/>
        </w:rPr>
        <w:t>Taboleiro</w:t>
      </w:r>
      <w:proofErr w:type="spellEnd"/>
      <w:r w:rsidRPr="00E85288">
        <w:rPr>
          <w:rFonts w:cs="Times New Roman"/>
        </w:rPr>
        <w:t xml:space="preserve"> Grande, Tenente Ananias, Umarizal, Venha-Ver, Viçosa (IBGE, 2021).</w:t>
      </w:r>
    </w:p>
    <w:p w14:paraId="27688A5B" w14:textId="77777777" w:rsidR="00E85288" w:rsidRPr="00E85288" w:rsidRDefault="00E85288" w:rsidP="00E85288">
      <w:pPr>
        <w:ind w:firstLine="708"/>
        <w:rPr>
          <w:rFonts w:cs="Times New Roman"/>
        </w:rPr>
      </w:pPr>
      <w:r w:rsidRPr="00E85288">
        <w:rPr>
          <w:rFonts w:cs="Times New Roman"/>
        </w:rPr>
        <w:t xml:space="preserve">Do ponto de vista geoeconômico a região não dispõe de muitas potencialidades naturais; não tem reservas extrativas como na região do Seridó; não possui grandes reservatórios d’água </w:t>
      </w:r>
      <w:r w:rsidRPr="00E85288">
        <w:rPr>
          <w:rFonts w:cs="Times New Roman"/>
        </w:rPr>
        <w:lastRenderedPageBreak/>
        <w:t xml:space="preserve">para desenvolvimento da fruticultura; a produção agrícola manteve-se basicamente de subsistência, não suprindo de modo satisfatório nem as feiras-livres locais; a produção têxtil na região é de pequena expressão e o incentivo ao “turismo de interior” é uma atividade recente (anos 2000) </w:t>
      </w:r>
      <w:r w:rsidRPr="00E85288">
        <w:rPr>
          <w:rFonts w:cs="Times New Roman"/>
        </w:rPr>
        <w:fldChar w:fldCharType="begin" w:fldLock="1"/>
      </w:r>
      <w:r w:rsidRPr="00E85288">
        <w:rPr>
          <w:rFonts w:cs="Times New Roman"/>
        </w:rPr>
        <w:instrText>ADDIN CSL_CITATION {"citationItems":[{"id":"ITEM-1","itemData":{"author":[{"dropping-particle":"de","family":"Souza","given":"Ronie Cleber","non-dropping-particle":"","parse-names":false,"suffix":""}],"id":"ITEM-1","issued":{"date-parts":[["2019"]]},"number-of-pages":"192","publisher":"Universidade Estadual de Campinas","title":"O Papel Do Gasto Público Na Interiorização Do Urbano No Semiárido Nordestino: O Caso De Pau Dos Ferros-Rn E De Sua Região Após 2000","type":"thesis"},"uris":["http://www.mendeley.com/documents/?uuid=21b71cdc-2681-42a7-9c6e-5cfebdae7ec6"]}],"mendeley":{"formattedCitation":"(SOUZA, 2019)","plainTextFormattedCitation":"(SOUZA, 2019)","previouslyFormattedCitation":"(SOUZA, 2019)"},"properties":{"noteIndex":0},"schema":"https://github.com/citation-style-language/schema/raw/master/csl-citation.json"}</w:instrText>
      </w:r>
      <w:r w:rsidRPr="00E85288">
        <w:rPr>
          <w:rFonts w:cs="Times New Roman"/>
        </w:rPr>
        <w:fldChar w:fldCharType="separate"/>
      </w:r>
      <w:r w:rsidRPr="00E85288">
        <w:rPr>
          <w:rFonts w:cs="Times New Roman"/>
        </w:rPr>
        <w:t>(SOUZA, 2019)</w:t>
      </w:r>
      <w:r w:rsidRPr="00E85288">
        <w:rPr>
          <w:rFonts w:cs="Times New Roman"/>
        </w:rPr>
        <w:fldChar w:fldCharType="end"/>
      </w:r>
      <w:r w:rsidRPr="00E85288">
        <w:rPr>
          <w:rFonts w:cs="Times New Roman"/>
        </w:rPr>
        <w:t xml:space="preserve">. </w:t>
      </w:r>
    </w:p>
    <w:p w14:paraId="70907A7B" w14:textId="77777777" w:rsidR="00E85288" w:rsidRPr="00E85288" w:rsidRDefault="00E85288" w:rsidP="00E85288">
      <w:pPr>
        <w:ind w:firstLine="708"/>
        <w:rPr>
          <w:rFonts w:cs="Times New Roman"/>
        </w:rPr>
      </w:pPr>
      <w:r w:rsidRPr="00E85288">
        <w:rPr>
          <w:rFonts w:cs="Times New Roman"/>
        </w:rPr>
        <w:t xml:space="preserve">O Produto Interno Bruto (PIB) da região é composto em grande parte pelo terciário, em média, 87% do total do Valor Adicionado Bruto (VAB). Sendo que, a parte mais significativa do terciário é a do setor público (administração pública, saúde, educação e seguridade social). Enquanto isso, a agropecuária e a indústria participam apenas com pequena parte </w:t>
      </w:r>
      <w:r w:rsidRPr="00E85288">
        <w:rPr>
          <w:rFonts w:cs="Times New Roman"/>
        </w:rPr>
        <w:fldChar w:fldCharType="begin" w:fldLock="1"/>
      </w:r>
      <w:r w:rsidRPr="00E85288">
        <w:rPr>
          <w:rFonts w:cs="Times New Roman"/>
        </w:rPr>
        <w:instrText>ADDIN CSL_CITATION {"citationItems":[{"id":"ITEM-1","itemData":{"author":[{"dropping-particle":"de","family":"Souza","given":"Ronie Cleber","non-dropping-particle":"","parse-names":false,"suffix":""}],"id":"ITEM-1","issued":{"date-parts":[["2019"]]},"number-of-pages":"192","publisher":"Universidade Estadual de Campinas","title":"O Papel Do Gasto Público Na Interiorização Do Urbano No Semiárido Nordestino: O Caso De Pau Dos Ferros-Rn E De Sua Região Após 2000","type":"thesis"},"uris":["http://www.mendeley.com/documents/?uuid=21b71cdc-2681-42a7-9c6e-5cfebdae7ec6"]}],"mendeley":{"formattedCitation":"(SOUZA, 2019)","plainTextFormattedCitation":"(SOUZA, 2019)","previouslyFormattedCitation":"(SOUZA, 2019)"},"properties":{"noteIndex":0},"schema":"https://github.com/citation-style-language/schema/raw/master/csl-citation.json"}</w:instrText>
      </w:r>
      <w:r w:rsidRPr="00E85288">
        <w:rPr>
          <w:rFonts w:cs="Times New Roman"/>
        </w:rPr>
        <w:fldChar w:fldCharType="separate"/>
      </w:r>
      <w:r w:rsidRPr="00E85288">
        <w:rPr>
          <w:rFonts w:cs="Times New Roman"/>
        </w:rPr>
        <w:t>(SOUZA, 2019)</w:t>
      </w:r>
      <w:r w:rsidRPr="00E85288">
        <w:rPr>
          <w:rFonts w:cs="Times New Roman"/>
        </w:rPr>
        <w:fldChar w:fldCharType="end"/>
      </w:r>
      <w:r w:rsidRPr="00E85288">
        <w:rPr>
          <w:rFonts w:cs="Times New Roman"/>
        </w:rPr>
        <w:t>.</w:t>
      </w:r>
    </w:p>
    <w:p w14:paraId="71B7AE14" w14:textId="77777777" w:rsidR="00E85288" w:rsidRPr="00E85288" w:rsidRDefault="00E85288" w:rsidP="00E85288">
      <w:pPr>
        <w:ind w:firstLine="708"/>
        <w:rPr>
          <w:rFonts w:cs="Times New Roman"/>
        </w:rPr>
      </w:pPr>
      <w:r w:rsidRPr="00E85288">
        <w:rPr>
          <w:rFonts w:cs="Times New Roman"/>
        </w:rPr>
        <w:t>Nesse contexto, é de significativa importância compreender a inserção dos trabalhadores com ensino superior completo no mercado de trabalho, tendo em vista o impacto disso no aumento da produtividade e dos rendimentos dos ocupados. Em uma região com as características da R.G.I. de Pau dos Ferros, fatores como maior produtividade do trabalho, melhores salários que implica em melhores condições de vida, mais consumo e mais produção, são indispensáveis para o desenvolvimento regional.</w:t>
      </w:r>
    </w:p>
    <w:p w14:paraId="57F2563B" w14:textId="547487F9" w:rsidR="00271A8D" w:rsidRPr="00271A8D" w:rsidRDefault="00271A8D" w:rsidP="00271A8D">
      <w:pPr>
        <w:ind w:firstLine="708"/>
        <w:rPr>
          <w:rFonts w:cs="Times New Roman"/>
        </w:rPr>
      </w:pPr>
      <w:r>
        <w:rPr>
          <w:rFonts w:cs="Times New Roman"/>
        </w:rPr>
        <w:t>Diante disso</w:t>
      </w:r>
      <w:r w:rsidR="00E85288" w:rsidRPr="00E85288">
        <w:rPr>
          <w:rFonts w:cs="Times New Roman"/>
        </w:rPr>
        <w:t xml:space="preserve">, o objetivo do presente trabalho é </w:t>
      </w:r>
      <w:r w:rsidR="007F1396" w:rsidRPr="007F1396">
        <w:rPr>
          <w:rFonts w:cs="Times New Roman"/>
          <w:bCs/>
        </w:rPr>
        <w:t xml:space="preserve">o objetivo do presente trabalho é analisar a </w:t>
      </w:r>
      <w:r w:rsidR="00972B28" w:rsidRPr="00972B28">
        <w:rPr>
          <w:rFonts w:cs="Times New Roman"/>
          <w:bCs/>
        </w:rPr>
        <w:t>inserção dos ocupados com ensino superior completo no mercado formal da R.G.I. de Pau dos Ferros e as implicações para o desenvolvimento regional</w:t>
      </w:r>
      <w:r w:rsidR="00E85288" w:rsidRPr="00E85288">
        <w:rPr>
          <w:rFonts w:cs="Times New Roman"/>
        </w:rPr>
        <w:t xml:space="preserve">. </w:t>
      </w:r>
      <w:r>
        <w:rPr>
          <w:rFonts w:cs="Times New Roman"/>
        </w:rPr>
        <w:t>P</w:t>
      </w:r>
      <w:r w:rsidRPr="00271A8D">
        <w:rPr>
          <w:rFonts w:cs="Times New Roman"/>
        </w:rPr>
        <w:t>arte-se do pressuposto de que o aumento do nível de escolaridade da população adulta da R.G.I. de Pau dos Ferros, a partir das IES instaladas, vem qualificando os trabalhadores que se inserem no mercado de trabalho regional, elevando os rendimentos desses e assim contribuindo para o desenvolvimento regional.</w:t>
      </w:r>
    </w:p>
    <w:p w14:paraId="01D5C3A0" w14:textId="4032C964" w:rsidR="00E85288" w:rsidRDefault="00271A8D" w:rsidP="00E85288">
      <w:pPr>
        <w:ind w:firstLine="708"/>
        <w:rPr>
          <w:rFonts w:cs="Times New Roman"/>
        </w:rPr>
      </w:pPr>
      <w:r>
        <w:rPr>
          <w:rFonts w:cs="Times New Roman"/>
        </w:rPr>
        <w:t xml:space="preserve">O texto está organizado em quatro seções, incluindo esta introdução. </w:t>
      </w:r>
      <w:r w:rsidR="00ED0A2E">
        <w:rPr>
          <w:rFonts w:cs="Times New Roman"/>
        </w:rPr>
        <w:t>A</w:t>
      </w:r>
      <w:r>
        <w:rPr>
          <w:rFonts w:cs="Times New Roman"/>
        </w:rPr>
        <w:t xml:space="preserve"> seção seguinte trata-se </w:t>
      </w:r>
      <w:r w:rsidR="00ED0A2E">
        <w:rPr>
          <w:rFonts w:cs="Times New Roman"/>
        </w:rPr>
        <w:t>de apresentar</w:t>
      </w:r>
      <w:r w:rsidR="00301161">
        <w:rPr>
          <w:rFonts w:cs="Times New Roman"/>
        </w:rPr>
        <w:t xml:space="preserve"> </w:t>
      </w:r>
      <w:r w:rsidR="00301161">
        <w:t>o método utilizado para a condução da pesquisa. A terceira seção</w:t>
      </w:r>
      <w:r w:rsidR="00ED0A2E">
        <w:t>, de referencial teórico,</w:t>
      </w:r>
      <w:r w:rsidR="00301161">
        <w:t xml:space="preserve"> está dividida em três subseções. Na primeira subseção procura-se </w:t>
      </w:r>
      <w:r w:rsidR="000F5609">
        <w:t>evidenciar</w:t>
      </w:r>
      <w:r w:rsidR="00301161">
        <w:t xml:space="preserve"> as interfaces existentes entre a formação de recursos humanos qualificados e o desenvolvimento econômico</w:t>
      </w:r>
      <w:r w:rsidR="000F5609">
        <w:t xml:space="preserve">. </w:t>
      </w:r>
      <w:r w:rsidR="003E7D38">
        <w:t>A</w:t>
      </w:r>
      <w:r w:rsidR="000F5609">
        <w:t xml:space="preserve"> segunda examina as relações existentes entre níveis mais altos de escolaridade e renda para o desenvolvimento regional brasileiro. Na terceira subseção são realizadas algumas considerações acerca da expansão e interiorização do ensino superior no Brasil, haja vista, que as discussões sobre o aumento da escolaridade da população só foi possível graças a esse processo de ampliação das IES e, consequentemente, das oportunidades de acesso à educação superior. </w:t>
      </w:r>
      <w:r w:rsidR="00ED0A2E">
        <w:t xml:space="preserve">Finalmente, na quarta seção, apresentam-se os resultados e discussões da pesquisa. </w:t>
      </w:r>
      <w:r w:rsidR="000F5609">
        <w:t xml:space="preserve">   </w:t>
      </w:r>
    </w:p>
    <w:p w14:paraId="24083C25" w14:textId="77777777" w:rsidR="00F50004" w:rsidRDefault="00F50004">
      <w:pPr>
        <w:rPr>
          <w:rFonts w:cs="Times New Roman"/>
          <w:szCs w:val="24"/>
        </w:rPr>
      </w:pPr>
    </w:p>
    <w:p w14:paraId="24083C26" w14:textId="4B443725" w:rsidR="00F50004" w:rsidRDefault="004018DB" w:rsidP="00605421">
      <w:pPr>
        <w:ind w:firstLine="0"/>
        <w:rPr>
          <w:rFonts w:cs="Times New Roman"/>
          <w:b/>
          <w:bCs/>
          <w:szCs w:val="24"/>
        </w:rPr>
      </w:pPr>
      <w:r>
        <w:rPr>
          <w:rFonts w:cs="Times New Roman"/>
          <w:b/>
          <w:bCs/>
          <w:szCs w:val="24"/>
        </w:rPr>
        <w:t>2 ASPECTOS METODOLÓGICOS</w:t>
      </w:r>
    </w:p>
    <w:p w14:paraId="13046DD8" w14:textId="77777777" w:rsidR="00E85288" w:rsidRDefault="00E85288">
      <w:pPr>
        <w:rPr>
          <w:rFonts w:cs="Times New Roman"/>
          <w:szCs w:val="24"/>
        </w:rPr>
      </w:pPr>
    </w:p>
    <w:p w14:paraId="30C811B5" w14:textId="77777777" w:rsidR="00E85288" w:rsidRPr="00E85288" w:rsidRDefault="00E85288" w:rsidP="00E85288">
      <w:pPr>
        <w:ind w:firstLine="708"/>
        <w:rPr>
          <w:rFonts w:cs="Times New Roman"/>
          <w:szCs w:val="24"/>
        </w:rPr>
      </w:pPr>
      <w:r w:rsidRPr="00E85288">
        <w:rPr>
          <w:rFonts w:cs="Times New Roman"/>
          <w:szCs w:val="24"/>
        </w:rPr>
        <w:t>Para obter os resultados e respostas acerca do problema de pesquisa apresentado neste trabalho, fez-se uso de uma pesquisa bibliográfica e documental e uma análise quantitativa dos dados.</w:t>
      </w:r>
    </w:p>
    <w:p w14:paraId="065C2745" w14:textId="0B634D4C" w:rsidR="00E85288" w:rsidRPr="00E85288" w:rsidRDefault="00E85288" w:rsidP="00E85288">
      <w:pPr>
        <w:ind w:firstLine="708"/>
        <w:rPr>
          <w:rFonts w:cs="Times New Roman"/>
          <w:szCs w:val="24"/>
        </w:rPr>
      </w:pPr>
      <w:r w:rsidRPr="00E85288">
        <w:rPr>
          <w:rFonts w:cs="Times New Roman"/>
          <w:szCs w:val="24"/>
        </w:rPr>
        <w:t xml:space="preserve">Inicialmente, com a finalidade de dar suporte teórico ao estudo foram utilizados alguns autores que elaboraram ideias e pressupostos de significativa importância para o tema proposto. Fez-se uso dos seguintes teóricos: Amartya </w:t>
      </w:r>
      <w:proofErr w:type="spellStart"/>
      <w:r w:rsidRPr="00E85288">
        <w:rPr>
          <w:rFonts w:cs="Times New Roman"/>
          <w:szCs w:val="24"/>
        </w:rPr>
        <w:t>Sen</w:t>
      </w:r>
      <w:proofErr w:type="spellEnd"/>
      <w:r w:rsidRPr="00E85288">
        <w:rPr>
          <w:rFonts w:cs="Times New Roman"/>
          <w:szCs w:val="24"/>
        </w:rPr>
        <w:t xml:space="preserve"> (20</w:t>
      </w:r>
      <w:r w:rsidR="00BF61E1">
        <w:rPr>
          <w:rFonts w:cs="Times New Roman"/>
          <w:szCs w:val="24"/>
        </w:rPr>
        <w:t>1</w:t>
      </w:r>
      <w:r w:rsidRPr="00E85288">
        <w:rPr>
          <w:rFonts w:cs="Times New Roman"/>
          <w:szCs w:val="24"/>
        </w:rPr>
        <w:t xml:space="preserve">0), Celso Furtado (2002), Albert </w:t>
      </w:r>
      <w:proofErr w:type="spellStart"/>
      <w:r w:rsidRPr="00E85288">
        <w:rPr>
          <w:rFonts w:cs="Times New Roman"/>
          <w:szCs w:val="24"/>
        </w:rPr>
        <w:t>Hirschman</w:t>
      </w:r>
      <w:proofErr w:type="spellEnd"/>
      <w:r w:rsidRPr="00E85288">
        <w:rPr>
          <w:rFonts w:cs="Times New Roman"/>
          <w:szCs w:val="24"/>
        </w:rPr>
        <w:t xml:space="preserve"> (1961) e Gunnar Myrdal (1960). Além disso, outras fontes secundárias como trabalhos acadêmicos, artigos, livros e bancos de dados, como por exemplo do Instituto Brasileiro de Geografia e Estatística (IBGE) e do Instituto Nacional de Estudos e Pesquisas </w:t>
      </w:r>
      <w:r w:rsidRPr="00E85288">
        <w:rPr>
          <w:rFonts w:cs="Times New Roman"/>
          <w:szCs w:val="24"/>
        </w:rPr>
        <w:lastRenderedPageBreak/>
        <w:t>Educacionais Anísio Teixeira (INEP) foram utilizados com a finalidade de extrair o máximo de informações que dessem suporte a consecução dos objetivos proposto.</w:t>
      </w:r>
    </w:p>
    <w:p w14:paraId="185B45BB" w14:textId="2637CD83" w:rsidR="00E85288" w:rsidRPr="00E85288" w:rsidRDefault="00E85288" w:rsidP="00E85288">
      <w:pPr>
        <w:ind w:firstLine="708"/>
        <w:rPr>
          <w:rFonts w:cs="Times New Roman"/>
          <w:szCs w:val="24"/>
        </w:rPr>
      </w:pPr>
      <w:r w:rsidRPr="00E85288">
        <w:rPr>
          <w:rFonts w:cs="Times New Roman"/>
          <w:szCs w:val="24"/>
        </w:rPr>
        <w:t>O estudo teve caráter essencialmente quantitativo, com ênfase em estudos documenta</w:t>
      </w:r>
      <w:r w:rsidR="005C53D9">
        <w:rPr>
          <w:rFonts w:cs="Times New Roman"/>
          <w:szCs w:val="24"/>
        </w:rPr>
        <w:t>is</w:t>
      </w:r>
      <w:r w:rsidRPr="00E85288">
        <w:rPr>
          <w:rFonts w:cs="Times New Roman"/>
          <w:szCs w:val="24"/>
        </w:rPr>
        <w:t xml:space="preserve">. A principal fonte da pesquisa foram os dados da Relação Anual de Informações Sociais (RAIS), do Ministério do Trabalho e Emprego (TEM). Ainda que restrita ao mercado formal de trabalho, a RAIS apresenta informações bastante ricas sobre a parcela de trabalhadores aqui analisada. </w:t>
      </w:r>
    </w:p>
    <w:p w14:paraId="008ECB3D" w14:textId="77777777" w:rsidR="00E85288" w:rsidRPr="00E85288" w:rsidRDefault="00E85288" w:rsidP="00E85288">
      <w:pPr>
        <w:ind w:firstLine="708"/>
        <w:rPr>
          <w:rFonts w:cs="Times New Roman"/>
          <w:szCs w:val="24"/>
        </w:rPr>
      </w:pPr>
      <w:r w:rsidRPr="00E85288">
        <w:rPr>
          <w:rFonts w:cs="Times New Roman"/>
          <w:szCs w:val="24"/>
        </w:rPr>
        <w:t>As variáveis selecionadas para analisar a inserção do trabalhador com ensino superior completo foram: a) total de trabalhadores formais com ensino superior completo b) ocupados com ensino superior por município; c) remuneração em salários mínimos por nível de escolaridade; d) atividade econômica de alocação dos trabalhadores com ensino superior completo; e) sexo e faixa etária dos ocupados. Com a finalidade de observar o comportamento dessas variáveis utilizou-se um recorte de dez anos (2009-2019).</w:t>
      </w:r>
    </w:p>
    <w:p w14:paraId="01178E66" w14:textId="49F14F5F" w:rsidR="00E85288" w:rsidRPr="00E85288" w:rsidRDefault="00E85288" w:rsidP="00E85288">
      <w:pPr>
        <w:ind w:firstLine="708"/>
        <w:rPr>
          <w:rFonts w:cs="Times New Roman"/>
          <w:szCs w:val="24"/>
        </w:rPr>
      </w:pPr>
      <w:r w:rsidRPr="00E85288">
        <w:rPr>
          <w:rFonts w:cs="Times New Roman"/>
          <w:szCs w:val="24"/>
        </w:rPr>
        <w:t>Nesse estudo, entende-se como trabalhador com ensino superior completo, aquele que possui a partir dess</w:t>
      </w:r>
      <w:r w:rsidR="005C53D9">
        <w:rPr>
          <w:rFonts w:cs="Times New Roman"/>
          <w:szCs w:val="24"/>
        </w:rPr>
        <w:t>e nível de</w:t>
      </w:r>
      <w:r w:rsidRPr="00E85288">
        <w:rPr>
          <w:rFonts w:cs="Times New Roman"/>
          <w:szCs w:val="24"/>
        </w:rPr>
        <w:t xml:space="preserve"> escolaridade, sendo também considerados os mestres, doutores e pós-doutores.</w:t>
      </w:r>
    </w:p>
    <w:p w14:paraId="24083C28" w14:textId="303EC90B" w:rsidR="00F50004" w:rsidRDefault="00E85288" w:rsidP="00E85288">
      <w:pPr>
        <w:ind w:firstLine="708"/>
        <w:rPr>
          <w:rFonts w:cs="Times New Roman"/>
          <w:szCs w:val="24"/>
        </w:rPr>
      </w:pPr>
      <w:r w:rsidRPr="00E85288">
        <w:rPr>
          <w:rFonts w:cs="Times New Roman"/>
          <w:szCs w:val="24"/>
        </w:rPr>
        <w:t>Os dados coletados foram tabulados no programa Microsoft Excel 2016 e para análise e apresentação dos dados, foram elaborados tabelas e gráficos, de forma que se permita uma melhor visualização das informações. O tratamento dos dados se deu via cálculo de estatísticas descritivas e cálculos elementares, tais como média, proporção e obtenção de taxas de crescimento em porcentagem, de maneira a avaliar a evolução dos indicadores. Foram ordenados para fins de evidenciar os principais indicadores, de forma que permitam inferir sobre a relação escolaridade e desenvolvimento na área de estudo.</w:t>
      </w:r>
    </w:p>
    <w:p w14:paraId="73B381C3" w14:textId="4885FCB7" w:rsidR="00605421" w:rsidRDefault="00605421" w:rsidP="00605421">
      <w:pPr>
        <w:ind w:firstLine="0"/>
        <w:rPr>
          <w:rFonts w:cs="Times New Roman"/>
          <w:szCs w:val="24"/>
        </w:rPr>
      </w:pPr>
    </w:p>
    <w:p w14:paraId="573CE174" w14:textId="1CA76946" w:rsidR="00605421" w:rsidRPr="00605421" w:rsidRDefault="00605421" w:rsidP="00605421">
      <w:pPr>
        <w:ind w:firstLine="0"/>
        <w:rPr>
          <w:rFonts w:cs="Times New Roman"/>
          <w:b/>
          <w:bCs/>
          <w:szCs w:val="24"/>
        </w:rPr>
      </w:pPr>
      <w:r w:rsidRPr="00605421">
        <w:rPr>
          <w:rFonts w:cs="Times New Roman"/>
          <w:b/>
          <w:bCs/>
          <w:szCs w:val="24"/>
        </w:rPr>
        <w:t>3 REFERENCIAL TEÓRICO</w:t>
      </w:r>
    </w:p>
    <w:p w14:paraId="24083C2A" w14:textId="77777777" w:rsidR="00F50004" w:rsidRDefault="00F50004">
      <w:pPr>
        <w:rPr>
          <w:rFonts w:cs="Times New Roman"/>
          <w:szCs w:val="24"/>
        </w:rPr>
      </w:pPr>
    </w:p>
    <w:p w14:paraId="796085A9" w14:textId="6C4E214B" w:rsidR="007F0609" w:rsidRDefault="00605421" w:rsidP="00605421">
      <w:pPr>
        <w:ind w:firstLine="0"/>
        <w:rPr>
          <w:rFonts w:cs="Times New Roman"/>
          <w:b/>
          <w:bCs/>
          <w:szCs w:val="24"/>
        </w:rPr>
      </w:pPr>
      <w:r>
        <w:rPr>
          <w:rFonts w:cs="Times New Roman"/>
          <w:b/>
          <w:bCs/>
          <w:szCs w:val="24"/>
        </w:rPr>
        <w:t>3.1 R</w:t>
      </w:r>
      <w:r w:rsidRPr="007F0609">
        <w:rPr>
          <w:rFonts w:cs="Times New Roman"/>
          <w:b/>
          <w:bCs/>
          <w:szCs w:val="24"/>
        </w:rPr>
        <w:t>ecursos humanos qualificados como fator de desenvolvimento</w:t>
      </w:r>
    </w:p>
    <w:p w14:paraId="0C6018CF" w14:textId="77777777" w:rsidR="00605421" w:rsidRPr="007F0609" w:rsidRDefault="00605421" w:rsidP="00605421">
      <w:pPr>
        <w:ind w:firstLine="0"/>
        <w:rPr>
          <w:rFonts w:cs="Times New Roman"/>
          <w:b/>
          <w:bCs/>
          <w:szCs w:val="24"/>
        </w:rPr>
      </w:pPr>
    </w:p>
    <w:p w14:paraId="49EEFA1E" w14:textId="77777777" w:rsidR="007F0609" w:rsidRPr="007F0609" w:rsidRDefault="007F0609" w:rsidP="007F0609">
      <w:pPr>
        <w:ind w:firstLine="708"/>
        <w:rPr>
          <w:rFonts w:cs="Times New Roman"/>
          <w:szCs w:val="24"/>
        </w:rPr>
      </w:pPr>
      <w:r w:rsidRPr="007F0609">
        <w:rPr>
          <w:rFonts w:cs="Times New Roman"/>
          <w:szCs w:val="24"/>
        </w:rPr>
        <w:t xml:space="preserve">À luz dos teóricos do desenvolvimento a qualificação educacional da população é fator condicionante para o processo de desenvolvimento regional. Nessa perspectiva, a formação de recursos humanos é um vetor determinante para a redução das disparidades regionais. De forma que, o aumento das habilitações, a acumulação de conhecimento e o consequente domínio de ferramentas tecnológicas tornam-se fatores indispensáveis na equalização de oportunidades sociais e econômicas. </w:t>
      </w:r>
    </w:p>
    <w:p w14:paraId="6FFE20FF" w14:textId="3B8EFC35" w:rsidR="007F0609" w:rsidRPr="007F0609" w:rsidRDefault="007F0609" w:rsidP="007F0609">
      <w:pPr>
        <w:ind w:firstLine="708"/>
        <w:rPr>
          <w:rFonts w:cs="Times New Roman"/>
          <w:szCs w:val="24"/>
        </w:rPr>
      </w:pPr>
      <w:r w:rsidRPr="007F0609">
        <w:rPr>
          <w:rFonts w:cs="Times New Roman"/>
          <w:szCs w:val="24"/>
        </w:rPr>
        <w:t xml:space="preserve">Importantes teóricos da Economia do Desenvolvimento como </w:t>
      </w:r>
      <w:proofErr w:type="spellStart"/>
      <w:r w:rsidRPr="007F0609">
        <w:rPr>
          <w:rFonts w:cs="Times New Roman"/>
          <w:szCs w:val="24"/>
        </w:rPr>
        <w:t>Sen</w:t>
      </w:r>
      <w:proofErr w:type="spellEnd"/>
      <w:r w:rsidRPr="007F0609">
        <w:rPr>
          <w:rFonts w:cs="Times New Roman"/>
          <w:szCs w:val="24"/>
        </w:rPr>
        <w:t xml:space="preserve"> (20</w:t>
      </w:r>
      <w:r w:rsidR="00BF61E1">
        <w:rPr>
          <w:rFonts w:cs="Times New Roman"/>
          <w:szCs w:val="24"/>
        </w:rPr>
        <w:t>1</w:t>
      </w:r>
      <w:r w:rsidRPr="007F0609">
        <w:rPr>
          <w:rFonts w:cs="Times New Roman"/>
          <w:szCs w:val="24"/>
        </w:rPr>
        <w:t xml:space="preserve">0), Furtado (2002), </w:t>
      </w:r>
      <w:proofErr w:type="spellStart"/>
      <w:r w:rsidRPr="007F0609">
        <w:rPr>
          <w:rFonts w:cs="Times New Roman"/>
          <w:szCs w:val="24"/>
        </w:rPr>
        <w:t>Hirschman</w:t>
      </w:r>
      <w:proofErr w:type="spellEnd"/>
      <w:r w:rsidRPr="007F0609">
        <w:rPr>
          <w:rFonts w:cs="Times New Roman"/>
          <w:szCs w:val="24"/>
        </w:rPr>
        <w:t xml:space="preserve"> </w:t>
      </w:r>
      <w:r w:rsidRPr="007F0609">
        <w:rPr>
          <w:rFonts w:cs="Times New Roman"/>
          <w:szCs w:val="24"/>
        </w:rPr>
        <w:fldChar w:fldCharType="begin" w:fldLock="1"/>
      </w:r>
      <w:r w:rsidRPr="007F0609">
        <w:rPr>
          <w:rFonts w:cs="Times New Roman"/>
          <w:szCs w:val="24"/>
        </w:rPr>
        <w:instrText>ADDIN CSL_CITATION {"citationItems":[{"id":"ITEM-1","itemData":{"author":[{"dropping-particle":"","family":"HIRSCHMAN","given":"A. O.","non-dropping-particle":"","parse-names":false,"suffix":""}],"id":"ITEM-1","issued":{"date-parts":[["1961"]]},"publisher":"Editora Fundo de Cultura S. A.","publisher-place":"Rio de Janeiro","title":"Estratégia do Desenvolvimento Econômico” Editora Fundo de Cultura S. A.","type":"book"},"suppress-author":1,"uris":["http://www.mendeley.com/documents/?uuid=bb0b11cf-18fd-47f2-b898-8dcb4babd4f3"]}],"mendeley":{"formattedCitation":"(1961)","plainTextFormattedCitation":"(1961)","previouslyFormattedCitation":"(1961)"},"properties":{"noteIndex":0},"schema":"https://github.com/citation-style-language/schema/raw/master/csl-citation.json"}</w:instrText>
      </w:r>
      <w:r w:rsidRPr="007F0609">
        <w:rPr>
          <w:rFonts w:cs="Times New Roman"/>
          <w:szCs w:val="24"/>
        </w:rPr>
        <w:fldChar w:fldCharType="separate"/>
      </w:r>
      <w:r w:rsidRPr="007F0609">
        <w:rPr>
          <w:rFonts w:cs="Times New Roman"/>
          <w:szCs w:val="24"/>
        </w:rPr>
        <w:t>(1961)</w:t>
      </w:r>
      <w:r w:rsidRPr="007F0609">
        <w:rPr>
          <w:rFonts w:cs="Times New Roman"/>
          <w:szCs w:val="24"/>
        </w:rPr>
        <w:fldChar w:fldCharType="end"/>
      </w:r>
      <w:r w:rsidRPr="007F0609">
        <w:rPr>
          <w:rFonts w:cs="Times New Roman"/>
          <w:szCs w:val="24"/>
        </w:rPr>
        <w:t xml:space="preserve"> e Myrdal </w:t>
      </w:r>
      <w:r w:rsidRPr="007F0609">
        <w:rPr>
          <w:rFonts w:cs="Times New Roman"/>
          <w:szCs w:val="24"/>
        </w:rPr>
        <w:fldChar w:fldCharType="begin" w:fldLock="1"/>
      </w:r>
      <w:r w:rsidRPr="007F0609">
        <w:rPr>
          <w:rFonts w:cs="Times New Roman"/>
          <w:szCs w:val="24"/>
        </w:rPr>
        <w:instrText>ADDIN CSL_CITATION {"citationItems":[{"id":"ITEM-1","itemData":{"author":[{"dropping-particle":"","family":"Myrdal","given":"Gunnar","non-dropping-particle":"","parse-names":false,"suffix":""}],"id":"ITEM-1","issued":{"date-parts":[["1960"]]},"number-of-pages":"240","publisher-place":"Rio de Janeiro","title":"Teoria econômica e regiões subdesenvolvidas","type":"book"},"suppress-author":1,"uris":["http://www.mendeley.com/documents/?uuid=d05491f4-7ebe-461f-aa9d-7b188a197c56"]}],"mendeley":{"formattedCitation":"(1960)","plainTextFormattedCitation":"(1960)","previouslyFormattedCitation":"(1960)"},"properties":{"noteIndex":0},"schema":"https://github.com/citation-style-language/schema/raw/master/csl-citation.json"}</w:instrText>
      </w:r>
      <w:r w:rsidRPr="007F0609">
        <w:rPr>
          <w:rFonts w:cs="Times New Roman"/>
          <w:szCs w:val="24"/>
        </w:rPr>
        <w:fldChar w:fldCharType="separate"/>
      </w:r>
      <w:r w:rsidRPr="007F0609">
        <w:rPr>
          <w:rFonts w:cs="Times New Roman"/>
          <w:szCs w:val="24"/>
        </w:rPr>
        <w:t>(1960)</w:t>
      </w:r>
      <w:r w:rsidRPr="007F0609">
        <w:rPr>
          <w:rFonts w:cs="Times New Roman"/>
          <w:szCs w:val="24"/>
        </w:rPr>
        <w:fldChar w:fldCharType="end"/>
      </w:r>
      <w:r w:rsidRPr="007F0609">
        <w:rPr>
          <w:rFonts w:cs="Times New Roman"/>
          <w:szCs w:val="24"/>
        </w:rPr>
        <w:t xml:space="preserve"> destacaram em seus escritos o componente educacional como fator balizador das transformações estruturais almejadas pelas nações. </w:t>
      </w:r>
    </w:p>
    <w:p w14:paraId="0344B726" w14:textId="5C1EE746" w:rsidR="007F0609" w:rsidRPr="007F0609" w:rsidRDefault="007F0609" w:rsidP="007F0609">
      <w:pPr>
        <w:ind w:firstLine="708"/>
        <w:rPr>
          <w:rFonts w:cs="Times New Roman"/>
          <w:szCs w:val="24"/>
        </w:rPr>
      </w:pPr>
      <w:proofErr w:type="spellStart"/>
      <w:r w:rsidRPr="007F0609">
        <w:rPr>
          <w:rFonts w:cs="Times New Roman"/>
          <w:szCs w:val="24"/>
        </w:rPr>
        <w:t>Sen</w:t>
      </w:r>
      <w:proofErr w:type="spellEnd"/>
      <w:r w:rsidRPr="007F0609">
        <w:rPr>
          <w:rFonts w:cs="Times New Roman"/>
          <w:szCs w:val="24"/>
        </w:rPr>
        <w:t xml:space="preserve"> </w:t>
      </w:r>
      <w:r w:rsidRPr="007F0609">
        <w:rPr>
          <w:rFonts w:cs="Times New Roman"/>
          <w:szCs w:val="24"/>
        </w:rPr>
        <w:fldChar w:fldCharType="begin" w:fldLock="1"/>
      </w:r>
      <w:r w:rsidRPr="007F0609">
        <w:rPr>
          <w:rFonts w:cs="Times New Roman"/>
          <w:szCs w:val="24"/>
        </w:rPr>
        <w:instrText>ADDIN CSL_CITATION {"citationItems":[{"id":"ITEM-1","itemData":{"abstract":"Predicting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approach.","author":[{"dropping-particle":"","family":"Sen","given":"Amartya","non-dropping-particle":"","parse-names":false,"suffix":""}],"editor":[{"dropping-particle":"","family":"Companhia das Letras","given":"","non-dropping-particle":"","parse-names":false,"suffix":""}],"id":"ITEM-1","issued":{"date-parts":[["2000"]]},"number-of-pages":"386","publisher-place":"São Paulo","title":"Desenvlvimento como liberdade","type":"book"},"suppress-author":1,"uris":["http://www.mendeley.com/documents/?uuid=cf5488cf-779a-4d6a-ae5d-8a07474cbb19"]}],"mendeley":{"formattedCitation":"(2000)","plainTextFormattedCitation":"(2000)","previouslyFormattedCitation":"(2000)"},"properties":{"noteIndex":0},"schema":"https://github.com/citation-style-language/schema/raw/master/csl-citation.json"}</w:instrText>
      </w:r>
      <w:r w:rsidRPr="007F0609">
        <w:rPr>
          <w:rFonts w:cs="Times New Roman"/>
          <w:szCs w:val="24"/>
        </w:rPr>
        <w:fldChar w:fldCharType="separate"/>
      </w:r>
      <w:r w:rsidRPr="007F0609">
        <w:rPr>
          <w:rFonts w:cs="Times New Roman"/>
          <w:szCs w:val="24"/>
        </w:rPr>
        <w:t>(20</w:t>
      </w:r>
      <w:r w:rsidR="00BF61E1">
        <w:rPr>
          <w:rFonts w:cs="Times New Roman"/>
          <w:szCs w:val="24"/>
        </w:rPr>
        <w:t>1</w:t>
      </w:r>
      <w:r w:rsidRPr="007F0609">
        <w:rPr>
          <w:rFonts w:cs="Times New Roman"/>
          <w:szCs w:val="24"/>
        </w:rPr>
        <w:t>0)</w:t>
      </w:r>
      <w:r w:rsidRPr="007F0609">
        <w:rPr>
          <w:rFonts w:cs="Times New Roman"/>
          <w:szCs w:val="24"/>
        </w:rPr>
        <w:fldChar w:fldCharType="end"/>
      </w:r>
      <w:r w:rsidRPr="007F0609">
        <w:rPr>
          <w:rFonts w:cs="Times New Roman"/>
          <w:szCs w:val="24"/>
        </w:rPr>
        <w:t xml:space="preserve"> ao ver o desenvolvimento como expansão de liberdades, argumenta que é preciso privilegiar as capacidades dos agentes para a remoção das principais fontes de privação e opressão, a saber: pobreza e tirania, carência de oportunidades econômicas e destituição social sistemática, negligência dos serviços públicos e intolerância ou interferência excessiva de Estados repressivos. Nesse sentido, o autor atribui significativa relevância as oportunidades sociais (acesso à serviços básicos de saúde e educação) cujos benefícios proporcionam uma vida melhor para os indivíduos. </w:t>
      </w:r>
    </w:p>
    <w:p w14:paraId="7E32DE7B" w14:textId="77777777" w:rsidR="007F0609" w:rsidRPr="007F0609" w:rsidRDefault="007F0609" w:rsidP="007F0609">
      <w:pPr>
        <w:ind w:firstLine="708"/>
        <w:rPr>
          <w:rFonts w:cs="Times New Roman"/>
          <w:szCs w:val="24"/>
        </w:rPr>
      </w:pPr>
      <w:r w:rsidRPr="007F0609">
        <w:rPr>
          <w:rFonts w:cs="Times New Roman"/>
          <w:szCs w:val="24"/>
        </w:rPr>
        <w:lastRenderedPageBreak/>
        <w:t xml:space="preserve">O papel da educação no desenvolvimento em Amartya </w:t>
      </w:r>
      <w:proofErr w:type="spellStart"/>
      <w:r w:rsidRPr="007F0609">
        <w:rPr>
          <w:rFonts w:cs="Times New Roman"/>
          <w:szCs w:val="24"/>
        </w:rPr>
        <w:t>Sen</w:t>
      </w:r>
      <w:proofErr w:type="spellEnd"/>
      <w:r w:rsidRPr="007F0609">
        <w:rPr>
          <w:rFonts w:cs="Times New Roman"/>
          <w:szCs w:val="24"/>
        </w:rPr>
        <w:t xml:space="preserve"> pode ser entendido por meio de três óticas: </w:t>
      </w:r>
      <w:r w:rsidRPr="007F0609">
        <w:rPr>
          <w:rFonts w:cs="Times New Roman"/>
          <w:i/>
          <w:iCs/>
          <w:szCs w:val="24"/>
        </w:rPr>
        <w:t xml:space="preserve">i) </w:t>
      </w:r>
      <w:r w:rsidRPr="007F0609">
        <w:rPr>
          <w:rFonts w:cs="Times New Roman"/>
          <w:szCs w:val="24"/>
        </w:rPr>
        <w:t xml:space="preserve">como uma forma de liberdade que o indivíduo deseja e à qual dá valor; </w:t>
      </w:r>
      <w:proofErr w:type="spellStart"/>
      <w:r w:rsidRPr="007F0609">
        <w:rPr>
          <w:rFonts w:cs="Times New Roman"/>
          <w:i/>
          <w:iCs/>
          <w:szCs w:val="24"/>
        </w:rPr>
        <w:t>ii</w:t>
      </w:r>
      <w:proofErr w:type="spellEnd"/>
      <w:r w:rsidRPr="007F0609">
        <w:rPr>
          <w:rFonts w:cs="Times New Roman"/>
          <w:i/>
          <w:iCs/>
          <w:szCs w:val="24"/>
        </w:rPr>
        <w:t>)</w:t>
      </w:r>
      <w:r w:rsidRPr="007F0609">
        <w:rPr>
          <w:rFonts w:cs="Times New Roman"/>
          <w:szCs w:val="24"/>
        </w:rPr>
        <w:t xml:space="preserve"> pela educação o indivíduo está eliminando um tipo de privação que o impossibilita de desfrutar de uma vida plena e ela contribui ainda para a promoção de outros tipos de liberdade; </w:t>
      </w:r>
      <w:proofErr w:type="spellStart"/>
      <w:r w:rsidRPr="007F0609">
        <w:rPr>
          <w:rFonts w:cs="Times New Roman"/>
          <w:i/>
          <w:iCs/>
          <w:szCs w:val="24"/>
        </w:rPr>
        <w:t>iii</w:t>
      </w:r>
      <w:proofErr w:type="spellEnd"/>
      <w:r w:rsidRPr="007F0609">
        <w:rPr>
          <w:rFonts w:cs="Times New Roman"/>
          <w:i/>
          <w:iCs/>
          <w:szCs w:val="24"/>
        </w:rPr>
        <w:t xml:space="preserve">) </w:t>
      </w:r>
      <w:r w:rsidRPr="007F0609">
        <w:rPr>
          <w:rFonts w:cs="Times New Roman"/>
          <w:szCs w:val="24"/>
        </w:rPr>
        <w:t xml:space="preserve">a educação aumenta o potencial do indivíduo de realizar outros desejos, pois, o nível de escolaridade é um dos determinantes da posição de uma pessoa no mercado de trabalho, com rebatimentos na renda ao longo da vida (WALTENBERG; MARTINS, 2020).  </w:t>
      </w:r>
    </w:p>
    <w:p w14:paraId="008DFEF0" w14:textId="77777777" w:rsidR="007F0609" w:rsidRPr="007F0609" w:rsidRDefault="007F0609" w:rsidP="007F0609">
      <w:pPr>
        <w:ind w:firstLine="708"/>
        <w:rPr>
          <w:rFonts w:cs="Times New Roman"/>
          <w:szCs w:val="24"/>
        </w:rPr>
      </w:pPr>
      <w:r w:rsidRPr="007F0609">
        <w:rPr>
          <w:rFonts w:cs="Times New Roman"/>
          <w:szCs w:val="24"/>
        </w:rPr>
        <w:t>Furtado (2002) também reconhece o papel determinante da educação e a consequente formação de recursos humanos qualificados no processo de desenvolvimento. Nas palavras do autor "a educação interfere no tempo, e, melhorando-se a qualidade do fator humano, modifica-se por completo o quadro do país, abrem-se possibilidades de desenvolvimento muito maiores" (2002, p. 19). O economista brasileiro ressalta ainda a importância do investimento em educação dizendo que "não há país que tenha conseguido se desenvolver sem investir consideravelmente na formação de gente" (2002, p. 19).</w:t>
      </w:r>
    </w:p>
    <w:p w14:paraId="6279F71B" w14:textId="77777777" w:rsidR="007F0609" w:rsidRPr="007F0609" w:rsidRDefault="007F0609" w:rsidP="007F0609">
      <w:pPr>
        <w:ind w:firstLine="708"/>
        <w:rPr>
          <w:rFonts w:cs="Times New Roman"/>
          <w:szCs w:val="24"/>
        </w:rPr>
      </w:pPr>
      <w:proofErr w:type="spellStart"/>
      <w:r w:rsidRPr="007F0609">
        <w:rPr>
          <w:rFonts w:cs="Times New Roman"/>
          <w:szCs w:val="24"/>
        </w:rPr>
        <w:t>Hirschman</w:t>
      </w:r>
      <w:proofErr w:type="spellEnd"/>
      <w:r w:rsidRPr="007F0609">
        <w:rPr>
          <w:rFonts w:cs="Times New Roman"/>
          <w:szCs w:val="24"/>
        </w:rPr>
        <w:t xml:space="preserve"> </w:t>
      </w:r>
      <w:r w:rsidRPr="007F0609">
        <w:rPr>
          <w:rFonts w:cs="Times New Roman"/>
          <w:szCs w:val="24"/>
        </w:rPr>
        <w:fldChar w:fldCharType="begin" w:fldLock="1"/>
      </w:r>
      <w:r w:rsidRPr="007F0609">
        <w:rPr>
          <w:rFonts w:cs="Times New Roman"/>
          <w:szCs w:val="24"/>
        </w:rPr>
        <w:instrText>ADDIN CSL_CITATION {"citationItems":[{"id":"ITEM-1","itemData":{"author":[{"dropping-particle":"","family":"HIRSCHMAN","given":"A. O.","non-dropping-particle":"","parse-names":false,"suffix":""}],"id":"ITEM-1","issued":{"date-parts":[["1961"]]},"publisher":"Editora Fundo de Cultura S. A.","publisher-place":"Rio de Janeiro","title":"Estratégia do Desenvolvimento Econômico” Editora Fundo de Cultura S. A.","type":"book"},"suppress-author":1,"uris":["http://www.mendeley.com/documents/?uuid=bb0b11cf-18fd-47f2-b898-8dcb4babd4f3"]}],"mendeley":{"formattedCitation":"(1961)","plainTextFormattedCitation":"(1961)","previouslyFormattedCitation":"(1961)"},"properties":{"noteIndex":0},"schema":"https://github.com/citation-style-language/schema/raw/master/csl-citation.json"}</w:instrText>
      </w:r>
      <w:r w:rsidRPr="007F0609">
        <w:rPr>
          <w:rFonts w:cs="Times New Roman"/>
          <w:szCs w:val="24"/>
        </w:rPr>
        <w:fldChar w:fldCharType="separate"/>
      </w:r>
      <w:r w:rsidRPr="007F0609">
        <w:rPr>
          <w:rFonts w:cs="Times New Roman"/>
          <w:szCs w:val="24"/>
        </w:rPr>
        <w:t>(1961)</w:t>
      </w:r>
      <w:r w:rsidRPr="007F0609">
        <w:rPr>
          <w:rFonts w:cs="Times New Roman"/>
          <w:szCs w:val="24"/>
        </w:rPr>
        <w:fldChar w:fldCharType="end"/>
      </w:r>
      <w:r w:rsidRPr="007F0609">
        <w:rPr>
          <w:rFonts w:cs="Times New Roman"/>
          <w:szCs w:val="24"/>
        </w:rPr>
        <w:t xml:space="preserve"> ao analisar o problema do desenvolvimento econômico destaca que por muito tempo os recursos naturais foram os centros das atenções nas discussões sobre  as oportunidades de desenvolvimento de um país. Posteriormente, o capital passou a ser considerado o principal fator de desenvolvimento. Mas, de acordo com o autor a crença na importância estratégica do fator capital foi progressivamente desafiada. Na perspectiva desse economista outros fatores ocuparam posição similar à do capital como condição para a tarefa do desenvolvimento. </w:t>
      </w:r>
    </w:p>
    <w:p w14:paraId="7C09B04E" w14:textId="1D8CB653" w:rsidR="007F0609" w:rsidRDefault="007F0609" w:rsidP="007F0609">
      <w:pPr>
        <w:ind w:firstLine="708"/>
        <w:rPr>
          <w:rFonts w:cs="Times New Roman"/>
          <w:szCs w:val="24"/>
        </w:rPr>
      </w:pPr>
      <w:r w:rsidRPr="007F0609">
        <w:rPr>
          <w:rFonts w:cs="Times New Roman"/>
          <w:szCs w:val="24"/>
        </w:rPr>
        <w:t>No seu dizer:</w:t>
      </w:r>
    </w:p>
    <w:p w14:paraId="3A3B4440" w14:textId="77777777" w:rsidR="007F0609" w:rsidRPr="007F0609" w:rsidRDefault="007F0609" w:rsidP="007F0609">
      <w:pPr>
        <w:ind w:firstLine="708"/>
        <w:rPr>
          <w:rFonts w:cs="Times New Roman"/>
          <w:szCs w:val="24"/>
        </w:rPr>
      </w:pPr>
    </w:p>
    <w:p w14:paraId="1ABDA26A" w14:textId="19B7ACA3" w:rsidR="007F0609" w:rsidRDefault="007F0609" w:rsidP="00360D5D">
      <w:pPr>
        <w:ind w:left="2832" w:firstLine="0"/>
        <w:rPr>
          <w:rFonts w:cs="Times New Roman"/>
          <w:lang w:bidi="pt-PT"/>
        </w:rPr>
      </w:pPr>
      <w:r w:rsidRPr="007F0609">
        <w:rPr>
          <w:rFonts w:cs="Times New Roman"/>
          <w:sz w:val="22"/>
          <w:lang w:bidi="pt-PT"/>
        </w:rPr>
        <w:t>Entre as causas próximas do desenvolvimento econômico, os recursos da capacidade de organização e de direção ocupam atualmente nos documentos oficiais uma posição de preeminência, pelo menos equivalente à do capital. A contribuição proveniente de “</w:t>
      </w:r>
      <w:r w:rsidRPr="007F0609">
        <w:rPr>
          <w:rFonts w:cs="Times New Roman"/>
          <w:i/>
          <w:iCs/>
          <w:sz w:val="22"/>
          <w:lang w:bidi="pt-PT"/>
        </w:rPr>
        <w:t>inputs</w:t>
      </w:r>
      <w:r w:rsidRPr="007F0609">
        <w:rPr>
          <w:rFonts w:cs="Times New Roman"/>
          <w:sz w:val="22"/>
          <w:lang w:bidi="pt-PT"/>
        </w:rPr>
        <w:t>” não-convencionais</w:t>
      </w:r>
      <w:r w:rsidRPr="007F0609">
        <w:rPr>
          <w:rFonts w:cs="Times New Roman"/>
          <w:i/>
          <w:iCs/>
          <w:sz w:val="22"/>
          <w:lang w:bidi="pt-PT"/>
        </w:rPr>
        <w:t xml:space="preserve">, </w:t>
      </w:r>
      <w:r w:rsidRPr="007F0609">
        <w:rPr>
          <w:rFonts w:cs="Times New Roman"/>
          <w:sz w:val="22"/>
          <w:lang w:bidi="pt-PT"/>
        </w:rPr>
        <w:t xml:space="preserve">tais como </w:t>
      </w:r>
      <w:r w:rsidRPr="007F0609">
        <w:rPr>
          <w:rFonts w:cs="Times New Roman"/>
          <w:b/>
          <w:bCs/>
          <w:sz w:val="22"/>
          <w:lang w:bidi="pt-PT"/>
        </w:rPr>
        <w:t>investimento em indivíduos</w:t>
      </w:r>
      <w:r w:rsidRPr="007F0609">
        <w:rPr>
          <w:rFonts w:cs="Times New Roman"/>
          <w:sz w:val="22"/>
          <w:lang w:bidi="pt-PT"/>
        </w:rPr>
        <w:t xml:space="preserve"> como agentes de produção e a introdução de técnicas aperfeiçoadas não incorporadas em bens materiais de produção também se acentuaram </w:t>
      </w:r>
      <w:r w:rsidRPr="007F0609">
        <w:rPr>
          <w:rFonts w:cs="Times New Roman"/>
          <w:sz w:val="22"/>
          <w:lang w:bidi="pt-PT"/>
        </w:rPr>
        <w:fldChar w:fldCharType="begin" w:fldLock="1"/>
      </w:r>
      <w:r w:rsidRPr="007F0609">
        <w:rPr>
          <w:rFonts w:cs="Times New Roman"/>
          <w:sz w:val="22"/>
          <w:lang w:bidi="pt-PT"/>
        </w:rPr>
        <w:instrText>ADDIN CSL_CITATION {"citationItems":[{"id":"ITEM-1","itemData":{"author":[{"dropping-particle":"","family":"HIRSCHMAN","given":"A. O.","non-dropping-particle":"","parse-names":false,"suffix":""}],"id":"ITEM-1","issued":{"date-parts":[["1961"]]},"publisher":"Editora Fundo de Cultura S. A.","publisher-place":"Rio de Janeiro","title":"Estratégia do Desenvolvimento Econômico” Editora Fundo de Cultura S. A.","type":"book"},"locator":"13-14","suffix":", grifo nosso","uris":["http://www.mendeley.com/documents/?uuid=bb0b11cf-18fd-47f2-b898-8dcb4babd4f3"]}],"mendeley":{"formattedCitation":"(HIRSCHMAN, 1961, p. 13–14, grifo nosso)","plainTextFormattedCitation":"(HIRSCHMAN, 1961, p. 13–14, grifo nosso)","previouslyFormattedCitation":"(HIRSCHMAN, 1961, p. 13–14, grifo nosso)"},"properties":{"noteIndex":0},"schema":"https://github.com/citation-style-language/schema/raw/master/csl-citation.json"}</w:instrText>
      </w:r>
      <w:r w:rsidRPr="007F0609">
        <w:rPr>
          <w:rFonts w:cs="Times New Roman"/>
          <w:sz w:val="22"/>
          <w:lang w:bidi="pt-PT"/>
        </w:rPr>
        <w:fldChar w:fldCharType="separate"/>
      </w:r>
      <w:r w:rsidRPr="007F0609">
        <w:rPr>
          <w:rFonts w:cs="Times New Roman"/>
          <w:sz w:val="22"/>
          <w:lang w:bidi="pt-PT"/>
        </w:rPr>
        <w:t>(HIRSCHMAN, 1961, p. 13–14, grifo nosso)</w:t>
      </w:r>
      <w:r w:rsidRPr="007F0609">
        <w:rPr>
          <w:rFonts w:cs="Times New Roman"/>
          <w:sz w:val="22"/>
        </w:rPr>
        <w:fldChar w:fldCharType="end"/>
      </w:r>
      <w:r w:rsidRPr="007F0609">
        <w:rPr>
          <w:rFonts w:cs="Times New Roman"/>
          <w:sz w:val="22"/>
          <w:lang w:bidi="pt-PT"/>
        </w:rPr>
        <w:t>.</w:t>
      </w:r>
    </w:p>
    <w:p w14:paraId="3666B724" w14:textId="77777777" w:rsidR="007F0609" w:rsidRPr="007F0609" w:rsidRDefault="007F0609" w:rsidP="007F0609">
      <w:pPr>
        <w:ind w:left="2832" w:firstLine="0"/>
        <w:rPr>
          <w:rFonts w:cs="Times New Roman"/>
          <w:sz w:val="22"/>
          <w:lang w:bidi="pt-PT"/>
        </w:rPr>
      </w:pPr>
    </w:p>
    <w:p w14:paraId="780C7C92" w14:textId="77777777" w:rsidR="007F0609" w:rsidRPr="007F0609" w:rsidRDefault="007F0609" w:rsidP="007F0609">
      <w:pPr>
        <w:ind w:firstLine="708"/>
        <w:rPr>
          <w:rFonts w:cs="Times New Roman"/>
          <w:szCs w:val="24"/>
        </w:rPr>
      </w:pPr>
      <w:r w:rsidRPr="007F0609">
        <w:rPr>
          <w:rFonts w:cs="Times New Roman"/>
          <w:szCs w:val="24"/>
        </w:rPr>
        <w:t xml:space="preserve">O economista ainda salienta que esses recursos (capacidade de organização e direção) são provavelmente os mais escassos no começo do processo de desenvolvimento. Contudo, são eles que apresentam o maior potencial, pois, podem apresentar o mais rápido progresso e a sua expansão é limitada exclusivamente pelo poder de aprendizagem. </w:t>
      </w:r>
    </w:p>
    <w:p w14:paraId="1213D27F" w14:textId="77777777" w:rsidR="007F0609" w:rsidRPr="007F0609" w:rsidRDefault="007F0609" w:rsidP="007F0609">
      <w:pPr>
        <w:ind w:firstLine="708"/>
        <w:rPr>
          <w:rFonts w:cs="Times New Roman"/>
          <w:szCs w:val="24"/>
        </w:rPr>
      </w:pPr>
      <w:r w:rsidRPr="007F0609">
        <w:rPr>
          <w:rFonts w:cs="Times New Roman"/>
          <w:szCs w:val="24"/>
        </w:rPr>
        <w:t xml:space="preserve">Myrdal </w:t>
      </w:r>
      <w:r w:rsidRPr="007F0609">
        <w:rPr>
          <w:rFonts w:cs="Times New Roman"/>
          <w:szCs w:val="24"/>
        </w:rPr>
        <w:fldChar w:fldCharType="begin" w:fldLock="1"/>
      </w:r>
      <w:r w:rsidRPr="007F0609">
        <w:rPr>
          <w:rFonts w:cs="Times New Roman"/>
          <w:szCs w:val="24"/>
        </w:rPr>
        <w:instrText>ADDIN CSL_CITATION {"citationItems":[{"id":"ITEM-1","itemData":{"author":[{"dropping-particle":"","family":"Myrdal","given":"Gunnar","non-dropping-particle":"","parse-names":false,"suffix":""}],"id":"ITEM-1","issued":{"date-parts":[["1960"]]},"number-of-pages":"240","publisher-place":"Rio de Janeiro","title":"Teoria econômica e regiões subdesenvolvidas","type":"book"},"suppress-author":1,"uris":["http://www.mendeley.com/documents/?uuid=d05491f4-7ebe-461f-aa9d-7b188a197c56"]}],"mendeley":{"formattedCitation":"(1960)","plainTextFormattedCitation":"(1960)","previouslyFormattedCitation":"(1960)"},"properties":{"noteIndex":0},"schema":"https://github.com/citation-style-language/schema/raw/master/csl-citation.json"}</w:instrText>
      </w:r>
      <w:r w:rsidRPr="007F0609">
        <w:rPr>
          <w:rFonts w:cs="Times New Roman"/>
          <w:szCs w:val="24"/>
        </w:rPr>
        <w:fldChar w:fldCharType="separate"/>
      </w:r>
      <w:r w:rsidRPr="007F0609">
        <w:rPr>
          <w:rFonts w:cs="Times New Roman"/>
          <w:szCs w:val="24"/>
        </w:rPr>
        <w:t>(1960)</w:t>
      </w:r>
      <w:r w:rsidRPr="007F0609">
        <w:rPr>
          <w:rFonts w:cs="Times New Roman"/>
          <w:szCs w:val="24"/>
        </w:rPr>
        <w:fldChar w:fldCharType="end"/>
      </w:r>
      <w:r w:rsidRPr="007F0609">
        <w:rPr>
          <w:rFonts w:cs="Times New Roman"/>
          <w:szCs w:val="24"/>
        </w:rPr>
        <w:t xml:space="preserve">, um dos maiores especialistas em estudos sobre pobreza e subdesenvolvimento também ressalta a necessidade da formação de recursos humanos qualificados, por parte dos países atrasados, para a superação do subdesenvolvimento. O autor cita que os países subdesenvolvidos, em sua jornada para o desenvolvimento econômico, encontram maiores dificuldades do que as enfrentadas pelos países atualmente desenvolvidos. Esses países, geralmente, partem de um nível econômico muito baixo, não dispõe de mercado internacional de capitais e não tiveram a oportunidade de expandir seus parques industriais com base na exploração dos recursos naturais dos países periféricos. A única vantagem que os </w:t>
      </w:r>
      <w:r w:rsidRPr="007F0609">
        <w:rPr>
          <w:rFonts w:cs="Times New Roman"/>
          <w:szCs w:val="24"/>
        </w:rPr>
        <w:lastRenderedPageBreak/>
        <w:t>subdesenvolvidos têm é o acervo de conhecimentos científicos e técnicos de que podem tirar proveito.</w:t>
      </w:r>
    </w:p>
    <w:p w14:paraId="1D7F0384" w14:textId="00505C03" w:rsidR="007F0609" w:rsidRDefault="007F0609" w:rsidP="007F0609">
      <w:pPr>
        <w:ind w:firstLine="708"/>
        <w:rPr>
          <w:rFonts w:cs="Times New Roman"/>
          <w:szCs w:val="24"/>
        </w:rPr>
      </w:pPr>
      <w:r w:rsidRPr="007F0609">
        <w:rPr>
          <w:rFonts w:cs="Times New Roman"/>
          <w:szCs w:val="24"/>
        </w:rPr>
        <w:t xml:space="preserve">Em suas palavras: </w:t>
      </w:r>
    </w:p>
    <w:p w14:paraId="25E6938F" w14:textId="77777777" w:rsidR="007F0609" w:rsidRPr="007F0609" w:rsidRDefault="007F0609" w:rsidP="007F0609">
      <w:pPr>
        <w:ind w:firstLine="708"/>
        <w:rPr>
          <w:rFonts w:cs="Times New Roman"/>
          <w:szCs w:val="24"/>
        </w:rPr>
      </w:pPr>
    </w:p>
    <w:p w14:paraId="2CB6AD54" w14:textId="1659F808" w:rsidR="007F0609" w:rsidRDefault="007F0609" w:rsidP="00360D5D">
      <w:pPr>
        <w:ind w:left="2832" w:firstLine="0"/>
        <w:rPr>
          <w:rFonts w:cs="Times New Roman"/>
          <w:lang w:bidi="pt-PT"/>
        </w:rPr>
      </w:pPr>
      <w:r w:rsidRPr="007F0609">
        <w:rPr>
          <w:rFonts w:cs="Times New Roman"/>
          <w:sz w:val="22"/>
          <w:lang w:bidi="pt-PT"/>
        </w:rPr>
        <w:t xml:space="preserve">Para que tenham, de fato, oportunidade de êxito no programa de desenvolvimento econômico, os países subdesenvolvidos devem conferir a mais alta prioridade à criação de escolas e universidades, destinadas à preparação de cientistas e à realização de pesquisas em todos os campo </w:t>
      </w:r>
      <w:r w:rsidRPr="007F0609">
        <w:rPr>
          <w:rFonts w:cs="Times New Roman"/>
          <w:sz w:val="22"/>
          <w:lang w:bidi="pt-PT"/>
        </w:rPr>
        <w:fldChar w:fldCharType="begin" w:fldLock="1"/>
      </w:r>
      <w:r w:rsidRPr="007F0609">
        <w:rPr>
          <w:rFonts w:cs="Times New Roman"/>
          <w:sz w:val="22"/>
          <w:lang w:bidi="pt-PT"/>
        </w:rPr>
        <w:instrText>ADDIN CSL_CITATION {"citationItems":[{"id":"ITEM-1","itemData":{"author":[{"dropping-particle":"","family":"Myrdal","given":"Gunnar","non-dropping-particle":"","parse-names":false,"suffix":""}],"id":"ITEM-1","issued":{"date-parts":[["1960"]]},"number-of-pages":"240","publisher-place":"Rio de Janeiro","title":"Teoria econômica e regiões subdesenvolvidas","type":"book"},"locator":"126","uris":["http://www.mendeley.com/documents/?uuid=d05491f4-7ebe-461f-aa9d-7b188a197c56"]}],"mendeley":{"formattedCitation":"(MYRDAL, 1960, p. 126)","plainTextFormattedCitation":"(MYRDAL, 1960, p. 126)","previouslyFormattedCitation":"(MYRDAL, 1960, p. 126)"},"properties":{"noteIndex":0},"schema":"https://github.com/citation-style-language/schema/raw/master/csl-citation.json"}</w:instrText>
      </w:r>
      <w:r w:rsidRPr="007F0609">
        <w:rPr>
          <w:rFonts w:cs="Times New Roman"/>
          <w:sz w:val="22"/>
          <w:lang w:bidi="pt-PT"/>
        </w:rPr>
        <w:fldChar w:fldCharType="separate"/>
      </w:r>
      <w:r w:rsidRPr="007F0609">
        <w:rPr>
          <w:rFonts w:cs="Times New Roman"/>
          <w:sz w:val="22"/>
          <w:lang w:bidi="pt-PT"/>
        </w:rPr>
        <w:t>(MYRDAL, 1960, p. 126)</w:t>
      </w:r>
      <w:r w:rsidRPr="007F0609">
        <w:rPr>
          <w:rFonts w:cs="Times New Roman"/>
          <w:sz w:val="22"/>
        </w:rPr>
        <w:fldChar w:fldCharType="end"/>
      </w:r>
      <w:r w:rsidRPr="007F0609">
        <w:rPr>
          <w:rFonts w:cs="Times New Roman"/>
          <w:sz w:val="22"/>
          <w:lang w:bidi="pt-PT"/>
        </w:rPr>
        <w:t>.</w:t>
      </w:r>
    </w:p>
    <w:p w14:paraId="148D0047" w14:textId="77777777" w:rsidR="007F0609" w:rsidRPr="007F0609" w:rsidRDefault="007F0609" w:rsidP="007F0609">
      <w:pPr>
        <w:ind w:left="2832" w:firstLine="0"/>
        <w:rPr>
          <w:rFonts w:cs="Times New Roman"/>
          <w:sz w:val="22"/>
          <w:lang w:bidi="pt-PT"/>
        </w:rPr>
      </w:pPr>
    </w:p>
    <w:p w14:paraId="77244934" w14:textId="77777777" w:rsidR="007F0609" w:rsidRPr="007F0609" w:rsidRDefault="007F0609" w:rsidP="007F0609">
      <w:pPr>
        <w:ind w:firstLine="708"/>
        <w:rPr>
          <w:rFonts w:cs="Times New Roman"/>
          <w:szCs w:val="24"/>
        </w:rPr>
      </w:pPr>
      <w:r w:rsidRPr="007F0609">
        <w:rPr>
          <w:rFonts w:cs="Times New Roman"/>
          <w:szCs w:val="24"/>
        </w:rPr>
        <w:t xml:space="preserve">Nesse contexto, compreende-se que recursos humanos qualificados são fundamentais para um desenrolar de um processo de desenvolvimento econômico nacional ou regional.  No dizer de Haddad (2009, p. 136) “o capital humano e as habilidades de um país ou região determinam o seu crescimento econômico no longo prazo e suas chances de transformar este crescimento em processos de desenvolvimento”. Assim, faz-se indispensável para qualquer país que logre o desenvolvimento a presença de universidades em seus territórios, haja vista, que essas instituições são dissipadoras de importantes externalidades positivas. </w:t>
      </w:r>
    </w:p>
    <w:p w14:paraId="153C6B59" w14:textId="77777777" w:rsidR="007F0609" w:rsidRDefault="007F0609">
      <w:pPr>
        <w:ind w:firstLine="708"/>
        <w:rPr>
          <w:rFonts w:cs="Times New Roman"/>
          <w:szCs w:val="24"/>
        </w:rPr>
      </w:pPr>
    </w:p>
    <w:p w14:paraId="60BDD766" w14:textId="518958AA" w:rsidR="001D7E70" w:rsidRDefault="001D7E70" w:rsidP="001D7E70">
      <w:pPr>
        <w:ind w:firstLine="0"/>
        <w:rPr>
          <w:rFonts w:cs="Times New Roman"/>
          <w:b/>
          <w:color w:val="000000" w:themeColor="text1"/>
          <w:szCs w:val="24"/>
        </w:rPr>
      </w:pPr>
      <w:r w:rsidRPr="001D7E70">
        <w:rPr>
          <w:rFonts w:cs="Times New Roman"/>
          <w:b/>
          <w:color w:val="000000" w:themeColor="text1"/>
          <w:szCs w:val="24"/>
        </w:rPr>
        <w:t>3</w:t>
      </w:r>
      <w:r w:rsidR="00605421">
        <w:rPr>
          <w:rFonts w:cs="Times New Roman"/>
          <w:b/>
          <w:color w:val="000000" w:themeColor="text1"/>
          <w:szCs w:val="24"/>
        </w:rPr>
        <w:t>.2</w:t>
      </w:r>
      <w:r w:rsidRPr="001D7E70">
        <w:rPr>
          <w:rFonts w:cs="Times New Roman"/>
          <w:b/>
          <w:color w:val="000000" w:themeColor="text1"/>
          <w:szCs w:val="24"/>
        </w:rPr>
        <w:t xml:space="preserve"> </w:t>
      </w:r>
      <w:r w:rsidR="00605421">
        <w:rPr>
          <w:rFonts w:cs="Times New Roman"/>
          <w:b/>
          <w:color w:val="000000" w:themeColor="text1"/>
          <w:szCs w:val="24"/>
        </w:rPr>
        <w:t>E</w:t>
      </w:r>
      <w:r w:rsidR="00605421" w:rsidRPr="001D7E70">
        <w:rPr>
          <w:rFonts w:cs="Times New Roman"/>
          <w:b/>
          <w:color w:val="000000" w:themeColor="text1"/>
          <w:szCs w:val="24"/>
        </w:rPr>
        <w:t xml:space="preserve">scolaridade, renda e desenvolvimento regional no </w:t>
      </w:r>
      <w:r w:rsidR="00605421">
        <w:rPr>
          <w:rFonts w:cs="Times New Roman"/>
          <w:b/>
          <w:color w:val="000000" w:themeColor="text1"/>
          <w:szCs w:val="24"/>
        </w:rPr>
        <w:t>B</w:t>
      </w:r>
      <w:r w:rsidR="00605421" w:rsidRPr="001D7E70">
        <w:rPr>
          <w:rFonts w:cs="Times New Roman"/>
          <w:b/>
          <w:color w:val="000000" w:themeColor="text1"/>
          <w:szCs w:val="24"/>
        </w:rPr>
        <w:t>rasil</w:t>
      </w:r>
    </w:p>
    <w:p w14:paraId="28137CCB" w14:textId="77777777" w:rsidR="001D7E70" w:rsidRPr="001D7E70" w:rsidRDefault="001D7E70" w:rsidP="001D7E70">
      <w:pPr>
        <w:ind w:firstLine="0"/>
        <w:rPr>
          <w:rFonts w:cs="Times New Roman"/>
          <w:b/>
          <w:color w:val="000000" w:themeColor="text1"/>
          <w:szCs w:val="24"/>
        </w:rPr>
      </w:pPr>
    </w:p>
    <w:p w14:paraId="5551A6A9" w14:textId="77777777" w:rsidR="001D7E70" w:rsidRPr="001D7E70" w:rsidRDefault="001D7E70" w:rsidP="001D7E70">
      <w:r w:rsidRPr="001D7E70">
        <w:t>Níveis mais altos de escolaridade estão diretamente relacionados ao desenvolvimento regional.  O fator educação, no atual estágio do capitalismo, impõe-se como indispensável para os que buscam desenvolver-se. Melhores postos de trabalho, elevada produtividade econômica, salários mais altos e melhores condições de vida são alguns dos elementos medulares para se alcançar o desenvolvimento.</w:t>
      </w:r>
    </w:p>
    <w:p w14:paraId="387389EC" w14:textId="77777777" w:rsidR="001D7E70" w:rsidRPr="001D7E70" w:rsidRDefault="001D7E70" w:rsidP="001D7E70">
      <w:proofErr w:type="spellStart"/>
      <w:r w:rsidRPr="001D7E70">
        <w:t>Salvato</w:t>
      </w:r>
      <w:proofErr w:type="spellEnd"/>
      <w:r w:rsidRPr="001D7E70">
        <w:t xml:space="preserve">, Ferreira e Duarte </w:t>
      </w:r>
      <w:r w:rsidRPr="001D7E70">
        <w:fldChar w:fldCharType="begin" w:fldLock="1"/>
      </w:r>
      <w:r w:rsidRPr="001D7E70">
        <w:instrText>ADDIN CSL_CITATION {"citationItems":[{"id":"ITEM-1","itemData":{"DOI":"10.1590/s0101-41612010000400001","abstract":"Este trabalho investiga o impacto da escolaridade sobre a distribuição de renda do trabalho de Estados/ regiões do Brasil, usando um método semiparamétrico, seguindo DiNardo, Fortin e Lemieux (1996) e informações da PNAD de 1999. Foram construídas densidades contrafactuais, reponderando a distribuição da região/Estado mais pobre (Nordeste/Ceará) pelo perfil de escolaridade da mais rica (Sudeste/São Paulo). Resultados: entre 12% e 36% do diferencial de renda é explicado pelo diferencial de escolaridade; a reponderação pela escolaridade aumentou em cerca de 55% a renda média nos contrafactuais; a renda do contrafactual do Nordeste equivale a 93% da renda média brasileira; quanto mais elevado for o percentil de renda considerado, maior é a contribuição da diferença de escolaridade para a diferença de renda; a dispersão de renda das regiões mais pobres aumenta quando fornecemos a elas o nível de escolaridade das regiões mais ricas, mantendo-se o perfil salarial da região.This paper investigates the impact of education on income distribution of Brazilian states and regions, using a semi parametric method, following Dinardo, Fortin and Lemieux (1996) and dataset from the PNAD 1999. Contrafactual densities were constructed weighting the distribution of the poorest region/state (Northeast / Ceará) by the profile of education in the richer one (Southeast / São Paulo). Results: between 12% and 36% of the difference in income is explained by the educational differences; the weighting by education increased by about 55% the average income in counterfactuals; the counterfactual income of the Northeast amounts to 93% of the average Brazilian income; the higher the percentile considered income, the greater the contribution of the difference in schooling for the difference in income; and the income dispersion of the poorest regions increases when they provide the level of schooling of the richest regions, while the wage profile of the region is kept constant.","author":[{"dropping-particle":"","family":"Salvato","given":"Marcio Antonio","non-dropping-particle":"","parse-names":false,"suffix":""},{"dropping-particle":"","family":"Ferreira","given":"Pedro Cavalcanti Gomes","non-dropping-particle":"","parse-names":false,"suffix":""},{"dropping-particle":"","family":"Duarte","given":"Angelo José Mont'Alverne","non-dropping-particle":"","parse-names":false,"suffix":""}],"container-title":"Estudos Econômicos (São Paulo)","id":"ITEM-1","issue":"4","issued":{"date-parts":[["2010"]]},"page":"753-791","title":"O impacto da escolaridade sobre a distribuição de renda","type":"article-journal","volume":"40"},"suppress-author":1,"uris":["http://www.mendeley.com/documents/?uuid=8ead774e-ddf4-4c2a-a380-bab065aa77ba"]}],"mendeley":{"formattedCitation":"(2010)","plainTextFormattedCitation":"(2010)","previouslyFormattedCitation":"(2010)"},"properties":{"noteIndex":0},"schema":"https://github.com/citation-style-language/schema/raw/master/csl-citation.json"}</w:instrText>
      </w:r>
      <w:r w:rsidRPr="001D7E70">
        <w:fldChar w:fldCharType="separate"/>
      </w:r>
      <w:r w:rsidRPr="001D7E70">
        <w:t>(2010)</w:t>
      </w:r>
      <w:r w:rsidRPr="001D7E70">
        <w:fldChar w:fldCharType="end"/>
      </w:r>
      <w:r w:rsidRPr="001D7E70">
        <w:t xml:space="preserve">, buscaram, empiricamente, investigar o impacto da escolaridade sobre a distribuição de renda do trabalho entre as regiões Nordeste e Sudeste. Usando um método </w:t>
      </w:r>
      <w:proofErr w:type="spellStart"/>
      <w:r w:rsidRPr="001D7E70">
        <w:t>semiparamétrico</w:t>
      </w:r>
      <w:proofErr w:type="spellEnd"/>
      <w:r w:rsidRPr="001D7E70">
        <w:t xml:space="preserve">, os autores mostraram que entre 12% e 36% da diferença de renda do trabalho entre a Região Nordeste e a Região Sudeste se deve às diferenças de escolaridade. Dessa maneira, compreende-se a necessidade da elevação dos níveis de escolaridade da população das regiões periféricas do Brasil para a redução as desigualdades. </w:t>
      </w:r>
    </w:p>
    <w:p w14:paraId="437EE51F" w14:textId="0EA74BE5" w:rsidR="001D7E70" w:rsidRDefault="001D7E70" w:rsidP="001D7E70">
      <w:r w:rsidRPr="001D7E70">
        <w:t>No Brasil observa-se que o rendimento médio do trabalho é significativamente maior para os trabalhadores que possuem ensino superior completo. A tabela 1, traz um acompanhamento dos rendimentos da população ocupada por níveis de instrução. Nota-se inicialmente os baixos rendimentos para os ocupados sem instrução e com menos de 1 ano de estudo, em relação aos outros níveis. Quando se compara a média desse grupo com os que possuem o ensino superior completo, o rendimento médio do primeiro corresponde a apenas 17% do segundo. Verifica-se ainda que a média dos rendimentos aumentam em compasso com os níveis de instrução. Os trabalhadores, por níveis de escolaridade, que em média receberam mais, foram os que possuem ensino superior completo (R$ 5.472), ensino superior incompleto (RS 2.424), ensino médio completo (R$ 1.980) e ensino fundamental completo (R$ 1.626).</w:t>
      </w:r>
    </w:p>
    <w:p w14:paraId="431742FE" w14:textId="77777777" w:rsidR="001D7E70" w:rsidRPr="001D7E70" w:rsidRDefault="001D7E70" w:rsidP="001D7E70"/>
    <w:p w14:paraId="1438A5A9" w14:textId="3AA00FB4" w:rsidR="001D7E70" w:rsidRPr="001D7E70" w:rsidRDefault="001D7E70" w:rsidP="0031273D">
      <w:pPr>
        <w:pStyle w:val="Legenda"/>
        <w:keepNext/>
        <w:spacing w:after="0"/>
        <w:ind w:firstLine="0"/>
        <w:rPr>
          <w:i w:val="0"/>
          <w:iCs w:val="0"/>
          <w:color w:val="000000" w:themeColor="text1"/>
          <w:sz w:val="22"/>
          <w:szCs w:val="22"/>
        </w:rPr>
      </w:pPr>
      <w:r w:rsidRPr="001D7E70">
        <w:rPr>
          <w:b/>
          <w:bCs/>
          <w:i w:val="0"/>
          <w:iCs w:val="0"/>
          <w:color w:val="000000" w:themeColor="text1"/>
          <w:sz w:val="22"/>
          <w:szCs w:val="22"/>
        </w:rPr>
        <w:lastRenderedPageBreak/>
        <w:t xml:space="preserve">Tabela </w:t>
      </w:r>
      <w:r w:rsidRPr="001D7E70">
        <w:rPr>
          <w:b/>
          <w:bCs/>
          <w:i w:val="0"/>
          <w:iCs w:val="0"/>
          <w:color w:val="000000" w:themeColor="text1"/>
          <w:sz w:val="22"/>
          <w:szCs w:val="22"/>
        </w:rPr>
        <w:fldChar w:fldCharType="begin"/>
      </w:r>
      <w:r w:rsidRPr="001D7E70">
        <w:rPr>
          <w:b/>
          <w:bCs/>
          <w:i w:val="0"/>
          <w:iCs w:val="0"/>
          <w:color w:val="000000" w:themeColor="text1"/>
          <w:sz w:val="22"/>
          <w:szCs w:val="22"/>
        </w:rPr>
        <w:instrText xml:space="preserve"> SEQ Tabela \* ARABIC </w:instrText>
      </w:r>
      <w:r w:rsidRPr="001D7E70">
        <w:rPr>
          <w:b/>
          <w:bCs/>
          <w:i w:val="0"/>
          <w:iCs w:val="0"/>
          <w:color w:val="000000" w:themeColor="text1"/>
          <w:sz w:val="22"/>
          <w:szCs w:val="22"/>
        </w:rPr>
        <w:fldChar w:fldCharType="separate"/>
      </w:r>
      <w:r w:rsidR="002A7155">
        <w:rPr>
          <w:b/>
          <w:bCs/>
          <w:i w:val="0"/>
          <w:iCs w:val="0"/>
          <w:noProof/>
          <w:color w:val="000000" w:themeColor="text1"/>
          <w:sz w:val="22"/>
          <w:szCs w:val="22"/>
        </w:rPr>
        <w:t>1</w:t>
      </w:r>
      <w:r w:rsidRPr="001D7E70">
        <w:rPr>
          <w:b/>
          <w:bCs/>
          <w:i w:val="0"/>
          <w:iCs w:val="0"/>
          <w:color w:val="000000" w:themeColor="text1"/>
          <w:sz w:val="22"/>
          <w:szCs w:val="22"/>
        </w:rPr>
        <w:fldChar w:fldCharType="end"/>
      </w:r>
      <w:r w:rsidRPr="001D7E70">
        <w:rPr>
          <w:b/>
          <w:bCs/>
          <w:i w:val="0"/>
          <w:iCs w:val="0"/>
          <w:color w:val="000000" w:themeColor="text1"/>
          <w:sz w:val="22"/>
          <w:szCs w:val="22"/>
        </w:rPr>
        <w:t>:</w:t>
      </w:r>
      <w:r w:rsidRPr="001D7E70">
        <w:rPr>
          <w:i w:val="0"/>
          <w:iCs w:val="0"/>
          <w:color w:val="000000" w:themeColor="text1"/>
          <w:sz w:val="22"/>
          <w:szCs w:val="22"/>
        </w:rPr>
        <w:t xml:space="preserve"> Rendimento médio real do trabalho principal, pelas pessoas de 14 anos ou mais de idade, ocupadas na semana de referência, por nível de instrução, no Brasil, 2012-2020.</w:t>
      </w:r>
    </w:p>
    <w:tbl>
      <w:tblPr>
        <w:tblStyle w:val="SimplesTabela21"/>
        <w:tblpPr w:leftFromText="141" w:rightFromText="141" w:vertAnchor="text" w:horzAnchor="margin" w:tblpXSpec="center" w:tblpY="79"/>
        <w:tblW w:w="9071" w:type="dxa"/>
        <w:tblLayout w:type="fixed"/>
        <w:tblLook w:val="04A0" w:firstRow="1" w:lastRow="0" w:firstColumn="1" w:lastColumn="0" w:noHBand="0" w:noVBand="1"/>
      </w:tblPr>
      <w:tblGrid>
        <w:gridCol w:w="1675"/>
        <w:gridCol w:w="737"/>
        <w:gridCol w:w="83"/>
        <w:gridCol w:w="654"/>
        <w:gridCol w:w="48"/>
        <w:gridCol w:w="689"/>
        <w:gridCol w:w="13"/>
        <w:gridCol w:w="702"/>
        <w:gridCol w:w="22"/>
        <w:gridCol w:w="680"/>
        <w:gridCol w:w="57"/>
        <w:gridCol w:w="645"/>
        <w:gridCol w:w="92"/>
        <w:gridCol w:w="610"/>
        <w:gridCol w:w="127"/>
        <w:gridCol w:w="575"/>
        <w:gridCol w:w="162"/>
        <w:gridCol w:w="540"/>
        <w:gridCol w:w="197"/>
        <w:gridCol w:w="737"/>
        <w:gridCol w:w="26"/>
      </w:tblGrid>
      <w:tr w:rsidR="001D7E70" w:rsidRPr="001D7E70" w14:paraId="45C7B5E8" w14:textId="77777777" w:rsidTr="0031273D">
        <w:trPr>
          <w:cnfStyle w:val="100000000000" w:firstRow="1" w:lastRow="0" w:firstColumn="0" w:lastColumn="0" w:oddVBand="0" w:evenVBand="0" w:oddHBand="0" w:evenHBand="0" w:firstRowFirstColumn="0" w:firstRowLastColumn="0" w:lastRowFirstColumn="0" w:lastRowLastColumn="0"/>
          <w:trHeight w:val="416"/>
        </w:trPr>
        <w:tc>
          <w:tcPr>
            <w:cnfStyle w:val="001000000000" w:firstRow="0" w:lastRow="0" w:firstColumn="1" w:lastColumn="0" w:oddVBand="0" w:evenVBand="0" w:oddHBand="0" w:evenHBand="0" w:firstRowFirstColumn="0" w:firstRowLastColumn="0" w:lastRowFirstColumn="0" w:lastRowLastColumn="0"/>
            <w:tcW w:w="1675" w:type="dxa"/>
            <w:shd w:val="clear" w:color="auto" w:fill="E7E6E6"/>
            <w:noWrap/>
            <w:vAlign w:val="center"/>
            <w:hideMark/>
          </w:tcPr>
          <w:p w14:paraId="2F8BE232" w14:textId="78151317" w:rsidR="001D7E70" w:rsidRPr="0031273D" w:rsidRDefault="0031273D" w:rsidP="0031273D">
            <w:pPr>
              <w:ind w:firstLine="0"/>
              <w:jc w:val="center"/>
              <w:rPr>
                <w:rFonts w:eastAsia="Times New Roman" w:cs="Times New Roman"/>
                <w:color w:val="000000"/>
                <w:sz w:val="22"/>
                <w:lang w:eastAsia="pt-BR"/>
              </w:rPr>
            </w:pPr>
            <w:r w:rsidRPr="0031273D">
              <w:rPr>
                <w:rFonts w:eastAsia="Times New Roman" w:cs="Times New Roman"/>
                <w:color w:val="000000"/>
                <w:sz w:val="22"/>
                <w:lang w:eastAsia="pt-BR"/>
              </w:rPr>
              <w:t>NÍVEL DE INSTRUÇÃO</w:t>
            </w:r>
          </w:p>
        </w:tc>
        <w:tc>
          <w:tcPr>
            <w:tcW w:w="820" w:type="dxa"/>
            <w:gridSpan w:val="2"/>
            <w:shd w:val="clear" w:color="auto" w:fill="E7E6E6"/>
            <w:noWrap/>
            <w:vAlign w:val="center"/>
            <w:hideMark/>
          </w:tcPr>
          <w:p w14:paraId="24715708" w14:textId="77777777" w:rsidR="001D7E70" w:rsidRPr="001D7E70" w:rsidRDefault="001D7E70" w:rsidP="0031273D">
            <w:pPr>
              <w:ind w:firstLine="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2"/>
                <w:lang w:eastAsia="pt-BR"/>
              </w:rPr>
            </w:pPr>
            <w:r w:rsidRPr="001D7E70">
              <w:rPr>
                <w:rFonts w:eastAsia="Times New Roman" w:cs="Times New Roman"/>
                <w:color w:val="000000"/>
                <w:sz w:val="22"/>
                <w:lang w:eastAsia="pt-BR"/>
              </w:rPr>
              <w:t>2012</w:t>
            </w:r>
          </w:p>
        </w:tc>
        <w:tc>
          <w:tcPr>
            <w:tcW w:w="702" w:type="dxa"/>
            <w:gridSpan w:val="2"/>
            <w:shd w:val="clear" w:color="auto" w:fill="E7E6E6"/>
            <w:noWrap/>
            <w:vAlign w:val="center"/>
            <w:hideMark/>
          </w:tcPr>
          <w:p w14:paraId="2B249098" w14:textId="77777777" w:rsidR="001D7E70" w:rsidRPr="001D7E70" w:rsidRDefault="001D7E70" w:rsidP="0031273D">
            <w:pPr>
              <w:ind w:firstLine="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2"/>
                <w:lang w:eastAsia="pt-BR"/>
              </w:rPr>
            </w:pPr>
            <w:r w:rsidRPr="001D7E70">
              <w:rPr>
                <w:rFonts w:eastAsia="Times New Roman" w:cs="Times New Roman"/>
                <w:color w:val="000000"/>
                <w:sz w:val="22"/>
                <w:lang w:eastAsia="pt-BR"/>
              </w:rPr>
              <w:t>2013</w:t>
            </w:r>
          </w:p>
        </w:tc>
        <w:tc>
          <w:tcPr>
            <w:tcW w:w="702" w:type="dxa"/>
            <w:gridSpan w:val="2"/>
            <w:shd w:val="clear" w:color="auto" w:fill="E7E6E6"/>
            <w:noWrap/>
            <w:vAlign w:val="center"/>
            <w:hideMark/>
          </w:tcPr>
          <w:p w14:paraId="34CBE405" w14:textId="77777777" w:rsidR="001D7E70" w:rsidRPr="001D7E70" w:rsidRDefault="001D7E70" w:rsidP="0031273D">
            <w:pPr>
              <w:ind w:firstLine="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2"/>
                <w:lang w:eastAsia="pt-BR"/>
              </w:rPr>
            </w:pPr>
            <w:r w:rsidRPr="001D7E70">
              <w:rPr>
                <w:rFonts w:eastAsia="Times New Roman" w:cs="Times New Roman"/>
                <w:color w:val="000000"/>
                <w:sz w:val="22"/>
                <w:lang w:eastAsia="pt-BR"/>
              </w:rPr>
              <w:t>2014</w:t>
            </w:r>
          </w:p>
        </w:tc>
        <w:tc>
          <w:tcPr>
            <w:tcW w:w="702" w:type="dxa"/>
            <w:shd w:val="clear" w:color="auto" w:fill="E7E6E6"/>
            <w:noWrap/>
            <w:vAlign w:val="center"/>
            <w:hideMark/>
          </w:tcPr>
          <w:p w14:paraId="0CF774A1" w14:textId="77777777" w:rsidR="001D7E70" w:rsidRPr="001D7E70" w:rsidRDefault="001D7E70" w:rsidP="0031273D">
            <w:pPr>
              <w:ind w:firstLine="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2"/>
                <w:lang w:eastAsia="pt-BR"/>
              </w:rPr>
            </w:pPr>
            <w:r w:rsidRPr="001D7E70">
              <w:rPr>
                <w:rFonts w:eastAsia="Times New Roman" w:cs="Times New Roman"/>
                <w:color w:val="000000"/>
                <w:sz w:val="22"/>
                <w:lang w:eastAsia="pt-BR"/>
              </w:rPr>
              <w:t>2015</w:t>
            </w:r>
          </w:p>
        </w:tc>
        <w:tc>
          <w:tcPr>
            <w:tcW w:w="702" w:type="dxa"/>
            <w:gridSpan w:val="2"/>
            <w:shd w:val="clear" w:color="auto" w:fill="E7E6E6"/>
            <w:noWrap/>
            <w:vAlign w:val="center"/>
            <w:hideMark/>
          </w:tcPr>
          <w:p w14:paraId="0C41EBAE" w14:textId="77777777" w:rsidR="001D7E70" w:rsidRPr="001D7E70" w:rsidRDefault="001D7E70" w:rsidP="0031273D">
            <w:pPr>
              <w:ind w:firstLine="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2"/>
                <w:lang w:eastAsia="pt-BR"/>
              </w:rPr>
            </w:pPr>
            <w:r w:rsidRPr="001D7E70">
              <w:rPr>
                <w:rFonts w:eastAsia="Times New Roman" w:cs="Times New Roman"/>
                <w:color w:val="000000"/>
                <w:sz w:val="22"/>
                <w:lang w:eastAsia="pt-BR"/>
              </w:rPr>
              <w:t>2016</w:t>
            </w:r>
          </w:p>
        </w:tc>
        <w:tc>
          <w:tcPr>
            <w:tcW w:w="702" w:type="dxa"/>
            <w:gridSpan w:val="2"/>
            <w:shd w:val="clear" w:color="auto" w:fill="E7E6E6"/>
            <w:noWrap/>
            <w:vAlign w:val="center"/>
            <w:hideMark/>
          </w:tcPr>
          <w:p w14:paraId="57FB259C" w14:textId="77777777" w:rsidR="001D7E70" w:rsidRPr="001D7E70" w:rsidRDefault="001D7E70" w:rsidP="0031273D">
            <w:pPr>
              <w:ind w:firstLine="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2"/>
                <w:lang w:eastAsia="pt-BR"/>
              </w:rPr>
            </w:pPr>
            <w:r w:rsidRPr="001D7E70">
              <w:rPr>
                <w:rFonts w:eastAsia="Times New Roman" w:cs="Times New Roman"/>
                <w:color w:val="000000"/>
                <w:sz w:val="22"/>
                <w:lang w:eastAsia="pt-BR"/>
              </w:rPr>
              <w:t>2017</w:t>
            </w:r>
          </w:p>
        </w:tc>
        <w:tc>
          <w:tcPr>
            <w:tcW w:w="702" w:type="dxa"/>
            <w:gridSpan w:val="2"/>
            <w:shd w:val="clear" w:color="auto" w:fill="E7E6E6"/>
            <w:noWrap/>
            <w:vAlign w:val="center"/>
            <w:hideMark/>
          </w:tcPr>
          <w:p w14:paraId="58DEC2BD" w14:textId="77777777" w:rsidR="001D7E70" w:rsidRPr="001D7E70" w:rsidRDefault="001D7E70" w:rsidP="0031273D">
            <w:pPr>
              <w:ind w:firstLine="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2"/>
                <w:lang w:eastAsia="pt-BR"/>
              </w:rPr>
            </w:pPr>
            <w:r w:rsidRPr="001D7E70">
              <w:rPr>
                <w:rFonts w:eastAsia="Times New Roman" w:cs="Times New Roman"/>
                <w:color w:val="000000"/>
                <w:sz w:val="22"/>
                <w:lang w:eastAsia="pt-BR"/>
              </w:rPr>
              <w:t>2018</w:t>
            </w:r>
          </w:p>
        </w:tc>
        <w:tc>
          <w:tcPr>
            <w:tcW w:w="702" w:type="dxa"/>
            <w:gridSpan w:val="2"/>
            <w:shd w:val="clear" w:color="auto" w:fill="E7E6E6"/>
            <w:noWrap/>
            <w:vAlign w:val="center"/>
            <w:hideMark/>
          </w:tcPr>
          <w:p w14:paraId="74E1AA2B" w14:textId="77777777" w:rsidR="001D7E70" w:rsidRPr="001D7E70" w:rsidRDefault="001D7E70" w:rsidP="0031273D">
            <w:pPr>
              <w:ind w:firstLine="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2"/>
                <w:lang w:eastAsia="pt-BR"/>
              </w:rPr>
            </w:pPr>
            <w:r w:rsidRPr="001D7E70">
              <w:rPr>
                <w:rFonts w:eastAsia="Times New Roman" w:cs="Times New Roman"/>
                <w:color w:val="000000"/>
                <w:sz w:val="22"/>
                <w:lang w:eastAsia="pt-BR"/>
              </w:rPr>
              <w:t>2019</w:t>
            </w:r>
          </w:p>
        </w:tc>
        <w:tc>
          <w:tcPr>
            <w:tcW w:w="702" w:type="dxa"/>
            <w:gridSpan w:val="2"/>
            <w:shd w:val="clear" w:color="auto" w:fill="E7E6E6"/>
            <w:noWrap/>
            <w:vAlign w:val="center"/>
            <w:hideMark/>
          </w:tcPr>
          <w:p w14:paraId="104A27D7" w14:textId="77777777" w:rsidR="001D7E70" w:rsidRPr="001D7E70" w:rsidRDefault="001D7E70" w:rsidP="0031273D">
            <w:pPr>
              <w:ind w:firstLine="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2"/>
                <w:lang w:eastAsia="pt-BR"/>
              </w:rPr>
            </w:pPr>
            <w:r w:rsidRPr="001D7E70">
              <w:rPr>
                <w:rFonts w:eastAsia="Times New Roman" w:cs="Times New Roman"/>
                <w:color w:val="000000"/>
                <w:sz w:val="22"/>
                <w:lang w:eastAsia="pt-BR"/>
              </w:rPr>
              <w:t>2020</w:t>
            </w:r>
          </w:p>
        </w:tc>
        <w:tc>
          <w:tcPr>
            <w:tcW w:w="960" w:type="dxa"/>
            <w:gridSpan w:val="3"/>
            <w:shd w:val="clear" w:color="auto" w:fill="E7E6E6"/>
            <w:noWrap/>
            <w:vAlign w:val="center"/>
            <w:hideMark/>
          </w:tcPr>
          <w:p w14:paraId="07E70C18" w14:textId="71BAA520" w:rsidR="001D7E70" w:rsidRPr="0031273D" w:rsidRDefault="0031273D" w:rsidP="0031273D">
            <w:pPr>
              <w:ind w:firstLine="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2"/>
                <w:lang w:eastAsia="pt-BR"/>
              </w:rPr>
            </w:pPr>
            <w:r w:rsidRPr="0031273D">
              <w:rPr>
                <w:rFonts w:eastAsia="Times New Roman" w:cs="Times New Roman"/>
                <w:color w:val="000000"/>
                <w:sz w:val="22"/>
                <w:lang w:eastAsia="pt-BR"/>
              </w:rPr>
              <w:t>Média</w:t>
            </w:r>
          </w:p>
        </w:tc>
      </w:tr>
      <w:tr w:rsidR="001D7E70" w:rsidRPr="001D7E70" w14:paraId="2C4ABAAD" w14:textId="77777777" w:rsidTr="0031273D">
        <w:trPr>
          <w:gridAfter w:val="1"/>
          <w:cnfStyle w:val="000000100000" w:firstRow="0" w:lastRow="0" w:firstColumn="0" w:lastColumn="0" w:oddVBand="0" w:evenVBand="0" w:oddHBand="1" w:evenHBand="0" w:firstRowFirstColumn="0" w:firstRowLastColumn="0" w:lastRowFirstColumn="0" w:lastRowLastColumn="0"/>
          <w:wAfter w:w="26" w:type="dxa"/>
          <w:trHeight w:val="238"/>
        </w:trPr>
        <w:tc>
          <w:tcPr>
            <w:cnfStyle w:val="001000000000" w:firstRow="0" w:lastRow="0" w:firstColumn="1" w:lastColumn="0" w:oddVBand="0" w:evenVBand="0" w:oddHBand="0" w:evenHBand="0" w:firstRowFirstColumn="0" w:firstRowLastColumn="0" w:lastRowFirstColumn="0" w:lastRowLastColumn="0"/>
            <w:tcW w:w="1675" w:type="dxa"/>
            <w:shd w:val="clear" w:color="auto" w:fill="E7E6E6"/>
            <w:noWrap/>
            <w:vAlign w:val="center"/>
            <w:hideMark/>
          </w:tcPr>
          <w:p w14:paraId="199A602C" w14:textId="77777777" w:rsidR="001D7E70" w:rsidRPr="001D7E70" w:rsidRDefault="001D7E70" w:rsidP="0031273D">
            <w:pPr>
              <w:ind w:firstLine="0"/>
              <w:jc w:val="center"/>
              <w:rPr>
                <w:rFonts w:eastAsia="Times New Roman" w:cs="Times New Roman"/>
                <w:color w:val="000000"/>
                <w:sz w:val="22"/>
                <w:lang w:eastAsia="pt-BR"/>
              </w:rPr>
            </w:pPr>
            <w:r w:rsidRPr="001D7E70">
              <w:rPr>
                <w:rFonts w:eastAsia="Times New Roman" w:cs="Times New Roman"/>
                <w:color w:val="000000"/>
                <w:sz w:val="22"/>
                <w:lang w:eastAsia="pt-BR"/>
              </w:rPr>
              <w:t>Sem instrução e menos de 1 ano de estudo</w:t>
            </w:r>
          </w:p>
        </w:tc>
        <w:tc>
          <w:tcPr>
            <w:tcW w:w="737" w:type="dxa"/>
            <w:noWrap/>
            <w:vAlign w:val="center"/>
            <w:hideMark/>
          </w:tcPr>
          <w:p w14:paraId="5268381F" w14:textId="77777777" w:rsidR="001D7E70" w:rsidRPr="0031273D" w:rsidRDefault="001D7E70" w:rsidP="0031273D">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pt-BR"/>
              </w:rPr>
            </w:pPr>
            <w:r w:rsidRPr="0031273D">
              <w:rPr>
                <w:rFonts w:eastAsia="Times New Roman" w:cs="Times New Roman"/>
                <w:color w:val="000000"/>
                <w:sz w:val="22"/>
                <w:lang w:eastAsia="pt-BR"/>
              </w:rPr>
              <w:t>913</w:t>
            </w:r>
          </w:p>
        </w:tc>
        <w:tc>
          <w:tcPr>
            <w:tcW w:w="737" w:type="dxa"/>
            <w:gridSpan w:val="2"/>
            <w:noWrap/>
            <w:vAlign w:val="center"/>
            <w:hideMark/>
          </w:tcPr>
          <w:p w14:paraId="033DE9B0" w14:textId="77777777" w:rsidR="001D7E70" w:rsidRPr="0031273D" w:rsidRDefault="001D7E70" w:rsidP="0031273D">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pt-BR"/>
              </w:rPr>
            </w:pPr>
            <w:r w:rsidRPr="0031273D">
              <w:rPr>
                <w:rFonts w:eastAsia="Times New Roman" w:cs="Times New Roman"/>
                <w:color w:val="000000"/>
                <w:sz w:val="22"/>
                <w:lang w:eastAsia="pt-BR"/>
              </w:rPr>
              <w:t>924</w:t>
            </w:r>
          </w:p>
        </w:tc>
        <w:tc>
          <w:tcPr>
            <w:tcW w:w="737" w:type="dxa"/>
            <w:gridSpan w:val="2"/>
            <w:noWrap/>
            <w:vAlign w:val="center"/>
            <w:hideMark/>
          </w:tcPr>
          <w:p w14:paraId="793AB20B" w14:textId="77777777" w:rsidR="001D7E70" w:rsidRPr="0031273D" w:rsidRDefault="001D7E70" w:rsidP="0031273D">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pt-BR"/>
              </w:rPr>
            </w:pPr>
            <w:r w:rsidRPr="0031273D">
              <w:rPr>
                <w:rFonts w:eastAsia="Times New Roman" w:cs="Times New Roman"/>
                <w:color w:val="000000"/>
                <w:sz w:val="22"/>
                <w:lang w:eastAsia="pt-BR"/>
              </w:rPr>
              <w:t>1.004</w:t>
            </w:r>
          </w:p>
        </w:tc>
        <w:tc>
          <w:tcPr>
            <w:tcW w:w="737" w:type="dxa"/>
            <w:gridSpan w:val="3"/>
            <w:noWrap/>
            <w:vAlign w:val="center"/>
            <w:hideMark/>
          </w:tcPr>
          <w:p w14:paraId="5BCD372C" w14:textId="77777777" w:rsidR="001D7E70" w:rsidRPr="0031273D" w:rsidRDefault="001D7E70" w:rsidP="0031273D">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pt-BR"/>
              </w:rPr>
            </w:pPr>
            <w:r w:rsidRPr="0031273D">
              <w:rPr>
                <w:rFonts w:eastAsia="Times New Roman" w:cs="Times New Roman"/>
                <w:color w:val="000000"/>
                <w:sz w:val="22"/>
                <w:lang w:eastAsia="pt-BR"/>
              </w:rPr>
              <w:t>983</w:t>
            </w:r>
          </w:p>
        </w:tc>
        <w:tc>
          <w:tcPr>
            <w:tcW w:w="737" w:type="dxa"/>
            <w:gridSpan w:val="2"/>
            <w:noWrap/>
            <w:vAlign w:val="center"/>
            <w:hideMark/>
          </w:tcPr>
          <w:p w14:paraId="6ACA8865" w14:textId="77777777" w:rsidR="001D7E70" w:rsidRPr="0031273D" w:rsidRDefault="001D7E70" w:rsidP="0031273D">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pt-BR"/>
              </w:rPr>
            </w:pPr>
            <w:r w:rsidRPr="0031273D">
              <w:rPr>
                <w:rFonts w:eastAsia="Times New Roman" w:cs="Times New Roman"/>
                <w:color w:val="000000"/>
                <w:sz w:val="22"/>
                <w:lang w:eastAsia="pt-BR"/>
              </w:rPr>
              <w:t>935</w:t>
            </w:r>
          </w:p>
        </w:tc>
        <w:tc>
          <w:tcPr>
            <w:tcW w:w="737" w:type="dxa"/>
            <w:gridSpan w:val="2"/>
            <w:noWrap/>
            <w:vAlign w:val="center"/>
            <w:hideMark/>
          </w:tcPr>
          <w:p w14:paraId="76DF7CBB" w14:textId="77777777" w:rsidR="001D7E70" w:rsidRPr="0031273D" w:rsidRDefault="001D7E70" w:rsidP="0031273D">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pt-BR"/>
              </w:rPr>
            </w:pPr>
            <w:r w:rsidRPr="0031273D">
              <w:rPr>
                <w:rFonts w:eastAsia="Times New Roman" w:cs="Times New Roman"/>
                <w:color w:val="000000"/>
                <w:sz w:val="22"/>
                <w:lang w:eastAsia="pt-BR"/>
              </w:rPr>
              <w:t>948</w:t>
            </w:r>
          </w:p>
        </w:tc>
        <w:tc>
          <w:tcPr>
            <w:tcW w:w="737" w:type="dxa"/>
            <w:gridSpan w:val="2"/>
            <w:noWrap/>
            <w:vAlign w:val="center"/>
            <w:hideMark/>
          </w:tcPr>
          <w:p w14:paraId="76C0FD74" w14:textId="77777777" w:rsidR="001D7E70" w:rsidRPr="0031273D" w:rsidRDefault="001D7E70" w:rsidP="0031273D">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pt-BR"/>
              </w:rPr>
            </w:pPr>
            <w:r w:rsidRPr="0031273D">
              <w:rPr>
                <w:rFonts w:eastAsia="Times New Roman" w:cs="Times New Roman"/>
                <w:color w:val="000000"/>
                <w:sz w:val="22"/>
                <w:lang w:eastAsia="pt-BR"/>
              </w:rPr>
              <w:t>954</w:t>
            </w:r>
          </w:p>
        </w:tc>
        <w:tc>
          <w:tcPr>
            <w:tcW w:w="737" w:type="dxa"/>
            <w:gridSpan w:val="2"/>
            <w:noWrap/>
            <w:vAlign w:val="center"/>
            <w:hideMark/>
          </w:tcPr>
          <w:p w14:paraId="64C83E27" w14:textId="77777777" w:rsidR="001D7E70" w:rsidRPr="0031273D" w:rsidRDefault="001D7E70" w:rsidP="0031273D">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pt-BR"/>
              </w:rPr>
            </w:pPr>
            <w:r w:rsidRPr="0031273D">
              <w:rPr>
                <w:rFonts w:eastAsia="Times New Roman" w:cs="Times New Roman"/>
                <w:color w:val="000000"/>
                <w:sz w:val="22"/>
                <w:lang w:eastAsia="pt-BR"/>
              </w:rPr>
              <w:t>953</w:t>
            </w:r>
          </w:p>
        </w:tc>
        <w:tc>
          <w:tcPr>
            <w:tcW w:w="737" w:type="dxa"/>
            <w:gridSpan w:val="2"/>
            <w:noWrap/>
            <w:vAlign w:val="center"/>
            <w:hideMark/>
          </w:tcPr>
          <w:p w14:paraId="71055779" w14:textId="77777777" w:rsidR="001D7E70" w:rsidRPr="0031273D" w:rsidRDefault="001D7E70" w:rsidP="0031273D">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pt-BR"/>
              </w:rPr>
            </w:pPr>
            <w:r w:rsidRPr="0031273D">
              <w:rPr>
                <w:rFonts w:eastAsia="Times New Roman" w:cs="Times New Roman"/>
                <w:color w:val="000000"/>
                <w:sz w:val="22"/>
                <w:lang w:eastAsia="pt-BR"/>
              </w:rPr>
              <w:t>970</w:t>
            </w:r>
          </w:p>
        </w:tc>
        <w:tc>
          <w:tcPr>
            <w:tcW w:w="737" w:type="dxa"/>
            <w:shd w:val="clear" w:color="auto" w:fill="E7E6E6"/>
            <w:noWrap/>
            <w:vAlign w:val="center"/>
            <w:hideMark/>
          </w:tcPr>
          <w:p w14:paraId="74F9C014" w14:textId="77777777" w:rsidR="001D7E70" w:rsidRPr="0031273D" w:rsidRDefault="001D7E70" w:rsidP="0031273D">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pt-BR"/>
              </w:rPr>
            </w:pPr>
            <w:r w:rsidRPr="0031273D">
              <w:rPr>
                <w:rFonts w:eastAsia="Times New Roman" w:cs="Times New Roman"/>
                <w:color w:val="000000"/>
                <w:sz w:val="22"/>
                <w:lang w:eastAsia="pt-BR"/>
              </w:rPr>
              <w:t>954</w:t>
            </w:r>
          </w:p>
        </w:tc>
      </w:tr>
      <w:tr w:rsidR="001D7E70" w:rsidRPr="001D7E70" w14:paraId="0767A6CD" w14:textId="77777777" w:rsidTr="0031273D">
        <w:trPr>
          <w:gridAfter w:val="1"/>
          <w:wAfter w:w="26" w:type="dxa"/>
          <w:trHeight w:val="238"/>
        </w:trPr>
        <w:tc>
          <w:tcPr>
            <w:cnfStyle w:val="001000000000" w:firstRow="0" w:lastRow="0" w:firstColumn="1" w:lastColumn="0" w:oddVBand="0" w:evenVBand="0" w:oddHBand="0" w:evenHBand="0" w:firstRowFirstColumn="0" w:firstRowLastColumn="0" w:lastRowFirstColumn="0" w:lastRowLastColumn="0"/>
            <w:tcW w:w="1675" w:type="dxa"/>
            <w:shd w:val="clear" w:color="auto" w:fill="E7E6E6"/>
            <w:noWrap/>
            <w:vAlign w:val="center"/>
            <w:hideMark/>
          </w:tcPr>
          <w:p w14:paraId="49E8389E" w14:textId="138DE3C1" w:rsidR="001D7E70" w:rsidRPr="001D7E70" w:rsidRDefault="001D7E70" w:rsidP="0031273D">
            <w:pPr>
              <w:ind w:firstLine="0"/>
              <w:jc w:val="center"/>
              <w:rPr>
                <w:rFonts w:eastAsia="Times New Roman" w:cs="Times New Roman"/>
                <w:color w:val="000000"/>
                <w:sz w:val="22"/>
                <w:lang w:eastAsia="pt-BR"/>
              </w:rPr>
            </w:pPr>
            <w:r w:rsidRPr="001D7E70">
              <w:rPr>
                <w:rFonts w:eastAsia="Times New Roman" w:cs="Times New Roman"/>
                <w:color w:val="000000"/>
                <w:sz w:val="22"/>
                <w:lang w:eastAsia="pt-BR"/>
              </w:rPr>
              <w:t>fundamental incompleto</w:t>
            </w:r>
          </w:p>
        </w:tc>
        <w:tc>
          <w:tcPr>
            <w:tcW w:w="737" w:type="dxa"/>
            <w:noWrap/>
            <w:vAlign w:val="center"/>
            <w:hideMark/>
          </w:tcPr>
          <w:p w14:paraId="6CD0E0F5" w14:textId="77777777" w:rsidR="001D7E70" w:rsidRPr="0031273D" w:rsidRDefault="001D7E70" w:rsidP="0031273D">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pt-BR"/>
              </w:rPr>
            </w:pPr>
            <w:r w:rsidRPr="0031273D">
              <w:rPr>
                <w:rFonts w:eastAsia="Times New Roman" w:cs="Times New Roman"/>
                <w:color w:val="000000"/>
                <w:sz w:val="22"/>
                <w:lang w:eastAsia="pt-BR"/>
              </w:rPr>
              <w:t>1.324</w:t>
            </w:r>
          </w:p>
        </w:tc>
        <w:tc>
          <w:tcPr>
            <w:tcW w:w="737" w:type="dxa"/>
            <w:gridSpan w:val="2"/>
            <w:noWrap/>
            <w:vAlign w:val="center"/>
            <w:hideMark/>
          </w:tcPr>
          <w:p w14:paraId="245315DC" w14:textId="77777777" w:rsidR="001D7E70" w:rsidRPr="0031273D" w:rsidRDefault="001D7E70" w:rsidP="0031273D">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pt-BR"/>
              </w:rPr>
            </w:pPr>
            <w:r w:rsidRPr="0031273D">
              <w:rPr>
                <w:rFonts w:eastAsia="Times New Roman" w:cs="Times New Roman"/>
                <w:color w:val="000000"/>
                <w:sz w:val="22"/>
                <w:lang w:eastAsia="pt-BR"/>
              </w:rPr>
              <w:t>1.369</w:t>
            </w:r>
          </w:p>
        </w:tc>
        <w:tc>
          <w:tcPr>
            <w:tcW w:w="737" w:type="dxa"/>
            <w:gridSpan w:val="2"/>
            <w:noWrap/>
            <w:vAlign w:val="center"/>
            <w:hideMark/>
          </w:tcPr>
          <w:p w14:paraId="227A6055" w14:textId="77777777" w:rsidR="001D7E70" w:rsidRPr="0031273D" w:rsidRDefault="001D7E70" w:rsidP="0031273D">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pt-BR"/>
              </w:rPr>
            </w:pPr>
            <w:r w:rsidRPr="0031273D">
              <w:rPr>
                <w:rFonts w:eastAsia="Times New Roman" w:cs="Times New Roman"/>
                <w:color w:val="000000"/>
                <w:sz w:val="22"/>
                <w:lang w:eastAsia="pt-BR"/>
              </w:rPr>
              <w:t>1.417</w:t>
            </w:r>
          </w:p>
        </w:tc>
        <w:tc>
          <w:tcPr>
            <w:tcW w:w="737" w:type="dxa"/>
            <w:gridSpan w:val="3"/>
            <w:noWrap/>
            <w:vAlign w:val="center"/>
            <w:hideMark/>
          </w:tcPr>
          <w:p w14:paraId="4BCE5453" w14:textId="77777777" w:rsidR="001D7E70" w:rsidRPr="0031273D" w:rsidRDefault="001D7E70" w:rsidP="0031273D">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pt-BR"/>
              </w:rPr>
            </w:pPr>
            <w:r w:rsidRPr="0031273D">
              <w:rPr>
                <w:rFonts w:eastAsia="Times New Roman" w:cs="Times New Roman"/>
                <w:color w:val="000000"/>
                <w:sz w:val="22"/>
                <w:lang w:eastAsia="pt-BR"/>
              </w:rPr>
              <w:t>1.399</w:t>
            </w:r>
          </w:p>
        </w:tc>
        <w:tc>
          <w:tcPr>
            <w:tcW w:w="737" w:type="dxa"/>
            <w:gridSpan w:val="2"/>
            <w:noWrap/>
            <w:vAlign w:val="center"/>
            <w:hideMark/>
          </w:tcPr>
          <w:p w14:paraId="4585DDE0" w14:textId="77777777" w:rsidR="001D7E70" w:rsidRPr="0031273D" w:rsidRDefault="001D7E70" w:rsidP="0031273D">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pt-BR"/>
              </w:rPr>
            </w:pPr>
            <w:r w:rsidRPr="0031273D">
              <w:rPr>
                <w:rFonts w:eastAsia="Times New Roman" w:cs="Times New Roman"/>
                <w:color w:val="000000"/>
                <w:sz w:val="22"/>
                <w:lang w:eastAsia="pt-BR"/>
              </w:rPr>
              <w:t>1.320</w:t>
            </w:r>
          </w:p>
        </w:tc>
        <w:tc>
          <w:tcPr>
            <w:tcW w:w="737" w:type="dxa"/>
            <w:gridSpan w:val="2"/>
            <w:noWrap/>
            <w:vAlign w:val="center"/>
            <w:hideMark/>
          </w:tcPr>
          <w:p w14:paraId="3B9DBF87" w14:textId="77777777" w:rsidR="001D7E70" w:rsidRPr="0031273D" w:rsidRDefault="001D7E70" w:rsidP="0031273D">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pt-BR"/>
              </w:rPr>
            </w:pPr>
            <w:r w:rsidRPr="0031273D">
              <w:rPr>
                <w:rFonts w:eastAsia="Times New Roman" w:cs="Times New Roman"/>
                <w:color w:val="000000"/>
                <w:sz w:val="22"/>
                <w:lang w:eastAsia="pt-BR"/>
              </w:rPr>
              <w:t>1.346</w:t>
            </w:r>
          </w:p>
        </w:tc>
        <w:tc>
          <w:tcPr>
            <w:tcW w:w="737" w:type="dxa"/>
            <w:gridSpan w:val="2"/>
            <w:noWrap/>
            <w:vAlign w:val="center"/>
            <w:hideMark/>
          </w:tcPr>
          <w:p w14:paraId="2DC98020" w14:textId="77777777" w:rsidR="001D7E70" w:rsidRPr="0031273D" w:rsidRDefault="001D7E70" w:rsidP="0031273D">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pt-BR"/>
              </w:rPr>
            </w:pPr>
            <w:r w:rsidRPr="0031273D">
              <w:rPr>
                <w:rFonts w:eastAsia="Times New Roman" w:cs="Times New Roman"/>
                <w:color w:val="000000"/>
                <w:sz w:val="22"/>
                <w:lang w:eastAsia="pt-BR"/>
              </w:rPr>
              <w:t>1.346</w:t>
            </w:r>
          </w:p>
        </w:tc>
        <w:tc>
          <w:tcPr>
            <w:tcW w:w="737" w:type="dxa"/>
            <w:gridSpan w:val="2"/>
            <w:noWrap/>
            <w:vAlign w:val="center"/>
            <w:hideMark/>
          </w:tcPr>
          <w:p w14:paraId="26451C8D" w14:textId="77777777" w:rsidR="001D7E70" w:rsidRPr="0031273D" w:rsidRDefault="001D7E70" w:rsidP="0031273D">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pt-BR"/>
              </w:rPr>
            </w:pPr>
            <w:r w:rsidRPr="0031273D">
              <w:rPr>
                <w:rFonts w:eastAsia="Times New Roman" w:cs="Times New Roman"/>
                <w:color w:val="000000"/>
                <w:sz w:val="22"/>
                <w:lang w:eastAsia="pt-BR"/>
              </w:rPr>
              <w:t>1.312</w:t>
            </w:r>
          </w:p>
        </w:tc>
        <w:tc>
          <w:tcPr>
            <w:tcW w:w="737" w:type="dxa"/>
            <w:gridSpan w:val="2"/>
            <w:noWrap/>
            <w:vAlign w:val="center"/>
            <w:hideMark/>
          </w:tcPr>
          <w:p w14:paraId="4465074B" w14:textId="77777777" w:rsidR="001D7E70" w:rsidRPr="0031273D" w:rsidRDefault="001D7E70" w:rsidP="0031273D">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pt-BR"/>
              </w:rPr>
            </w:pPr>
            <w:r w:rsidRPr="0031273D">
              <w:rPr>
                <w:rFonts w:eastAsia="Times New Roman" w:cs="Times New Roman"/>
                <w:color w:val="000000"/>
                <w:sz w:val="22"/>
                <w:lang w:eastAsia="pt-BR"/>
              </w:rPr>
              <w:t>1.316</w:t>
            </w:r>
          </w:p>
        </w:tc>
        <w:tc>
          <w:tcPr>
            <w:tcW w:w="737" w:type="dxa"/>
            <w:shd w:val="clear" w:color="auto" w:fill="E7E6E6"/>
            <w:noWrap/>
            <w:vAlign w:val="center"/>
            <w:hideMark/>
          </w:tcPr>
          <w:p w14:paraId="72D59951" w14:textId="77777777" w:rsidR="001D7E70" w:rsidRPr="0031273D" w:rsidRDefault="001D7E70" w:rsidP="0031273D">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pt-BR"/>
              </w:rPr>
            </w:pPr>
            <w:r w:rsidRPr="0031273D">
              <w:rPr>
                <w:rFonts w:eastAsia="Times New Roman" w:cs="Times New Roman"/>
                <w:color w:val="000000"/>
                <w:sz w:val="22"/>
                <w:lang w:eastAsia="pt-BR"/>
              </w:rPr>
              <w:t>1.350</w:t>
            </w:r>
          </w:p>
        </w:tc>
      </w:tr>
      <w:tr w:rsidR="001D7E70" w:rsidRPr="001D7E70" w14:paraId="2A73ACA9" w14:textId="77777777" w:rsidTr="0031273D">
        <w:trPr>
          <w:gridAfter w:val="1"/>
          <w:cnfStyle w:val="000000100000" w:firstRow="0" w:lastRow="0" w:firstColumn="0" w:lastColumn="0" w:oddVBand="0" w:evenVBand="0" w:oddHBand="1" w:evenHBand="0" w:firstRowFirstColumn="0" w:firstRowLastColumn="0" w:lastRowFirstColumn="0" w:lastRowLastColumn="0"/>
          <w:wAfter w:w="26" w:type="dxa"/>
          <w:trHeight w:val="238"/>
        </w:trPr>
        <w:tc>
          <w:tcPr>
            <w:cnfStyle w:val="001000000000" w:firstRow="0" w:lastRow="0" w:firstColumn="1" w:lastColumn="0" w:oddVBand="0" w:evenVBand="0" w:oddHBand="0" w:evenHBand="0" w:firstRowFirstColumn="0" w:firstRowLastColumn="0" w:lastRowFirstColumn="0" w:lastRowLastColumn="0"/>
            <w:tcW w:w="1675" w:type="dxa"/>
            <w:shd w:val="clear" w:color="auto" w:fill="E7E6E6"/>
            <w:noWrap/>
            <w:vAlign w:val="center"/>
            <w:hideMark/>
          </w:tcPr>
          <w:p w14:paraId="2E76A904" w14:textId="4567104C" w:rsidR="001D7E70" w:rsidRPr="001D7E70" w:rsidRDefault="001D7E70" w:rsidP="0031273D">
            <w:pPr>
              <w:ind w:firstLine="0"/>
              <w:jc w:val="center"/>
              <w:rPr>
                <w:rFonts w:eastAsia="Times New Roman" w:cs="Times New Roman"/>
                <w:color w:val="000000"/>
                <w:sz w:val="22"/>
                <w:lang w:eastAsia="pt-BR"/>
              </w:rPr>
            </w:pPr>
            <w:r w:rsidRPr="001D7E70">
              <w:rPr>
                <w:rFonts w:eastAsia="Times New Roman" w:cs="Times New Roman"/>
                <w:color w:val="000000"/>
                <w:sz w:val="22"/>
                <w:lang w:eastAsia="pt-BR"/>
              </w:rPr>
              <w:t>fundamental completo</w:t>
            </w:r>
          </w:p>
        </w:tc>
        <w:tc>
          <w:tcPr>
            <w:tcW w:w="737" w:type="dxa"/>
            <w:noWrap/>
            <w:vAlign w:val="center"/>
            <w:hideMark/>
          </w:tcPr>
          <w:p w14:paraId="193ECE2E" w14:textId="77777777" w:rsidR="001D7E70" w:rsidRPr="0031273D" w:rsidRDefault="001D7E70" w:rsidP="0031273D">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pt-BR"/>
              </w:rPr>
            </w:pPr>
            <w:r w:rsidRPr="0031273D">
              <w:rPr>
                <w:rFonts w:eastAsia="Times New Roman" w:cs="Times New Roman"/>
                <w:color w:val="000000"/>
                <w:sz w:val="22"/>
                <w:lang w:eastAsia="pt-BR"/>
              </w:rPr>
              <w:t>1.593</w:t>
            </w:r>
          </w:p>
        </w:tc>
        <w:tc>
          <w:tcPr>
            <w:tcW w:w="737" w:type="dxa"/>
            <w:gridSpan w:val="2"/>
            <w:noWrap/>
            <w:vAlign w:val="center"/>
            <w:hideMark/>
          </w:tcPr>
          <w:p w14:paraId="19787861" w14:textId="77777777" w:rsidR="001D7E70" w:rsidRPr="0031273D" w:rsidRDefault="001D7E70" w:rsidP="0031273D">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pt-BR"/>
              </w:rPr>
            </w:pPr>
            <w:r w:rsidRPr="0031273D">
              <w:rPr>
                <w:rFonts w:eastAsia="Times New Roman" w:cs="Times New Roman"/>
                <w:color w:val="000000"/>
                <w:sz w:val="22"/>
                <w:lang w:eastAsia="pt-BR"/>
              </w:rPr>
              <w:t>1.658</w:t>
            </w:r>
          </w:p>
        </w:tc>
        <w:tc>
          <w:tcPr>
            <w:tcW w:w="737" w:type="dxa"/>
            <w:gridSpan w:val="2"/>
            <w:noWrap/>
            <w:vAlign w:val="center"/>
            <w:hideMark/>
          </w:tcPr>
          <w:p w14:paraId="3DAEE786" w14:textId="77777777" w:rsidR="001D7E70" w:rsidRPr="0031273D" w:rsidRDefault="001D7E70" w:rsidP="0031273D">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pt-BR"/>
              </w:rPr>
            </w:pPr>
            <w:r w:rsidRPr="0031273D">
              <w:rPr>
                <w:rFonts w:eastAsia="Times New Roman" w:cs="Times New Roman"/>
                <w:color w:val="000000"/>
                <w:sz w:val="22"/>
                <w:lang w:eastAsia="pt-BR"/>
              </w:rPr>
              <w:t>1.729</w:t>
            </w:r>
          </w:p>
        </w:tc>
        <w:tc>
          <w:tcPr>
            <w:tcW w:w="737" w:type="dxa"/>
            <w:gridSpan w:val="3"/>
            <w:noWrap/>
            <w:vAlign w:val="center"/>
            <w:hideMark/>
          </w:tcPr>
          <w:p w14:paraId="79F4C1B0" w14:textId="77777777" w:rsidR="001D7E70" w:rsidRPr="0031273D" w:rsidRDefault="001D7E70" w:rsidP="0031273D">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pt-BR"/>
              </w:rPr>
            </w:pPr>
            <w:r w:rsidRPr="0031273D">
              <w:rPr>
                <w:rFonts w:eastAsia="Times New Roman" w:cs="Times New Roman"/>
                <w:color w:val="000000"/>
                <w:sz w:val="22"/>
                <w:lang w:eastAsia="pt-BR"/>
              </w:rPr>
              <w:t>1.667</w:t>
            </w:r>
          </w:p>
        </w:tc>
        <w:tc>
          <w:tcPr>
            <w:tcW w:w="737" w:type="dxa"/>
            <w:gridSpan w:val="2"/>
            <w:noWrap/>
            <w:vAlign w:val="center"/>
            <w:hideMark/>
          </w:tcPr>
          <w:p w14:paraId="3DB77E1D" w14:textId="77777777" w:rsidR="001D7E70" w:rsidRPr="0031273D" w:rsidRDefault="001D7E70" w:rsidP="0031273D">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pt-BR"/>
              </w:rPr>
            </w:pPr>
            <w:r w:rsidRPr="0031273D">
              <w:rPr>
                <w:rFonts w:eastAsia="Times New Roman" w:cs="Times New Roman"/>
                <w:color w:val="000000"/>
                <w:sz w:val="22"/>
                <w:lang w:eastAsia="pt-BR"/>
              </w:rPr>
              <w:t>1.617</w:t>
            </w:r>
          </w:p>
        </w:tc>
        <w:tc>
          <w:tcPr>
            <w:tcW w:w="737" w:type="dxa"/>
            <w:gridSpan w:val="2"/>
            <w:noWrap/>
            <w:vAlign w:val="center"/>
            <w:hideMark/>
          </w:tcPr>
          <w:p w14:paraId="436DFE12" w14:textId="77777777" w:rsidR="001D7E70" w:rsidRPr="0031273D" w:rsidRDefault="001D7E70" w:rsidP="0031273D">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pt-BR"/>
              </w:rPr>
            </w:pPr>
            <w:r w:rsidRPr="0031273D">
              <w:rPr>
                <w:rFonts w:eastAsia="Times New Roman" w:cs="Times New Roman"/>
                <w:color w:val="000000"/>
                <w:sz w:val="22"/>
                <w:lang w:eastAsia="pt-BR"/>
              </w:rPr>
              <w:t>1.600</w:t>
            </w:r>
          </w:p>
        </w:tc>
        <w:tc>
          <w:tcPr>
            <w:tcW w:w="737" w:type="dxa"/>
            <w:gridSpan w:val="2"/>
            <w:noWrap/>
            <w:vAlign w:val="center"/>
            <w:hideMark/>
          </w:tcPr>
          <w:p w14:paraId="6DB8C2B7" w14:textId="77777777" w:rsidR="001D7E70" w:rsidRPr="0031273D" w:rsidRDefault="001D7E70" w:rsidP="0031273D">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pt-BR"/>
              </w:rPr>
            </w:pPr>
            <w:r w:rsidRPr="0031273D">
              <w:rPr>
                <w:rFonts w:eastAsia="Times New Roman" w:cs="Times New Roman"/>
                <w:color w:val="000000"/>
                <w:sz w:val="22"/>
                <w:lang w:eastAsia="pt-BR"/>
              </w:rPr>
              <w:t>1.594</w:t>
            </w:r>
          </w:p>
        </w:tc>
        <w:tc>
          <w:tcPr>
            <w:tcW w:w="737" w:type="dxa"/>
            <w:gridSpan w:val="2"/>
            <w:noWrap/>
            <w:vAlign w:val="center"/>
            <w:hideMark/>
          </w:tcPr>
          <w:p w14:paraId="6412DFF0" w14:textId="77777777" w:rsidR="001D7E70" w:rsidRPr="0031273D" w:rsidRDefault="001D7E70" w:rsidP="0031273D">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pt-BR"/>
              </w:rPr>
            </w:pPr>
            <w:r w:rsidRPr="0031273D">
              <w:rPr>
                <w:rFonts w:eastAsia="Times New Roman" w:cs="Times New Roman"/>
                <w:color w:val="000000"/>
                <w:sz w:val="22"/>
                <w:lang w:eastAsia="pt-BR"/>
              </w:rPr>
              <w:t>1.610</w:t>
            </w:r>
          </w:p>
        </w:tc>
        <w:tc>
          <w:tcPr>
            <w:tcW w:w="737" w:type="dxa"/>
            <w:gridSpan w:val="2"/>
            <w:noWrap/>
            <w:vAlign w:val="center"/>
            <w:hideMark/>
          </w:tcPr>
          <w:p w14:paraId="4325E4F6" w14:textId="77777777" w:rsidR="001D7E70" w:rsidRPr="0031273D" w:rsidRDefault="001D7E70" w:rsidP="0031273D">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pt-BR"/>
              </w:rPr>
            </w:pPr>
            <w:r w:rsidRPr="0031273D">
              <w:rPr>
                <w:rFonts w:eastAsia="Times New Roman" w:cs="Times New Roman"/>
                <w:color w:val="000000"/>
                <w:sz w:val="22"/>
                <w:lang w:eastAsia="pt-BR"/>
              </w:rPr>
              <w:t>1.570</w:t>
            </w:r>
          </w:p>
        </w:tc>
        <w:tc>
          <w:tcPr>
            <w:tcW w:w="737" w:type="dxa"/>
            <w:shd w:val="clear" w:color="auto" w:fill="E7E6E6"/>
            <w:noWrap/>
            <w:vAlign w:val="center"/>
            <w:hideMark/>
          </w:tcPr>
          <w:p w14:paraId="1FCD84FD" w14:textId="77777777" w:rsidR="001D7E70" w:rsidRPr="0031273D" w:rsidRDefault="001D7E70" w:rsidP="0031273D">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pt-BR"/>
              </w:rPr>
            </w:pPr>
            <w:r w:rsidRPr="0031273D">
              <w:rPr>
                <w:rFonts w:eastAsia="Times New Roman" w:cs="Times New Roman"/>
                <w:color w:val="000000"/>
                <w:sz w:val="22"/>
                <w:lang w:eastAsia="pt-BR"/>
              </w:rPr>
              <w:t>1.626</w:t>
            </w:r>
          </w:p>
        </w:tc>
      </w:tr>
      <w:tr w:rsidR="001D7E70" w:rsidRPr="001D7E70" w14:paraId="04236F63" w14:textId="77777777" w:rsidTr="0031273D">
        <w:trPr>
          <w:gridAfter w:val="1"/>
          <w:wAfter w:w="26" w:type="dxa"/>
          <w:trHeight w:val="238"/>
        </w:trPr>
        <w:tc>
          <w:tcPr>
            <w:cnfStyle w:val="001000000000" w:firstRow="0" w:lastRow="0" w:firstColumn="1" w:lastColumn="0" w:oddVBand="0" w:evenVBand="0" w:oddHBand="0" w:evenHBand="0" w:firstRowFirstColumn="0" w:firstRowLastColumn="0" w:lastRowFirstColumn="0" w:lastRowLastColumn="0"/>
            <w:tcW w:w="1675" w:type="dxa"/>
            <w:shd w:val="clear" w:color="auto" w:fill="E7E6E6"/>
            <w:noWrap/>
            <w:vAlign w:val="center"/>
            <w:hideMark/>
          </w:tcPr>
          <w:p w14:paraId="32B3A590" w14:textId="1DE8FB65" w:rsidR="001D7E70" w:rsidRPr="001D7E70" w:rsidRDefault="001D7E70" w:rsidP="0031273D">
            <w:pPr>
              <w:ind w:firstLine="0"/>
              <w:jc w:val="center"/>
              <w:rPr>
                <w:rFonts w:eastAsia="Times New Roman" w:cs="Times New Roman"/>
                <w:color w:val="000000"/>
                <w:sz w:val="22"/>
                <w:lang w:eastAsia="pt-BR"/>
              </w:rPr>
            </w:pPr>
            <w:r w:rsidRPr="001D7E70">
              <w:rPr>
                <w:rFonts w:eastAsia="Times New Roman" w:cs="Times New Roman"/>
                <w:color w:val="000000"/>
                <w:sz w:val="22"/>
                <w:lang w:eastAsia="pt-BR"/>
              </w:rPr>
              <w:t>médio incompleto</w:t>
            </w:r>
          </w:p>
        </w:tc>
        <w:tc>
          <w:tcPr>
            <w:tcW w:w="737" w:type="dxa"/>
            <w:noWrap/>
            <w:vAlign w:val="center"/>
            <w:hideMark/>
          </w:tcPr>
          <w:p w14:paraId="30E35ACF" w14:textId="77777777" w:rsidR="001D7E70" w:rsidRPr="0031273D" w:rsidRDefault="001D7E70" w:rsidP="0031273D">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pt-BR"/>
              </w:rPr>
            </w:pPr>
            <w:r w:rsidRPr="0031273D">
              <w:rPr>
                <w:rFonts w:eastAsia="Times New Roman" w:cs="Times New Roman"/>
                <w:color w:val="000000"/>
                <w:sz w:val="22"/>
                <w:lang w:eastAsia="pt-BR"/>
              </w:rPr>
              <w:t>1.445</w:t>
            </w:r>
          </w:p>
        </w:tc>
        <w:tc>
          <w:tcPr>
            <w:tcW w:w="737" w:type="dxa"/>
            <w:gridSpan w:val="2"/>
            <w:noWrap/>
            <w:vAlign w:val="center"/>
            <w:hideMark/>
          </w:tcPr>
          <w:p w14:paraId="1D1F7458" w14:textId="77777777" w:rsidR="001D7E70" w:rsidRPr="0031273D" w:rsidRDefault="001D7E70" w:rsidP="0031273D">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pt-BR"/>
              </w:rPr>
            </w:pPr>
            <w:r w:rsidRPr="0031273D">
              <w:rPr>
                <w:rFonts w:eastAsia="Times New Roman" w:cs="Times New Roman"/>
                <w:color w:val="000000"/>
                <w:sz w:val="22"/>
                <w:lang w:eastAsia="pt-BR"/>
              </w:rPr>
              <w:t>1.490</w:t>
            </w:r>
          </w:p>
        </w:tc>
        <w:tc>
          <w:tcPr>
            <w:tcW w:w="737" w:type="dxa"/>
            <w:gridSpan w:val="2"/>
            <w:noWrap/>
            <w:vAlign w:val="center"/>
            <w:hideMark/>
          </w:tcPr>
          <w:p w14:paraId="5ABF0FD6" w14:textId="77777777" w:rsidR="001D7E70" w:rsidRPr="0031273D" w:rsidRDefault="001D7E70" w:rsidP="0031273D">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pt-BR"/>
              </w:rPr>
            </w:pPr>
            <w:r w:rsidRPr="0031273D">
              <w:rPr>
                <w:rFonts w:eastAsia="Times New Roman" w:cs="Times New Roman"/>
                <w:color w:val="000000"/>
                <w:sz w:val="22"/>
                <w:lang w:eastAsia="pt-BR"/>
              </w:rPr>
              <w:t>1.556</w:t>
            </w:r>
          </w:p>
        </w:tc>
        <w:tc>
          <w:tcPr>
            <w:tcW w:w="737" w:type="dxa"/>
            <w:gridSpan w:val="3"/>
            <w:noWrap/>
            <w:vAlign w:val="center"/>
            <w:hideMark/>
          </w:tcPr>
          <w:p w14:paraId="6ECF6399" w14:textId="77777777" w:rsidR="001D7E70" w:rsidRPr="0031273D" w:rsidRDefault="001D7E70" w:rsidP="0031273D">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pt-BR"/>
              </w:rPr>
            </w:pPr>
            <w:r w:rsidRPr="0031273D">
              <w:rPr>
                <w:rFonts w:eastAsia="Times New Roman" w:cs="Times New Roman"/>
                <w:color w:val="000000"/>
                <w:sz w:val="22"/>
                <w:lang w:eastAsia="pt-BR"/>
              </w:rPr>
              <w:t>1.500</w:t>
            </w:r>
          </w:p>
        </w:tc>
        <w:tc>
          <w:tcPr>
            <w:tcW w:w="737" w:type="dxa"/>
            <w:gridSpan w:val="2"/>
            <w:noWrap/>
            <w:vAlign w:val="center"/>
            <w:hideMark/>
          </w:tcPr>
          <w:p w14:paraId="252CE323" w14:textId="77777777" w:rsidR="001D7E70" w:rsidRPr="0031273D" w:rsidRDefault="001D7E70" w:rsidP="0031273D">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pt-BR"/>
              </w:rPr>
            </w:pPr>
            <w:r w:rsidRPr="0031273D">
              <w:rPr>
                <w:rFonts w:eastAsia="Times New Roman" w:cs="Times New Roman"/>
                <w:color w:val="000000"/>
                <w:sz w:val="22"/>
                <w:lang w:eastAsia="pt-BR"/>
              </w:rPr>
              <w:t>1.391</w:t>
            </w:r>
          </w:p>
        </w:tc>
        <w:tc>
          <w:tcPr>
            <w:tcW w:w="737" w:type="dxa"/>
            <w:gridSpan w:val="2"/>
            <w:noWrap/>
            <w:vAlign w:val="center"/>
            <w:hideMark/>
          </w:tcPr>
          <w:p w14:paraId="4612879D" w14:textId="77777777" w:rsidR="001D7E70" w:rsidRPr="0031273D" w:rsidRDefault="001D7E70" w:rsidP="0031273D">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pt-BR"/>
              </w:rPr>
            </w:pPr>
            <w:r w:rsidRPr="0031273D">
              <w:rPr>
                <w:rFonts w:eastAsia="Times New Roman" w:cs="Times New Roman"/>
                <w:color w:val="000000"/>
                <w:sz w:val="22"/>
                <w:lang w:eastAsia="pt-BR"/>
              </w:rPr>
              <w:t>1.437</w:t>
            </w:r>
          </w:p>
        </w:tc>
        <w:tc>
          <w:tcPr>
            <w:tcW w:w="737" w:type="dxa"/>
            <w:gridSpan w:val="2"/>
            <w:noWrap/>
            <w:vAlign w:val="center"/>
            <w:hideMark/>
          </w:tcPr>
          <w:p w14:paraId="4FE959F7" w14:textId="77777777" w:rsidR="001D7E70" w:rsidRPr="0031273D" w:rsidRDefault="001D7E70" w:rsidP="0031273D">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pt-BR"/>
              </w:rPr>
            </w:pPr>
            <w:r w:rsidRPr="0031273D">
              <w:rPr>
                <w:rFonts w:eastAsia="Times New Roman" w:cs="Times New Roman"/>
                <w:color w:val="000000"/>
                <w:sz w:val="22"/>
                <w:lang w:eastAsia="pt-BR"/>
              </w:rPr>
              <w:t>1.476</w:t>
            </w:r>
          </w:p>
        </w:tc>
        <w:tc>
          <w:tcPr>
            <w:tcW w:w="737" w:type="dxa"/>
            <w:gridSpan w:val="2"/>
            <w:noWrap/>
            <w:vAlign w:val="center"/>
            <w:hideMark/>
          </w:tcPr>
          <w:p w14:paraId="462D40F5" w14:textId="77777777" w:rsidR="001D7E70" w:rsidRPr="0031273D" w:rsidRDefault="001D7E70" w:rsidP="0031273D">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pt-BR"/>
              </w:rPr>
            </w:pPr>
            <w:r w:rsidRPr="0031273D">
              <w:rPr>
                <w:rFonts w:eastAsia="Times New Roman" w:cs="Times New Roman"/>
                <w:color w:val="000000"/>
                <w:sz w:val="22"/>
                <w:lang w:eastAsia="pt-BR"/>
              </w:rPr>
              <w:t>1.477</w:t>
            </w:r>
          </w:p>
        </w:tc>
        <w:tc>
          <w:tcPr>
            <w:tcW w:w="737" w:type="dxa"/>
            <w:gridSpan w:val="2"/>
            <w:noWrap/>
            <w:vAlign w:val="center"/>
            <w:hideMark/>
          </w:tcPr>
          <w:p w14:paraId="5121C3E1" w14:textId="77777777" w:rsidR="001D7E70" w:rsidRPr="0031273D" w:rsidRDefault="001D7E70" w:rsidP="0031273D">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pt-BR"/>
              </w:rPr>
            </w:pPr>
            <w:r w:rsidRPr="0031273D">
              <w:rPr>
                <w:rFonts w:eastAsia="Times New Roman" w:cs="Times New Roman"/>
                <w:color w:val="000000"/>
                <w:sz w:val="22"/>
                <w:lang w:eastAsia="pt-BR"/>
              </w:rPr>
              <w:t>1.447</w:t>
            </w:r>
          </w:p>
        </w:tc>
        <w:tc>
          <w:tcPr>
            <w:tcW w:w="737" w:type="dxa"/>
            <w:shd w:val="clear" w:color="auto" w:fill="E7E6E6"/>
            <w:noWrap/>
            <w:vAlign w:val="center"/>
            <w:hideMark/>
          </w:tcPr>
          <w:p w14:paraId="17647684" w14:textId="77777777" w:rsidR="001D7E70" w:rsidRPr="0031273D" w:rsidRDefault="001D7E70" w:rsidP="0031273D">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pt-BR"/>
              </w:rPr>
            </w:pPr>
            <w:r w:rsidRPr="0031273D">
              <w:rPr>
                <w:rFonts w:eastAsia="Times New Roman" w:cs="Times New Roman"/>
                <w:color w:val="000000"/>
                <w:sz w:val="22"/>
                <w:lang w:eastAsia="pt-BR"/>
              </w:rPr>
              <w:t>1.469</w:t>
            </w:r>
          </w:p>
        </w:tc>
      </w:tr>
      <w:tr w:rsidR="001D7E70" w:rsidRPr="001D7E70" w14:paraId="44FC47F4" w14:textId="77777777" w:rsidTr="0031273D">
        <w:trPr>
          <w:gridAfter w:val="1"/>
          <w:cnfStyle w:val="000000100000" w:firstRow="0" w:lastRow="0" w:firstColumn="0" w:lastColumn="0" w:oddVBand="0" w:evenVBand="0" w:oddHBand="1" w:evenHBand="0" w:firstRowFirstColumn="0" w:firstRowLastColumn="0" w:lastRowFirstColumn="0" w:lastRowLastColumn="0"/>
          <w:wAfter w:w="26" w:type="dxa"/>
          <w:trHeight w:val="238"/>
        </w:trPr>
        <w:tc>
          <w:tcPr>
            <w:cnfStyle w:val="001000000000" w:firstRow="0" w:lastRow="0" w:firstColumn="1" w:lastColumn="0" w:oddVBand="0" w:evenVBand="0" w:oddHBand="0" w:evenHBand="0" w:firstRowFirstColumn="0" w:firstRowLastColumn="0" w:lastRowFirstColumn="0" w:lastRowLastColumn="0"/>
            <w:tcW w:w="1675" w:type="dxa"/>
            <w:shd w:val="clear" w:color="auto" w:fill="E7E6E6"/>
            <w:noWrap/>
            <w:vAlign w:val="center"/>
            <w:hideMark/>
          </w:tcPr>
          <w:p w14:paraId="5E74DCBD" w14:textId="0E01059F" w:rsidR="001D7E70" w:rsidRPr="001D7E70" w:rsidRDefault="001D7E70" w:rsidP="0031273D">
            <w:pPr>
              <w:ind w:firstLine="0"/>
              <w:jc w:val="center"/>
              <w:rPr>
                <w:rFonts w:eastAsia="Times New Roman" w:cs="Times New Roman"/>
                <w:color w:val="000000"/>
                <w:sz w:val="22"/>
                <w:lang w:eastAsia="pt-BR"/>
              </w:rPr>
            </w:pPr>
            <w:r w:rsidRPr="001D7E70">
              <w:rPr>
                <w:rFonts w:eastAsia="Times New Roman" w:cs="Times New Roman"/>
                <w:color w:val="000000"/>
                <w:sz w:val="22"/>
                <w:lang w:eastAsia="pt-BR"/>
              </w:rPr>
              <w:t>médio completo</w:t>
            </w:r>
          </w:p>
        </w:tc>
        <w:tc>
          <w:tcPr>
            <w:tcW w:w="737" w:type="dxa"/>
            <w:noWrap/>
            <w:vAlign w:val="center"/>
            <w:hideMark/>
          </w:tcPr>
          <w:p w14:paraId="44452C35" w14:textId="77777777" w:rsidR="001D7E70" w:rsidRPr="0031273D" w:rsidRDefault="001D7E70" w:rsidP="0031273D">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pt-BR"/>
              </w:rPr>
            </w:pPr>
            <w:r w:rsidRPr="0031273D">
              <w:rPr>
                <w:rFonts w:eastAsia="Times New Roman" w:cs="Times New Roman"/>
                <w:color w:val="000000"/>
                <w:sz w:val="22"/>
                <w:lang w:eastAsia="pt-BR"/>
              </w:rPr>
              <w:t>2.048</w:t>
            </w:r>
          </w:p>
        </w:tc>
        <w:tc>
          <w:tcPr>
            <w:tcW w:w="737" w:type="dxa"/>
            <w:gridSpan w:val="2"/>
            <w:noWrap/>
            <w:vAlign w:val="center"/>
            <w:hideMark/>
          </w:tcPr>
          <w:p w14:paraId="2CBDB629" w14:textId="77777777" w:rsidR="001D7E70" w:rsidRPr="0031273D" w:rsidRDefault="001D7E70" w:rsidP="0031273D">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pt-BR"/>
              </w:rPr>
            </w:pPr>
            <w:r w:rsidRPr="0031273D">
              <w:rPr>
                <w:rFonts w:eastAsia="Times New Roman" w:cs="Times New Roman"/>
                <w:color w:val="000000"/>
                <w:sz w:val="22"/>
                <w:lang w:eastAsia="pt-BR"/>
              </w:rPr>
              <w:t>2.053</w:t>
            </w:r>
          </w:p>
        </w:tc>
        <w:tc>
          <w:tcPr>
            <w:tcW w:w="737" w:type="dxa"/>
            <w:gridSpan w:val="2"/>
            <w:noWrap/>
            <w:vAlign w:val="center"/>
            <w:hideMark/>
          </w:tcPr>
          <w:p w14:paraId="0502129F" w14:textId="77777777" w:rsidR="001D7E70" w:rsidRPr="0031273D" w:rsidRDefault="001D7E70" w:rsidP="0031273D">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pt-BR"/>
              </w:rPr>
            </w:pPr>
            <w:r w:rsidRPr="0031273D">
              <w:rPr>
                <w:rFonts w:eastAsia="Times New Roman" w:cs="Times New Roman"/>
                <w:color w:val="000000"/>
                <w:sz w:val="22"/>
                <w:lang w:eastAsia="pt-BR"/>
              </w:rPr>
              <w:t>2.108</w:t>
            </w:r>
          </w:p>
        </w:tc>
        <w:tc>
          <w:tcPr>
            <w:tcW w:w="737" w:type="dxa"/>
            <w:gridSpan w:val="3"/>
            <w:noWrap/>
            <w:vAlign w:val="center"/>
            <w:hideMark/>
          </w:tcPr>
          <w:p w14:paraId="3B911B6E" w14:textId="77777777" w:rsidR="001D7E70" w:rsidRPr="0031273D" w:rsidRDefault="001D7E70" w:rsidP="0031273D">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pt-BR"/>
              </w:rPr>
            </w:pPr>
            <w:r w:rsidRPr="0031273D">
              <w:rPr>
                <w:rFonts w:eastAsia="Times New Roman" w:cs="Times New Roman"/>
                <w:color w:val="000000"/>
                <w:sz w:val="22"/>
                <w:lang w:eastAsia="pt-BR"/>
              </w:rPr>
              <w:t>2.061</w:t>
            </w:r>
          </w:p>
        </w:tc>
        <w:tc>
          <w:tcPr>
            <w:tcW w:w="737" w:type="dxa"/>
            <w:gridSpan w:val="2"/>
            <w:noWrap/>
            <w:vAlign w:val="center"/>
            <w:hideMark/>
          </w:tcPr>
          <w:p w14:paraId="48D6113E" w14:textId="77777777" w:rsidR="001D7E70" w:rsidRPr="0031273D" w:rsidRDefault="001D7E70" w:rsidP="0031273D">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pt-BR"/>
              </w:rPr>
            </w:pPr>
            <w:r w:rsidRPr="0031273D">
              <w:rPr>
                <w:rFonts w:eastAsia="Times New Roman" w:cs="Times New Roman"/>
                <w:color w:val="000000"/>
                <w:sz w:val="22"/>
                <w:lang w:eastAsia="pt-BR"/>
              </w:rPr>
              <w:t>1.935</w:t>
            </w:r>
          </w:p>
        </w:tc>
        <w:tc>
          <w:tcPr>
            <w:tcW w:w="737" w:type="dxa"/>
            <w:gridSpan w:val="2"/>
            <w:noWrap/>
            <w:vAlign w:val="center"/>
            <w:hideMark/>
          </w:tcPr>
          <w:p w14:paraId="57605FE6" w14:textId="77777777" w:rsidR="001D7E70" w:rsidRPr="0031273D" w:rsidRDefault="001D7E70" w:rsidP="0031273D">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pt-BR"/>
              </w:rPr>
            </w:pPr>
            <w:r w:rsidRPr="0031273D">
              <w:rPr>
                <w:rFonts w:eastAsia="Times New Roman" w:cs="Times New Roman"/>
                <w:color w:val="000000"/>
                <w:sz w:val="22"/>
                <w:lang w:eastAsia="pt-BR"/>
              </w:rPr>
              <w:t>1.943</w:t>
            </w:r>
          </w:p>
        </w:tc>
        <w:tc>
          <w:tcPr>
            <w:tcW w:w="737" w:type="dxa"/>
            <w:gridSpan w:val="2"/>
            <w:noWrap/>
            <w:vAlign w:val="center"/>
            <w:hideMark/>
          </w:tcPr>
          <w:p w14:paraId="274BD55F" w14:textId="77777777" w:rsidR="001D7E70" w:rsidRPr="0031273D" w:rsidRDefault="001D7E70" w:rsidP="0031273D">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pt-BR"/>
              </w:rPr>
            </w:pPr>
            <w:r w:rsidRPr="0031273D">
              <w:rPr>
                <w:rFonts w:eastAsia="Times New Roman" w:cs="Times New Roman"/>
                <w:color w:val="000000"/>
                <w:sz w:val="22"/>
                <w:lang w:eastAsia="pt-BR"/>
              </w:rPr>
              <w:t>1.904</w:t>
            </w:r>
          </w:p>
        </w:tc>
        <w:tc>
          <w:tcPr>
            <w:tcW w:w="737" w:type="dxa"/>
            <w:gridSpan w:val="2"/>
            <w:noWrap/>
            <w:vAlign w:val="center"/>
            <w:hideMark/>
          </w:tcPr>
          <w:p w14:paraId="234556AF" w14:textId="77777777" w:rsidR="001D7E70" w:rsidRPr="0031273D" w:rsidRDefault="001D7E70" w:rsidP="0031273D">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pt-BR"/>
              </w:rPr>
            </w:pPr>
            <w:r w:rsidRPr="0031273D">
              <w:rPr>
                <w:rFonts w:eastAsia="Times New Roman" w:cs="Times New Roman"/>
                <w:color w:val="000000"/>
                <w:sz w:val="22"/>
                <w:lang w:eastAsia="pt-BR"/>
              </w:rPr>
              <w:t>1.899</w:t>
            </w:r>
          </w:p>
        </w:tc>
        <w:tc>
          <w:tcPr>
            <w:tcW w:w="737" w:type="dxa"/>
            <w:gridSpan w:val="2"/>
            <w:noWrap/>
            <w:vAlign w:val="center"/>
            <w:hideMark/>
          </w:tcPr>
          <w:p w14:paraId="361B41C1" w14:textId="77777777" w:rsidR="001D7E70" w:rsidRPr="0031273D" w:rsidRDefault="001D7E70" w:rsidP="0031273D">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pt-BR"/>
              </w:rPr>
            </w:pPr>
            <w:r w:rsidRPr="0031273D">
              <w:rPr>
                <w:rFonts w:eastAsia="Times New Roman" w:cs="Times New Roman"/>
                <w:color w:val="000000"/>
                <w:sz w:val="22"/>
                <w:lang w:eastAsia="pt-BR"/>
              </w:rPr>
              <w:t>1.869</w:t>
            </w:r>
          </w:p>
        </w:tc>
        <w:tc>
          <w:tcPr>
            <w:tcW w:w="737" w:type="dxa"/>
            <w:shd w:val="clear" w:color="auto" w:fill="E7E6E6"/>
            <w:noWrap/>
            <w:vAlign w:val="center"/>
            <w:hideMark/>
          </w:tcPr>
          <w:p w14:paraId="4EB65C35" w14:textId="77777777" w:rsidR="001D7E70" w:rsidRPr="0031273D" w:rsidRDefault="001D7E70" w:rsidP="0031273D">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pt-BR"/>
              </w:rPr>
            </w:pPr>
            <w:r w:rsidRPr="0031273D">
              <w:rPr>
                <w:rFonts w:eastAsia="Times New Roman" w:cs="Times New Roman"/>
                <w:color w:val="000000"/>
                <w:sz w:val="22"/>
                <w:lang w:eastAsia="pt-BR"/>
              </w:rPr>
              <w:t>1.980</w:t>
            </w:r>
          </w:p>
        </w:tc>
      </w:tr>
      <w:tr w:rsidR="001D7E70" w:rsidRPr="001D7E70" w14:paraId="366ED772" w14:textId="77777777" w:rsidTr="0031273D">
        <w:trPr>
          <w:gridAfter w:val="1"/>
          <w:wAfter w:w="26" w:type="dxa"/>
          <w:trHeight w:val="238"/>
        </w:trPr>
        <w:tc>
          <w:tcPr>
            <w:cnfStyle w:val="001000000000" w:firstRow="0" w:lastRow="0" w:firstColumn="1" w:lastColumn="0" w:oddVBand="0" w:evenVBand="0" w:oddHBand="0" w:evenHBand="0" w:firstRowFirstColumn="0" w:firstRowLastColumn="0" w:lastRowFirstColumn="0" w:lastRowLastColumn="0"/>
            <w:tcW w:w="1675" w:type="dxa"/>
            <w:shd w:val="clear" w:color="auto" w:fill="E7E6E6"/>
            <w:noWrap/>
            <w:vAlign w:val="center"/>
            <w:hideMark/>
          </w:tcPr>
          <w:p w14:paraId="1D61284B" w14:textId="58415384" w:rsidR="001D7E70" w:rsidRPr="001D7E70" w:rsidRDefault="001D7E70" w:rsidP="0031273D">
            <w:pPr>
              <w:ind w:firstLine="0"/>
              <w:jc w:val="center"/>
              <w:rPr>
                <w:rFonts w:eastAsia="Times New Roman" w:cs="Times New Roman"/>
                <w:color w:val="000000"/>
                <w:sz w:val="22"/>
                <w:lang w:eastAsia="pt-BR"/>
              </w:rPr>
            </w:pPr>
            <w:r w:rsidRPr="001D7E70">
              <w:rPr>
                <w:rFonts w:eastAsia="Times New Roman" w:cs="Times New Roman"/>
                <w:color w:val="000000"/>
                <w:sz w:val="22"/>
                <w:lang w:eastAsia="pt-BR"/>
              </w:rPr>
              <w:t>superior incompleto</w:t>
            </w:r>
          </w:p>
        </w:tc>
        <w:tc>
          <w:tcPr>
            <w:tcW w:w="737" w:type="dxa"/>
            <w:noWrap/>
            <w:vAlign w:val="center"/>
            <w:hideMark/>
          </w:tcPr>
          <w:p w14:paraId="3353981E" w14:textId="77777777" w:rsidR="001D7E70" w:rsidRPr="0031273D" w:rsidRDefault="001D7E70" w:rsidP="0031273D">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pt-BR"/>
              </w:rPr>
            </w:pPr>
            <w:r w:rsidRPr="0031273D">
              <w:rPr>
                <w:rFonts w:eastAsia="Times New Roman" w:cs="Times New Roman"/>
                <w:color w:val="000000"/>
                <w:sz w:val="22"/>
                <w:lang w:eastAsia="pt-BR"/>
              </w:rPr>
              <w:t>2.661</w:t>
            </w:r>
          </w:p>
        </w:tc>
        <w:tc>
          <w:tcPr>
            <w:tcW w:w="737" w:type="dxa"/>
            <w:gridSpan w:val="2"/>
            <w:noWrap/>
            <w:vAlign w:val="center"/>
            <w:hideMark/>
          </w:tcPr>
          <w:p w14:paraId="28FF8CB1" w14:textId="77777777" w:rsidR="001D7E70" w:rsidRPr="0031273D" w:rsidRDefault="001D7E70" w:rsidP="0031273D">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pt-BR"/>
              </w:rPr>
            </w:pPr>
            <w:r w:rsidRPr="0031273D">
              <w:rPr>
                <w:rFonts w:eastAsia="Times New Roman" w:cs="Times New Roman"/>
                <w:color w:val="000000"/>
                <w:sz w:val="22"/>
                <w:lang w:eastAsia="pt-BR"/>
              </w:rPr>
              <w:t>2.577</w:t>
            </w:r>
          </w:p>
        </w:tc>
        <w:tc>
          <w:tcPr>
            <w:tcW w:w="737" w:type="dxa"/>
            <w:gridSpan w:val="2"/>
            <w:noWrap/>
            <w:vAlign w:val="center"/>
            <w:hideMark/>
          </w:tcPr>
          <w:p w14:paraId="6EC53B50" w14:textId="77777777" w:rsidR="001D7E70" w:rsidRPr="0031273D" w:rsidRDefault="001D7E70" w:rsidP="0031273D">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pt-BR"/>
              </w:rPr>
            </w:pPr>
            <w:r w:rsidRPr="0031273D">
              <w:rPr>
                <w:rFonts w:eastAsia="Times New Roman" w:cs="Times New Roman"/>
                <w:color w:val="000000"/>
                <w:sz w:val="22"/>
                <w:lang w:eastAsia="pt-BR"/>
              </w:rPr>
              <w:t>2.523</w:t>
            </w:r>
          </w:p>
        </w:tc>
        <w:tc>
          <w:tcPr>
            <w:tcW w:w="737" w:type="dxa"/>
            <w:gridSpan w:val="3"/>
            <w:noWrap/>
            <w:vAlign w:val="center"/>
            <w:hideMark/>
          </w:tcPr>
          <w:p w14:paraId="1F81642D" w14:textId="77777777" w:rsidR="001D7E70" w:rsidRPr="0031273D" w:rsidRDefault="001D7E70" w:rsidP="0031273D">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pt-BR"/>
              </w:rPr>
            </w:pPr>
            <w:r w:rsidRPr="0031273D">
              <w:rPr>
                <w:rFonts w:eastAsia="Times New Roman" w:cs="Times New Roman"/>
                <w:color w:val="000000"/>
                <w:sz w:val="22"/>
                <w:lang w:eastAsia="pt-BR"/>
              </w:rPr>
              <w:t>2.450</w:t>
            </w:r>
          </w:p>
        </w:tc>
        <w:tc>
          <w:tcPr>
            <w:tcW w:w="737" w:type="dxa"/>
            <w:gridSpan w:val="2"/>
            <w:noWrap/>
            <w:vAlign w:val="center"/>
            <w:hideMark/>
          </w:tcPr>
          <w:p w14:paraId="41ECCC6B" w14:textId="77777777" w:rsidR="001D7E70" w:rsidRPr="0031273D" w:rsidRDefault="001D7E70" w:rsidP="0031273D">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pt-BR"/>
              </w:rPr>
            </w:pPr>
            <w:r w:rsidRPr="0031273D">
              <w:rPr>
                <w:rFonts w:eastAsia="Times New Roman" w:cs="Times New Roman"/>
                <w:color w:val="000000"/>
                <w:sz w:val="22"/>
                <w:lang w:eastAsia="pt-BR"/>
              </w:rPr>
              <w:t>2.296</w:t>
            </w:r>
          </w:p>
        </w:tc>
        <w:tc>
          <w:tcPr>
            <w:tcW w:w="737" w:type="dxa"/>
            <w:gridSpan w:val="2"/>
            <w:noWrap/>
            <w:vAlign w:val="center"/>
            <w:hideMark/>
          </w:tcPr>
          <w:p w14:paraId="346AF5F2" w14:textId="77777777" w:rsidR="001D7E70" w:rsidRPr="0031273D" w:rsidRDefault="001D7E70" w:rsidP="0031273D">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pt-BR"/>
              </w:rPr>
            </w:pPr>
            <w:r w:rsidRPr="0031273D">
              <w:rPr>
                <w:rFonts w:eastAsia="Times New Roman" w:cs="Times New Roman"/>
                <w:color w:val="000000"/>
                <w:sz w:val="22"/>
                <w:lang w:eastAsia="pt-BR"/>
              </w:rPr>
              <w:t>2.326</w:t>
            </w:r>
          </w:p>
        </w:tc>
        <w:tc>
          <w:tcPr>
            <w:tcW w:w="737" w:type="dxa"/>
            <w:gridSpan w:val="2"/>
            <w:noWrap/>
            <w:vAlign w:val="center"/>
            <w:hideMark/>
          </w:tcPr>
          <w:p w14:paraId="066A0CED" w14:textId="77777777" w:rsidR="001D7E70" w:rsidRPr="0031273D" w:rsidRDefault="001D7E70" w:rsidP="0031273D">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pt-BR"/>
              </w:rPr>
            </w:pPr>
            <w:r w:rsidRPr="0031273D">
              <w:rPr>
                <w:rFonts w:eastAsia="Times New Roman" w:cs="Times New Roman"/>
                <w:color w:val="000000"/>
                <w:sz w:val="22"/>
                <w:lang w:eastAsia="pt-BR"/>
              </w:rPr>
              <w:t>2.334</w:t>
            </w:r>
          </w:p>
        </w:tc>
        <w:tc>
          <w:tcPr>
            <w:tcW w:w="737" w:type="dxa"/>
            <w:gridSpan w:val="2"/>
            <w:noWrap/>
            <w:vAlign w:val="center"/>
            <w:hideMark/>
          </w:tcPr>
          <w:p w14:paraId="2D7E8291" w14:textId="77777777" w:rsidR="001D7E70" w:rsidRPr="0031273D" w:rsidRDefault="001D7E70" w:rsidP="0031273D">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pt-BR"/>
              </w:rPr>
            </w:pPr>
            <w:r w:rsidRPr="0031273D">
              <w:rPr>
                <w:rFonts w:eastAsia="Times New Roman" w:cs="Times New Roman"/>
                <w:color w:val="000000"/>
                <w:sz w:val="22"/>
                <w:lang w:eastAsia="pt-BR"/>
              </w:rPr>
              <w:t>2.336</w:t>
            </w:r>
          </w:p>
        </w:tc>
        <w:tc>
          <w:tcPr>
            <w:tcW w:w="737" w:type="dxa"/>
            <w:gridSpan w:val="2"/>
            <w:noWrap/>
            <w:vAlign w:val="center"/>
            <w:hideMark/>
          </w:tcPr>
          <w:p w14:paraId="6963BD6E" w14:textId="77777777" w:rsidR="001D7E70" w:rsidRPr="0031273D" w:rsidRDefault="001D7E70" w:rsidP="0031273D">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pt-BR"/>
              </w:rPr>
            </w:pPr>
            <w:r w:rsidRPr="0031273D">
              <w:rPr>
                <w:rFonts w:eastAsia="Times New Roman" w:cs="Times New Roman"/>
                <w:color w:val="000000"/>
                <w:sz w:val="22"/>
                <w:lang w:eastAsia="pt-BR"/>
              </w:rPr>
              <w:t>2.311</w:t>
            </w:r>
          </w:p>
        </w:tc>
        <w:tc>
          <w:tcPr>
            <w:tcW w:w="737" w:type="dxa"/>
            <w:shd w:val="clear" w:color="auto" w:fill="E7E6E6"/>
            <w:noWrap/>
            <w:vAlign w:val="center"/>
            <w:hideMark/>
          </w:tcPr>
          <w:p w14:paraId="32670D1D" w14:textId="77777777" w:rsidR="001D7E70" w:rsidRPr="0031273D" w:rsidRDefault="001D7E70" w:rsidP="0031273D">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pt-BR"/>
              </w:rPr>
            </w:pPr>
            <w:r w:rsidRPr="0031273D">
              <w:rPr>
                <w:rFonts w:eastAsia="Times New Roman" w:cs="Times New Roman"/>
                <w:color w:val="000000"/>
                <w:sz w:val="22"/>
                <w:lang w:eastAsia="pt-BR"/>
              </w:rPr>
              <w:t>2.424</w:t>
            </w:r>
          </w:p>
        </w:tc>
      </w:tr>
      <w:tr w:rsidR="001D7E70" w:rsidRPr="001D7E70" w14:paraId="735B1EF1" w14:textId="77777777" w:rsidTr="0031273D">
        <w:trPr>
          <w:gridAfter w:val="1"/>
          <w:cnfStyle w:val="000000100000" w:firstRow="0" w:lastRow="0" w:firstColumn="0" w:lastColumn="0" w:oddVBand="0" w:evenVBand="0" w:oddHBand="1" w:evenHBand="0" w:firstRowFirstColumn="0" w:firstRowLastColumn="0" w:lastRowFirstColumn="0" w:lastRowLastColumn="0"/>
          <w:wAfter w:w="26" w:type="dxa"/>
          <w:trHeight w:val="238"/>
        </w:trPr>
        <w:tc>
          <w:tcPr>
            <w:cnfStyle w:val="001000000000" w:firstRow="0" w:lastRow="0" w:firstColumn="1" w:lastColumn="0" w:oddVBand="0" w:evenVBand="0" w:oddHBand="0" w:evenHBand="0" w:firstRowFirstColumn="0" w:firstRowLastColumn="0" w:lastRowFirstColumn="0" w:lastRowLastColumn="0"/>
            <w:tcW w:w="1675" w:type="dxa"/>
            <w:shd w:val="clear" w:color="auto" w:fill="E7E6E6"/>
            <w:noWrap/>
            <w:vAlign w:val="center"/>
            <w:hideMark/>
          </w:tcPr>
          <w:p w14:paraId="554BF5F2" w14:textId="5D2DD5FA" w:rsidR="001D7E70" w:rsidRPr="001D7E70" w:rsidRDefault="001D7E70" w:rsidP="0031273D">
            <w:pPr>
              <w:ind w:firstLine="0"/>
              <w:jc w:val="center"/>
              <w:rPr>
                <w:rFonts w:eastAsia="Times New Roman" w:cs="Times New Roman"/>
                <w:color w:val="000000"/>
                <w:sz w:val="22"/>
                <w:lang w:eastAsia="pt-BR"/>
              </w:rPr>
            </w:pPr>
            <w:r w:rsidRPr="001D7E70">
              <w:rPr>
                <w:rFonts w:eastAsia="Times New Roman" w:cs="Times New Roman"/>
                <w:color w:val="000000"/>
                <w:sz w:val="22"/>
                <w:lang w:eastAsia="pt-BR"/>
              </w:rPr>
              <w:t>superior completo</w:t>
            </w:r>
          </w:p>
        </w:tc>
        <w:tc>
          <w:tcPr>
            <w:tcW w:w="737" w:type="dxa"/>
            <w:noWrap/>
            <w:vAlign w:val="center"/>
            <w:hideMark/>
          </w:tcPr>
          <w:p w14:paraId="5E273455" w14:textId="77777777" w:rsidR="001D7E70" w:rsidRPr="0031273D" w:rsidRDefault="001D7E70" w:rsidP="0031273D">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pt-BR"/>
              </w:rPr>
            </w:pPr>
            <w:r w:rsidRPr="0031273D">
              <w:rPr>
                <w:rFonts w:eastAsia="Times New Roman" w:cs="Times New Roman"/>
                <w:color w:val="000000"/>
                <w:sz w:val="22"/>
                <w:lang w:eastAsia="pt-BR"/>
              </w:rPr>
              <w:t>5.673</w:t>
            </w:r>
          </w:p>
        </w:tc>
        <w:tc>
          <w:tcPr>
            <w:tcW w:w="737" w:type="dxa"/>
            <w:gridSpan w:val="2"/>
            <w:noWrap/>
            <w:vAlign w:val="center"/>
            <w:hideMark/>
          </w:tcPr>
          <w:p w14:paraId="210F7E8B" w14:textId="77777777" w:rsidR="001D7E70" w:rsidRPr="0031273D" w:rsidRDefault="001D7E70" w:rsidP="0031273D">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pt-BR"/>
              </w:rPr>
            </w:pPr>
            <w:r w:rsidRPr="0031273D">
              <w:rPr>
                <w:rFonts w:eastAsia="Times New Roman" w:cs="Times New Roman"/>
                <w:color w:val="000000"/>
                <w:sz w:val="22"/>
                <w:lang w:eastAsia="pt-BR"/>
              </w:rPr>
              <w:t>5.650</w:t>
            </w:r>
          </w:p>
        </w:tc>
        <w:tc>
          <w:tcPr>
            <w:tcW w:w="737" w:type="dxa"/>
            <w:gridSpan w:val="2"/>
            <w:noWrap/>
            <w:vAlign w:val="center"/>
            <w:hideMark/>
          </w:tcPr>
          <w:p w14:paraId="6A764FEB" w14:textId="77777777" w:rsidR="001D7E70" w:rsidRPr="0031273D" w:rsidRDefault="001D7E70" w:rsidP="0031273D">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pt-BR"/>
              </w:rPr>
            </w:pPr>
            <w:r w:rsidRPr="0031273D">
              <w:rPr>
                <w:rFonts w:eastAsia="Times New Roman" w:cs="Times New Roman"/>
                <w:color w:val="000000"/>
                <w:sz w:val="22"/>
                <w:lang w:eastAsia="pt-BR"/>
              </w:rPr>
              <w:t>5.760</w:t>
            </w:r>
          </w:p>
        </w:tc>
        <w:tc>
          <w:tcPr>
            <w:tcW w:w="737" w:type="dxa"/>
            <w:gridSpan w:val="3"/>
            <w:noWrap/>
            <w:vAlign w:val="center"/>
            <w:hideMark/>
          </w:tcPr>
          <w:p w14:paraId="57E4D7C4" w14:textId="77777777" w:rsidR="001D7E70" w:rsidRPr="0031273D" w:rsidRDefault="001D7E70" w:rsidP="0031273D">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pt-BR"/>
              </w:rPr>
            </w:pPr>
            <w:r w:rsidRPr="0031273D">
              <w:rPr>
                <w:rFonts w:eastAsia="Times New Roman" w:cs="Times New Roman"/>
                <w:color w:val="000000"/>
                <w:sz w:val="22"/>
                <w:lang w:eastAsia="pt-BR"/>
              </w:rPr>
              <w:t>5.697</w:t>
            </w:r>
          </w:p>
        </w:tc>
        <w:tc>
          <w:tcPr>
            <w:tcW w:w="737" w:type="dxa"/>
            <w:gridSpan w:val="2"/>
            <w:noWrap/>
            <w:vAlign w:val="center"/>
            <w:hideMark/>
          </w:tcPr>
          <w:p w14:paraId="01365B8A" w14:textId="77777777" w:rsidR="001D7E70" w:rsidRPr="0031273D" w:rsidRDefault="001D7E70" w:rsidP="0031273D">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pt-BR"/>
              </w:rPr>
            </w:pPr>
            <w:r w:rsidRPr="0031273D">
              <w:rPr>
                <w:rFonts w:eastAsia="Times New Roman" w:cs="Times New Roman"/>
                <w:color w:val="000000"/>
                <w:sz w:val="22"/>
                <w:lang w:eastAsia="pt-BR"/>
              </w:rPr>
              <w:t>5.430</w:t>
            </w:r>
          </w:p>
        </w:tc>
        <w:tc>
          <w:tcPr>
            <w:tcW w:w="737" w:type="dxa"/>
            <w:gridSpan w:val="2"/>
            <w:noWrap/>
            <w:vAlign w:val="center"/>
            <w:hideMark/>
          </w:tcPr>
          <w:p w14:paraId="1D626EBD" w14:textId="77777777" w:rsidR="001D7E70" w:rsidRPr="0031273D" w:rsidRDefault="001D7E70" w:rsidP="0031273D">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pt-BR"/>
              </w:rPr>
            </w:pPr>
            <w:r w:rsidRPr="0031273D">
              <w:rPr>
                <w:rFonts w:eastAsia="Times New Roman" w:cs="Times New Roman"/>
                <w:color w:val="000000"/>
                <w:sz w:val="22"/>
                <w:lang w:eastAsia="pt-BR"/>
              </w:rPr>
              <w:t>5.314</w:t>
            </w:r>
          </w:p>
        </w:tc>
        <w:tc>
          <w:tcPr>
            <w:tcW w:w="737" w:type="dxa"/>
            <w:gridSpan w:val="2"/>
            <w:noWrap/>
            <w:vAlign w:val="center"/>
            <w:hideMark/>
          </w:tcPr>
          <w:p w14:paraId="643F0593" w14:textId="77777777" w:rsidR="001D7E70" w:rsidRPr="0031273D" w:rsidRDefault="001D7E70" w:rsidP="0031273D">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pt-BR"/>
              </w:rPr>
            </w:pPr>
            <w:r w:rsidRPr="0031273D">
              <w:rPr>
                <w:rFonts w:eastAsia="Times New Roman" w:cs="Times New Roman"/>
                <w:color w:val="000000"/>
                <w:sz w:val="22"/>
                <w:lang w:eastAsia="pt-BR"/>
              </w:rPr>
              <w:t>5.302</w:t>
            </w:r>
          </w:p>
        </w:tc>
        <w:tc>
          <w:tcPr>
            <w:tcW w:w="737" w:type="dxa"/>
            <w:gridSpan w:val="2"/>
            <w:noWrap/>
            <w:vAlign w:val="center"/>
            <w:hideMark/>
          </w:tcPr>
          <w:p w14:paraId="60C5D797" w14:textId="77777777" w:rsidR="001D7E70" w:rsidRPr="0031273D" w:rsidRDefault="001D7E70" w:rsidP="0031273D">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pt-BR"/>
              </w:rPr>
            </w:pPr>
            <w:r w:rsidRPr="0031273D">
              <w:rPr>
                <w:rFonts w:eastAsia="Times New Roman" w:cs="Times New Roman"/>
                <w:color w:val="000000"/>
                <w:sz w:val="22"/>
                <w:lang w:eastAsia="pt-BR"/>
              </w:rPr>
              <w:t>5.230</w:t>
            </w:r>
          </w:p>
        </w:tc>
        <w:tc>
          <w:tcPr>
            <w:tcW w:w="737" w:type="dxa"/>
            <w:gridSpan w:val="2"/>
            <w:noWrap/>
            <w:vAlign w:val="center"/>
            <w:hideMark/>
          </w:tcPr>
          <w:p w14:paraId="20ECB5B1" w14:textId="77777777" w:rsidR="001D7E70" w:rsidRPr="0031273D" w:rsidRDefault="001D7E70" w:rsidP="0031273D">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pt-BR"/>
              </w:rPr>
            </w:pPr>
            <w:r w:rsidRPr="0031273D">
              <w:rPr>
                <w:rFonts w:eastAsia="Times New Roman" w:cs="Times New Roman"/>
                <w:color w:val="000000"/>
                <w:sz w:val="22"/>
                <w:lang w:eastAsia="pt-BR"/>
              </w:rPr>
              <w:t>5.196</w:t>
            </w:r>
          </w:p>
        </w:tc>
        <w:tc>
          <w:tcPr>
            <w:tcW w:w="737" w:type="dxa"/>
            <w:shd w:val="clear" w:color="auto" w:fill="E7E6E6"/>
            <w:noWrap/>
            <w:vAlign w:val="center"/>
            <w:hideMark/>
          </w:tcPr>
          <w:p w14:paraId="3403081D" w14:textId="77777777" w:rsidR="001D7E70" w:rsidRPr="0031273D" w:rsidRDefault="001D7E70" w:rsidP="0031273D">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pt-BR"/>
              </w:rPr>
            </w:pPr>
            <w:r w:rsidRPr="0031273D">
              <w:rPr>
                <w:rFonts w:eastAsia="Times New Roman" w:cs="Times New Roman"/>
                <w:color w:val="000000"/>
                <w:sz w:val="22"/>
                <w:lang w:eastAsia="pt-BR"/>
              </w:rPr>
              <w:t>5.472</w:t>
            </w:r>
          </w:p>
        </w:tc>
      </w:tr>
    </w:tbl>
    <w:p w14:paraId="22C96657" w14:textId="77777777" w:rsidR="006C08CB" w:rsidRPr="006C08CB" w:rsidRDefault="006C08CB" w:rsidP="006C08CB">
      <w:pPr>
        <w:ind w:firstLine="0"/>
        <w:jc w:val="left"/>
        <w:rPr>
          <w:sz w:val="22"/>
        </w:rPr>
      </w:pPr>
      <w:r w:rsidRPr="006C08CB">
        <w:rPr>
          <w:b/>
          <w:bCs/>
          <w:sz w:val="22"/>
        </w:rPr>
        <w:t>Fonte:</w:t>
      </w:r>
      <w:r w:rsidRPr="006C08CB">
        <w:rPr>
          <w:sz w:val="22"/>
        </w:rPr>
        <w:t xml:space="preserve"> IBGE (2020). Organizado pelos autores.</w:t>
      </w:r>
    </w:p>
    <w:p w14:paraId="24083C2E" w14:textId="100EEF93" w:rsidR="00F50004" w:rsidRDefault="00F50004" w:rsidP="001D7E70"/>
    <w:p w14:paraId="130A719A" w14:textId="77777777" w:rsidR="006C08CB" w:rsidRPr="006C08CB" w:rsidRDefault="006C08CB" w:rsidP="006C08CB">
      <w:r w:rsidRPr="006C08CB">
        <w:t xml:space="preserve">A relação entre escolaridade e desenvolvimento regional também se reflete no entrelaçamento da educação com crescimento econômico. </w:t>
      </w:r>
      <w:proofErr w:type="spellStart"/>
      <w:r w:rsidRPr="006C08CB">
        <w:t>Langoni</w:t>
      </w:r>
      <w:proofErr w:type="spellEnd"/>
      <w:r w:rsidRPr="006C08CB">
        <w:t xml:space="preserve"> </w:t>
      </w:r>
      <w:r w:rsidRPr="006C08CB">
        <w:fldChar w:fldCharType="begin" w:fldLock="1"/>
      </w:r>
      <w:r w:rsidRPr="006C08CB">
        <w:instrText>ADDIN CSL_CITATION {"citationItems":[{"id":"ITEM-1","itemData":{"author":[{"dropping-particle":"","family":"Langoni","given":"Carlos Geraldo","non-dropping-particle":"","parse-names":false,"suffix":""}],"container-title":"Ensaios Econômicos da EPGE","id":"ITEM-1","issue":"4","issued":{"date-parts":[["1972"]]},"page":"54","title":"O Papel do Investimento em Educação e Tecnologia no Processo de Desenvolvimento Econômico","type":"article-journal"},"suppress-author":1,"uris":["http://www.mendeley.com/documents/?uuid=26c2a1e5-77f0-45d4-a757-3ed50aa53a50"]}],"mendeley":{"formattedCitation":"(1972)","plainTextFormattedCitation":"(1972)","previouslyFormattedCitation":"(1972)"},"properties":{"noteIndex":0},"schema":"https://github.com/citation-style-language/schema/raw/master/csl-citation.json"}</w:instrText>
      </w:r>
      <w:r w:rsidRPr="006C08CB">
        <w:fldChar w:fldCharType="separate"/>
      </w:r>
      <w:r w:rsidRPr="006C08CB">
        <w:t>(1972)</w:t>
      </w:r>
      <w:r w:rsidRPr="006C08CB">
        <w:fldChar w:fldCharType="end"/>
      </w:r>
      <w:r w:rsidRPr="006C08CB">
        <w:t>, argumenta que a acumulação de capital humano tem fundamentalmente dois efeitos sobre o crescimento: o primeiro é o aumento da produtividade do fator trabalho, que se manifesta no mercado como aumento dos salários reais. A segunda consequência é que a educação tem um efeito alocativo, que se deve ao maior acesso às fontes de informação, bem como pela maior possibilidade de transformar essas informações em insumos de grande valor econômico. Em outras palavras, o primeiro impacto será o aumento da mobilidade do fator trabalho, que passa a explorar de maneira mais efetiva as diferenças de produtividade setorial existentes na economia. A segunda seria mais restrita e corresponde ao aumento na capacidade de utilizar os fatores de produção de maneira mais eficiente.</w:t>
      </w:r>
    </w:p>
    <w:p w14:paraId="12B4D553" w14:textId="52B919E8" w:rsidR="006C08CB" w:rsidRDefault="006C08CB" w:rsidP="006C08CB">
      <w:r w:rsidRPr="006C08CB">
        <w:t xml:space="preserve">Oliveira e Neto </w:t>
      </w:r>
      <w:r w:rsidRPr="006C08CB">
        <w:fldChar w:fldCharType="begin" w:fldLock="1"/>
      </w:r>
      <w:r w:rsidRPr="006C08CB">
        <w:instrText>ADDIN CSL_CITATION {"citationItems":[{"id":"ITEM-1","itemData":{"abstract":"A despeito de seus elevados níveis, tem sido verificada uma queda das disparidades de renda no Brasil desde meados da década de 1990, tanto quando se analisa a desigualdade entre pessoas, quanto entre as regiões (Silveira-Neto e Azzoni, 2012; Soares, 2006; Hoffmann, 2006; Barros et al, 2010). Tal movimento de desconcentração regional de renda, além disso, tem sido acompanhado de redução das disparidades regionais de escolaridade. Este trabalho tem por objetivo, pois, analisar a importância das fontes de rendas do trabalho associadas à escolaridade sobre a queda na desigualdade de renda regional observada entre 1995 e 2011. Os resultados indicam que a dinâmica da renda do trabalho, com destaque para os indivíduos com no mínimo ensino médio completo, e da renda dos programas sociais (Bolsa Família e Benefício de Prestação Continuada) foram as principais responsáveis pela queda da desigualdade no período entre 1995 e 2011. Por outro lado, a dinâmica de distribuição da renda dos indivíduos com ensino superior entre os estados atuou no sentido de elevar a concentração regional de renda no país. Palavras-chave: desigualdade regional; educação; programas sociais. Among the socioeconomics problems in Brazil, the personal and regional income inequality and the low educational level are notorious. Despite of the high inequality level, it has been observed a permanent fall both in the personal inequality and in the regional inequality since the final of 1990's (Silveira Neto e Azzoni, 2012; Soares, 2006; Hoffmann, 2006; Barros et al, 2010). Besides, there was a simultaneous movement of reduction of regional inequalities of schooling among Brazilian states. The aim of this work is, thus, to decompose the regional Gini index to compute the importance of labors income related to the education, and the importance of non-labors income for the fall of inequality observed in the recent years. The results suggest that the labor income, particularly for individuals with at least secondary education, and the incomes from social programs were the responsible for the fall of inequality in the period between 1995 and 2011. On the other hand, the dynamic of distribution of income for those with a college degree among the states have been acting to avoid stronger reduction in regional inequality.","author":[{"dropping-particle":"","family":"Oliveira","given":"Rodrigo Carvalho","non-dropping-particle":"","parse-names":false,"suffix":""},{"dropping-particle":"","family":"Neto","given":"Raul da Mota Silveira","non-dropping-particle":"","parse-names":false,"suffix":""}],"container-title":"Pesquisa e Planejamento Econômico","id":"ITEM-1","issue":"1","issued":{"date-parts":[["2016"]]},"page":"42 - 65","title":"Expansão da escolaridade e redução da desigualdade regional de renda no brasil entre 1995 e 2011: progressos recentes e desafios presentes","type":"article-journal","volume":"46"},"suppress-author":1,"uris":["http://www.mendeley.com/documents/?uuid=dd46db03-f632-4d40-8b79-aeb89510e201"]}],"mendeley":{"formattedCitation":"(2016)","plainTextFormattedCitation":"(2016)","previouslyFormattedCitation":"(2016)"},"properties":{"noteIndex":0},"schema":"https://github.com/citation-style-language/schema/raw/master/csl-citation.json"}</w:instrText>
      </w:r>
      <w:r w:rsidRPr="006C08CB">
        <w:fldChar w:fldCharType="separate"/>
      </w:r>
      <w:r w:rsidRPr="006C08CB">
        <w:t>(2016)</w:t>
      </w:r>
      <w:r w:rsidRPr="006C08CB">
        <w:fldChar w:fldCharType="end"/>
      </w:r>
      <w:r w:rsidRPr="006C08CB">
        <w:t xml:space="preserve"> ao analisarem a importância das fontes de rendas do trabalho associadas à escolaridade sobre a queda na desigualdade de renda regional no Brasil, entre 1995 e 2011 concluíram que:</w:t>
      </w:r>
    </w:p>
    <w:p w14:paraId="2223AB8E" w14:textId="77777777" w:rsidR="00C65452" w:rsidRPr="006C08CB" w:rsidRDefault="00C65452" w:rsidP="006C08CB"/>
    <w:p w14:paraId="3E68835B" w14:textId="4D792AFF" w:rsidR="006C08CB" w:rsidRDefault="006C08CB" w:rsidP="00C65452">
      <w:pPr>
        <w:ind w:left="2832" w:firstLine="0"/>
        <w:rPr>
          <w:sz w:val="22"/>
          <w:lang w:bidi="pt-PT"/>
        </w:rPr>
      </w:pPr>
      <w:r w:rsidRPr="00C65452">
        <w:rPr>
          <w:sz w:val="22"/>
          <w:lang w:bidi="pt-PT"/>
        </w:rPr>
        <w:t xml:space="preserve">A importância do movimento da renda do trabalho associado ao nível de escolaridade mais elevado (ensino superior) para a configuração da distribuição regional de renda apresenta-se, aliás, mais significativa que aquelas das fontes de renda dos programas sociais (Bolsa Família e Benefício de Prestação Continuada) [...] as disparidades regionais brasileiras são bem mais sensíveis (absoluta e relativamente) a movimentos na distribuição regional de renda associada aos níveis mais altos de escolaridade </w:t>
      </w:r>
      <w:r w:rsidRPr="00C65452">
        <w:rPr>
          <w:sz w:val="22"/>
          <w:lang w:bidi="pt-PT"/>
        </w:rPr>
        <w:fldChar w:fldCharType="begin" w:fldLock="1"/>
      </w:r>
      <w:r w:rsidRPr="00C65452">
        <w:rPr>
          <w:sz w:val="22"/>
          <w:lang w:bidi="pt-PT"/>
        </w:rPr>
        <w:instrText>ADDIN CSL_CITATION {"citationItems":[{"id":"ITEM-1","itemData":{"abstract":"A despeito de seus elevados níveis, tem sido verificada uma queda das disparidades de renda no Brasil desde meados da década de 1990, tanto quando se analisa a desigualdade entre pessoas, quanto entre as regiões (Silveira-Neto e Azzoni, 2012; Soares, 2006; Hoffmann, 2006; Barros et al, 2010). Tal movimento de desconcentração regional de renda, além disso, tem sido acompanhado de redução das disparidades regionais de escolaridade. Este trabalho tem por objetivo, pois, analisar a importância das fontes de rendas do trabalho associadas à escolaridade sobre a queda na desigualdade de renda regional observada entre 1995 e 2011. Os resultados indicam que a dinâmica da renda do trabalho, com destaque para os indivíduos com no mínimo ensino médio completo, e da renda dos programas sociais (Bolsa Família e Benefício de Prestação Continuada) foram as principais responsáveis pela queda da desigualdade no período entre 1995 e 2011. Por outro lado, a dinâmica de distribuição da renda dos indivíduos com ensino superior entre os estados atuou no sentido de elevar a concentração regional de renda no país. Palavras-chave: desigualdade regional; educação; programas sociais. Among the socioeconomics problems in Brazil, the personal and regional income inequality and the low educational level are notorious. Despite of the high inequality level, it has been observed a permanent fall both in the personal inequality and in the regional inequality since the final of 1990's (Silveira Neto e Azzoni, 2012; Soares, 2006; Hoffmann, 2006; Barros et al, 2010). Besides, there was a simultaneous movement of reduction of regional inequalities of schooling among Brazilian states. The aim of this work is, thus, to decompose the regional Gini index to compute the importance of labors income related to the education, and the importance of non-labors income for the fall of inequality observed in the recent years. The results suggest that the labor income, particularly for individuals with at least secondary education, and the incomes from social programs were the responsible for the fall of inequality in the period between 1995 and 2011. On the other hand, the dynamic of distribution of income for those with a college degree among the states have been acting to avoid stronger reduction in regional inequality.","author":[{"dropping-particle":"","family":"Oliveira","given":"Rodrigo Carvalho","non-dropping-particle":"","parse-names":false,"suffix":""},{"dropping-particle":"","family":"Neto","given":"Raul da Mota Silveira","non-dropping-particle":"","parse-names":false,"suffix":""}],"container-title":"Pesquisa e Planejamento Econômico","id":"ITEM-1","issue":"1","issued":{"date-parts":[["2016"]]},"page":"42 - 65","title":"Expansão da escolaridade e redução da desigualdade regional de renda no brasil entre 1995 e 2011: progressos recentes e desafios presentes","type":"article-journal","volume":"46"},"locator":"63-64","uris":["http://www.mendeley.com/documents/?uuid=dd46db03-f632-4d40-8b79-aeb89510e201"]}],"mendeley":{"formattedCitation":"(OLIVEIRA; NETO, 2016, p. 63–64)","plainTextFormattedCitation":"(OLIVEIRA; NETO, 2016, p. 63–64)","previouslyFormattedCitation":"(OLIVEIRA; NETO, 2016, p. 63–64)"},"properties":{"noteIndex":0},"schema":"https://github.com/citation-style-language/schema/raw/master/csl-citation.json"}</w:instrText>
      </w:r>
      <w:r w:rsidRPr="00C65452">
        <w:rPr>
          <w:sz w:val="22"/>
          <w:lang w:bidi="pt-PT"/>
        </w:rPr>
        <w:fldChar w:fldCharType="separate"/>
      </w:r>
      <w:r w:rsidRPr="00C65452">
        <w:rPr>
          <w:sz w:val="22"/>
          <w:lang w:bidi="pt-PT"/>
        </w:rPr>
        <w:t>(OLIVEIRA; NETO, 2016, p. 63–64)</w:t>
      </w:r>
      <w:r w:rsidRPr="00C65452">
        <w:rPr>
          <w:sz w:val="22"/>
        </w:rPr>
        <w:fldChar w:fldCharType="end"/>
      </w:r>
      <w:r w:rsidRPr="00C65452">
        <w:rPr>
          <w:sz w:val="22"/>
          <w:lang w:bidi="pt-PT"/>
        </w:rPr>
        <w:t>.</w:t>
      </w:r>
    </w:p>
    <w:p w14:paraId="3C734C42" w14:textId="77777777" w:rsidR="00C65452" w:rsidRPr="00C65452" w:rsidRDefault="00C65452" w:rsidP="00C65452">
      <w:pPr>
        <w:ind w:left="2832" w:firstLine="0"/>
        <w:rPr>
          <w:sz w:val="22"/>
          <w:lang w:bidi="pt-PT"/>
        </w:rPr>
      </w:pPr>
    </w:p>
    <w:p w14:paraId="4A84085C" w14:textId="77777777" w:rsidR="006C08CB" w:rsidRPr="006C08CB" w:rsidRDefault="006C08CB" w:rsidP="006C08CB">
      <w:r w:rsidRPr="006C08CB">
        <w:lastRenderedPageBreak/>
        <w:t xml:space="preserve">Na mesma perspectiva dos argumentos supracitados, um estudo de Brasil (2019), mostrou que a elevação da escolaridade da população contribui para aumentar a produtividade da economia e, em uma perspectiva individual, facilita o acesso a melhores oportunidades de trabalho e maiores rendimentos. De acordo com a pesquisa entre 1992 e 2018 a média dos anos de estudo da população ocupada no Brasil apresentou um significativo aumento, passando de 5,8 para 9,9. Em termos regionais observou-se, no período estudado, uma redução na dispersão da média de anos de estudo entre as unidades da federação. O Nordeste, região que apresentava o índice mais baixo, apresentou importante crescimento, passando de 4,2 anos para 9 anos. </w:t>
      </w:r>
    </w:p>
    <w:p w14:paraId="46418425" w14:textId="77777777" w:rsidR="006C08CB" w:rsidRPr="006C08CB" w:rsidRDefault="006C08CB" w:rsidP="006C08CB">
      <w:r w:rsidRPr="006C08CB">
        <w:t xml:space="preserve">O aumento mais notório quanto aos níveis de escolaridade da população ocupada, foi observado sobre os portadores de nível superior, que passaram de 15% para 20,1% da população ocupada. Ainda de acordo com o exercício de Brasil </w:t>
      </w:r>
      <w:r w:rsidRPr="006C08CB">
        <w:fldChar w:fldCharType="begin" w:fldLock="1"/>
      </w:r>
      <w:r w:rsidRPr="006C08CB">
        <w:instrText>ADDIN CSL_CITATION {"citationItems":[{"id":"ITEM-1","itemData":{"author":[{"dropping-particle":"","family":"Banco Central do Brasil","given":"","non-dropping-particle":"","parse-names":false,"suffix":""}],"container-title":"Boletim Regional","id":"ITEM-1","issue":"4","issued":{"date-parts":[["2019"]]},"page":"69-72","title":"Escolaridade e rendimentos do trabalho","type":"article-journal","volume":"13"},"locator":"72","suppress-author":1,"uris":["http://www.mendeley.com/documents/?uuid=8378c2ab-9c9c-46e6-92b0-ff4e82e6d6a1"]}],"mendeley":{"formattedCitation":"(2019, p. 72)","plainTextFormattedCitation":"(2019, p. 72)","previouslyFormattedCitation":"(2019, p. 72)"},"properties":{"noteIndex":0},"schema":"https://github.com/citation-style-language/schema/raw/master/csl-citation.json"}</w:instrText>
      </w:r>
      <w:r w:rsidRPr="006C08CB">
        <w:fldChar w:fldCharType="separate"/>
      </w:r>
      <w:r w:rsidRPr="006C08CB">
        <w:t>(2019, p. 72)</w:t>
      </w:r>
      <w:r w:rsidRPr="006C08CB">
        <w:fldChar w:fldCharType="end"/>
      </w:r>
      <w:r w:rsidRPr="006C08CB">
        <w:t xml:space="preserve"> “essa evolução repercutiu em maiores salários, impacto que tende a prosseguir, sobretudo pela maior participação do nível superior na população ocupada, em especial nas gerações mais jovens</w:t>
      </w:r>
      <w:r w:rsidRPr="006C08CB">
        <w:rPr>
          <w:i/>
          <w:iCs/>
        </w:rPr>
        <w:t>”.</w:t>
      </w:r>
      <w:r w:rsidRPr="006C08CB">
        <w:t xml:space="preserve"> Finalmente, o estudo revelou que níveis maiores de escolaridade elevaram o rendimento médio da população ocupada brasileira, entre 2012 e 2018, em 12% </w:t>
      </w:r>
      <w:r w:rsidRPr="006C08CB">
        <w:fldChar w:fldCharType="begin" w:fldLock="1"/>
      </w:r>
      <w:r w:rsidRPr="006C08CB">
        <w:instrText>ADDIN CSL_CITATION {"citationItems":[{"id":"ITEM-1","itemData":{"author":[{"dropping-particle":"","family":"Banco Central do Brasil","given":"","non-dropping-particle":"","parse-names":false,"suffix":""}],"container-title":"Boletim Regional","id":"ITEM-1","issue":"4","issued":{"date-parts":[["2019"]]},"page":"69-72","title":"Escolaridade e rendimentos do trabalho","type":"article-journal","volume":"13"},"uris":["http://www.mendeley.com/documents/?uuid=8378c2ab-9c9c-46e6-92b0-ff4e82e6d6a1"]}],"mendeley":{"formattedCitation":"(BANCO CENTRAL DO BRASIL, 2019)","plainTextFormattedCitation":"(BANCO CENTRAL DO BRASIL, 2019)","previouslyFormattedCitation":"(BANCO CENTRAL DO BRASIL, 2019)"},"properties":{"noteIndex":0},"schema":"https://github.com/citation-style-language/schema/raw/master/csl-citation.json"}</w:instrText>
      </w:r>
      <w:r w:rsidRPr="006C08CB">
        <w:fldChar w:fldCharType="separate"/>
      </w:r>
      <w:r w:rsidRPr="006C08CB">
        <w:t>(BRASIL, 2019)</w:t>
      </w:r>
      <w:r w:rsidRPr="006C08CB">
        <w:fldChar w:fldCharType="end"/>
      </w:r>
      <w:r w:rsidRPr="006C08CB">
        <w:t xml:space="preserve">. </w:t>
      </w:r>
    </w:p>
    <w:p w14:paraId="5A77474C" w14:textId="77777777" w:rsidR="006C08CB" w:rsidRPr="006C08CB" w:rsidRDefault="006C08CB" w:rsidP="006C08CB">
      <w:r w:rsidRPr="006C08CB">
        <w:t xml:space="preserve">Dessa forma, fica consistentemente demostrado a estreita relação entre níveis mais altos de escolaridade e o desenvolvimento regional. O esclarecimento dessa relação é de suma importância para os objetivos desse trabalho, haja vista que com o processo de expansão e interiorização da educação superior (temática abordada no próximo tópico), a população da R.G.I de Pau dos Ferros viu alavancadas as possibilidades de acesso ao ensino terciário. </w:t>
      </w:r>
    </w:p>
    <w:p w14:paraId="2809979F" w14:textId="5D9BD119" w:rsidR="006C08CB" w:rsidRDefault="006C08CB" w:rsidP="006C08CB">
      <w:pPr>
        <w:ind w:firstLine="0"/>
      </w:pPr>
    </w:p>
    <w:p w14:paraId="613CFFF2" w14:textId="04EEA468" w:rsidR="006C08CB" w:rsidRDefault="00E61136" w:rsidP="006C08CB">
      <w:pPr>
        <w:ind w:firstLine="0"/>
        <w:rPr>
          <w:b/>
        </w:rPr>
      </w:pPr>
      <w:r>
        <w:rPr>
          <w:b/>
        </w:rPr>
        <w:t>3.3</w:t>
      </w:r>
      <w:r w:rsidR="006C08CB" w:rsidRPr="006C08CB">
        <w:rPr>
          <w:b/>
        </w:rPr>
        <w:t xml:space="preserve"> </w:t>
      </w:r>
      <w:r>
        <w:rPr>
          <w:b/>
        </w:rPr>
        <w:t>C</w:t>
      </w:r>
      <w:r w:rsidRPr="006C08CB">
        <w:rPr>
          <w:b/>
        </w:rPr>
        <w:t>onsiderações sobre</w:t>
      </w:r>
      <w:r>
        <w:rPr>
          <w:b/>
        </w:rPr>
        <w:t xml:space="preserve"> o</w:t>
      </w:r>
      <w:r w:rsidRPr="006C08CB">
        <w:rPr>
          <w:b/>
        </w:rPr>
        <w:t xml:space="preserve"> ensino superior no </w:t>
      </w:r>
      <w:r>
        <w:rPr>
          <w:b/>
        </w:rPr>
        <w:t>B</w:t>
      </w:r>
      <w:r w:rsidRPr="006C08CB">
        <w:rPr>
          <w:b/>
        </w:rPr>
        <w:t>rasil em período recente</w:t>
      </w:r>
      <w:r w:rsidR="006C08CB" w:rsidRPr="006C08CB">
        <w:rPr>
          <w:b/>
          <w:vertAlign w:val="superscript"/>
        </w:rPr>
        <w:footnoteReference w:id="2"/>
      </w:r>
    </w:p>
    <w:p w14:paraId="1174F928" w14:textId="77777777" w:rsidR="006C08CB" w:rsidRPr="006C08CB" w:rsidRDefault="006C08CB" w:rsidP="006C08CB">
      <w:pPr>
        <w:ind w:firstLine="0"/>
        <w:rPr>
          <w:b/>
        </w:rPr>
      </w:pPr>
    </w:p>
    <w:p w14:paraId="6B4A683A" w14:textId="77777777" w:rsidR="006C08CB" w:rsidRPr="006C08CB" w:rsidRDefault="006C08CB" w:rsidP="006C08CB">
      <w:r w:rsidRPr="006C08CB">
        <w:t>Durante os governos Lula (2003–2010) e Dilma Rousseff (2011-2016), importantes iniciativas foram desenvolvidas visando a expansão e interiorização do ensino superior. Ao longo do mandato do primeiro houve uma considerável mudança no fomento a esse nível de ensino. Uma das marcas desse governo foi “a ampliação das oportunidades de acesso e permanência no sistema educacional dos mais pobres, dos ignorados e postergados pelas políticas de privilégio e exclusão que as elites construíram em boa parte da história brasileira”</w:t>
      </w:r>
      <w:r w:rsidRPr="006C08CB">
        <w:rPr>
          <w:i/>
          <w:iCs/>
        </w:rPr>
        <w:t xml:space="preserve"> </w:t>
      </w:r>
      <w:r w:rsidRPr="006C08CB">
        <w:t xml:space="preserve">(GENTILLI; OLIVEIRA, 2013, p. 253). </w:t>
      </w:r>
    </w:p>
    <w:p w14:paraId="208D7A79" w14:textId="77777777" w:rsidR="006C08CB" w:rsidRPr="006C08CB" w:rsidRDefault="006C08CB" w:rsidP="006C08CB">
      <w:r w:rsidRPr="006C08CB">
        <w:t xml:space="preserve">Visando essa política educacional de igualdade e, consequentemente, de democratização ao acesso à educação superior, durante o governo Lula ocorreu uma retomada dos investimentos em universidades federais e criação de novos </w:t>
      </w:r>
      <w:r w:rsidRPr="006C08CB">
        <w:rPr>
          <w:i/>
          <w:iCs/>
        </w:rPr>
        <w:t>Campi</w:t>
      </w:r>
      <w:r w:rsidRPr="006C08CB">
        <w:t xml:space="preserve"> por todo o país, promovendo aumento na quantidade de vagas. Porém, durante os governos Lula, também se deu de forma significativa, continuidade ao estímulo as instituições superiores de iniciativa privada (SAVIANI, 2010).</w:t>
      </w:r>
    </w:p>
    <w:p w14:paraId="6EA0421B" w14:textId="77777777" w:rsidR="006C08CB" w:rsidRPr="006C08CB" w:rsidRDefault="006C08CB" w:rsidP="006C08CB">
      <w:r w:rsidRPr="006C08CB">
        <w:t xml:space="preserve">No início da presidência de Lula, havia no país 1.859 IES, sendo que, dessas, 207 eram instituições públicas e 1.652 privadas. Em 2010, último ano de seu governo, havia 2.378 IES sendo 278 IES públicas e 2.010 privadas. Nesse período, foram criadas ou transformadas 14 universidades federais e 38 novos Institutos Federais de Educação, Ciência e Tecnologia. O </w:t>
      </w:r>
      <w:r w:rsidRPr="006C08CB">
        <w:lastRenderedPageBreak/>
        <w:t>objetivo desse processo de criação de novas instituições, em sua maioria no interior do país foi de gerar efeitos na economia local, regional e nacional (BRASIL, 2012; FERREIRA, 2015).</w:t>
      </w:r>
    </w:p>
    <w:p w14:paraId="1514F0F6" w14:textId="77777777" w:rsidR="006C08CB" w:rsidRPr="006C08CB" w:rsidRDefault="006C08CB" w:rsidP="006C08CB">
      <w:pPr>
        <w:rPr>
          <w:lang w:bidi="pt-PT"/>
        </w:rPr>
      </w:pPr>
      <w:r w:rsidRPr="006C08CB">
        <w:rPr>
          <w:lang w:bidi="pt-PT"/>
        </w:rPr>
        <w:t>Considerando-se os recursos do Tesouro na dotação inicial de 2007, houve um aumento global de 31,5% em termos reais quando comparados à execução orçamentária de 2002. Nesse período, o investimento nas universidades aumentou 905%, o custeio teve um aumento de 63,5%, e houve um acréscimo de 21,9% em pessoal (descontada a inflação e excluídas as despesas com pagamento de inativos e precatórios). Com a contratação de mais de 9.000 professores de terceiro grau, 14.000 técnicos administrativos e a abertura de 30.000 novas vagas em cursos de graduação, o Ministério da Educação reafirma seu compromisso com a universidade pública, gratuita e de qualidade (BRASIL, 2007, p. 9).</w:t>
      </w:r>
    </w:p>
    <w:p w14:paraId="5F6CB740" w14:textId="77777777" w:rsidR="006C08CB" w:rsidRPr="006C08CB" w:rsidRDefault="006C08CB" w:rsidP="006C08CB">
      <w:r w:rsidRPr="006C08CB">
        <w:t xml:space="preserve">Dilma Rousseff, durante seu governo (2011-2016), deu continuidade às políticas de expansão do ensino superior e manteve ativo, por exemplo, o Programa de Apoio a Planos de Reestruturação e Expansão das Universidades Federais (REUNI). Durante esse governo foram construídas quatro novas universidades federais. Além disso, a expansão do ensino superior nesse período obedeceu a ótica da interiorização das universidades federais mediante a organização </w:t>
      </w:r>
      <w:r w:rsidRPr="006C08CB">
        <w:rPr>
          <w:i/>
          <w:iCs/>
        </w:rPr>
        <w:t>multicampi</w:t>
      </w:r>
      <w:r w:rsidRPr="006C08CB">
        <w:t xml:space="preserve">. As quatro universidades criadas foram dispostas no interior dos estados, priorizando regiões como o Nordeste e o Norte (FERREIRA, 2015). </w:t>
      </w:r>
    </w:p>
    <w:p w14:paraId="68BF00B1" w14:textId="77777777" w:rsidR="006C08CB" w:rsidRPr="006C08CB" w:rsidRDefault="006C08CB" w:rsidP="006C08CB">
      <w:r w:rsidRPr="006C08CB">
        <w:t>Em relação ao período de 2011 a 2014, o primeiro mandato da presidente Dilma Rousseff, havia no primeiro ano de governo 2.365 IES sendo que, dessas, 284 eram públicas e 2.081 privadas; em 2014, último ano de seu primeiro mandato foram registradas 2.368 instituições, sendo que, dessas, 298 eram públicas e 2.070 privadas (BRASIL, 2014).</w:t>
      </w:r>
    </w:p>
    <w:p w14:paraId="028A7C77" w14:textId="77777777" w:rsidR="006C08CB" w:rsidRPr="006C08CB" w:rsidRDefault="006C08CB" w:rsidP="006C08CB">
      <w:r w:rsidRPr="006C08CB">
        <w:t xml:space="preserve">O resultado dessa expansão do sistema de ensino superior, tanto público como privado, no Brasil, foi um aumento de vagas nesse grau de ensino por todo o país. Consequentemente, o número de concluintes apresentou uma elevação significativa. No gráfico 1, a seguir, é mostrada a evolução do número de concluintes em cursos de graduação presenciais no Brasil entre 2000 e 2019. Observa-se que houve um exponencial aumento. Em 2000, formaram-se 324.734 pessoas, em 2019, último ano da série, 934.037 pessoas concluíram seus cursos.  </w:t>
      </w:r>
    </w:p>
    <w:p w14:paraId="3DB198BB" w14:textId="44675FF2" w:rsidR="006C08CB" w:rsidRDefault="006C08CB" w:rsidP="006C08CB"/>
    <w:p w14:paraId="0DE71FB9" w14:textId="22EA227B" w:rsidR="001D64C4" w:rsidRPr="001D64C4" w:rsidRDefault="001D64C4" w:rsidP="003E7D38">
      <w:pPr>
        <w:pStyle w:val="Legenda"/>
        <w:keepNext/>
        <w:spacing w:after="0"/>
        <w:ind w:firstLine="0"/>
        <w:rPr>
          <w:i w:val="0"/>
          <w:iCs w:val="0"/>
          <w:color w:val="000000" w:themeColor="text1"/>
          <w:sz w:val="22"/>
          <w:szCs w:val="22"/>
        </w:rPr>
      </w:pPr>
      <w:r w:rsidRPr="001D64C4">
        <w:rPr>
          <w:b/>
          <w:bCs/>
          <w:i w:val="0"/>
          <w:iCs w:val="0"/>
          <w:color w:val="000000" w:themeColor="text1"/>
          <w:sz w:val="22"/>
          <w:szCs w:val="22"/>
        </w:rPr>
        <w:lastRenderedPageBreak/>
        <w:t xml:space="preserve">Gráfico </w:t>
      </w:r>
      <w:r w:rsidRPr="001D64C4">
        <w:rPr>
          <w:b/>
          <w:bCs/>
          <w:i w:val="0"/>
          <w:iCs w:val="0"/>
          <w:color w:val="000000" w:themeColor="text1"/>
          <w:sz w:val="22"/>
          <w:szCs w:val="22"/>
        </w:rPr>
        <w:fldChar w:fldCharType="begin"/>
      </w:r>
      <w:r w:rsidRPr="001D64C4">
        <w:rPr>
          <w:b/>
          <w:bCs/>
          <w:i w:val="0"/>
          <w:iCs w:val="0"/>
          <w:color w:val="000000" w:themeColor="text1"/>
          <w:sz w:val="22"/>
          <w:szCs w:val="22"/>
        </w:rPr>
        <w:instrText xml:space="preserve"> SEQ Gráfico \* ARABIC </w:instrText>
      </w:r>
      <w:r w:rsidRPr="001D64C4">
        <w:rPr>
          <w:b/>
          <w:bCs/>
          <w:i w:val="0"/>
          <w:iCs w:val="0"/>
          <w:color w:val="000000" w:themeColor="text1"/>
          <w:sz w:val="22"/>
          <w:szCs w:val="22"/>
        </w:rPr>
        <w:fldChar w:fldCharType="separate"/>
      </w:r>
      <w:r w:rsidR="002A7155">
        <w:rPr>
          <w:b/>
          <w:bCs/>
          <w:i w:val="0"/>
          <w:iCs w:val="0"/>
          <w:noProof/>
          <w:color w:val="000000" w:themeColor="text1"/>
          <w:sz w:val="22"/>
          <w:szCs w:val="22"/>
        </w:rPr>
        <w:t>1</w:t>
      </w:r>
      <w:r w:rsidRPr="001D64C4">
        <w:rPr>
          <w:b/>
          <w:bCs/>
          <w:i w:val="0"/>
          <w:iCs w:val="0"/>
          <w:color w:val="000000" w:themeColor="text1"/>
          <w:sz w:val="22"/>
          <w:szCs w:val="22"/>
        </w:rPr>
        <w:fldChar w:fldCharType="end"/>
      </w:r>
      <w:r w:rsidRPr="001D64C4">
        <w:rPr>
          <w:i w:val="0"/>
          <w:iCs w:val="0"/>
          <w:color w:val="000000" w:themeColor="text1"/>
          <w:sz w:val="22"/>
          <w:szCs w:val="22"/>
        </w:rPr>
        <w:t>: Número de concluintes em cursos de graduação presenciais em IES (públicas e privadas), no Brasil, 2000-2019.</w:t>
      </w:r>
    </w:p>
    <w:p w14:paraId="4CD8B150" w14:textId="1B0217EC" w:rsidR="006C08CB" w:rsidRDefault="006C08CB" w:rsidP="001D64C4">
      <w:pPr>
        <w:ind w:firstLine="0"/>
      </w:pPr>
      <w:r>
        <w:rPr>
          <w:noProof/>
        </w:rPr>
        <w:drawing>
          <wp:inline distT="0" distB="0" distL="0" distR="0" wp14:anchorId="0261AB40" wp14:editId="68438261">
            <wp:extent cx="5715000" cy="3341077"/>
            <wp:effectExtent l="0" t="0" r="0" b="12065"/>
            <wp:docPr id="6" name="Gráfico 6">
              <a:extLst xmlns:a="http://schemas.openxmlformats.org/drawingml/2006/main">
                <a:ext uri="{FF2B5EF4-FFF2-40B4-BE49-F238E27FC236}">
                  <a16:creationId xmlns:a16="http://schemas.microsoft.com/office/drawing/2014/main" id="{5713D2C4-303F-44E0-8D6B-6256D76C069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02E91345" w14:textId="77777777" w:rsidR="001D64C4" w:rsidRPr="001D64C4" w:rsidRDefault="001D64C4" w:rsidP="001D64C4">
      <w:pPr>
        <w:ind w:firstLine="0"/>
        <w:rPr>
          <w:sz w:val="22"/>
        </w:rPr>
      </w:pPr>
      <w:r w:rsidRPr="001D64C4">
        <w:rPr>
          <w:b/>
          <w:bCs/>
          <w:sz w:val="22"/>
        </w:rPr>
        <w:t xml:space="preserve">Fonte: </w:t>
      </w:r>
      <w:r w:rsidRPr="001D64C4">
        <w:rPr>
          <w:sz w:val="22"/>
        </w:rPr>
        <w:t>INEP (2019). Organizado pelos autores.</w:t>
      </w:r>
    </w:p>
    <w:p w14:paraId="3A5C79EC" w14:textId="361B4E15" w:rsidR="001D64C4" w:rsidRDefault="001D64C4" w:rsidP="001D64C4">
      <w:pPr>
        <w:ind w:firstLine="0"/>
      </w:pPr>
    </w:p>
    <w:p w14:paraId="39A9CB63" w14:textId="77777777" w:rsidR="001D64C4" w:rsidRPr="001D64C4" w:rsidRDefault="001D64C4" w:rsidP="001D64C4">
      <w:r w:rsidRPr="001D64C4">
        <w:t xml:space="preserve">A expansão do ensino superior no Brasil, no período recente, foi caracterizada pela interiorização. Pelo fato de o país historicamente concentrar as IES nas capitais e no litoral, devido ao processo de ocupação do território nacional, a quantidade de profissionais com ensino superior, seguindo essa lógica, também se concentraram nesses territórios. A interiorização, ou seja, desconcentração das instituições de ensino para regiões menos privilegiadas economicamente e socialmente, que se encontram na periferia do país, possibilitou um aumento apreciável da quantidade de concluintes em regiões que formavam quantidades ínfimas de pessoas com grau de formação superior.  </w:t>
      </w:r>
    </w:p>
    <w:p w14:paraId="41EC69B5" w14:textId="77777777" w:rsidR="001D64C4" w:rsidRPr="001D64C4" w:rsidRDefault="001D64C4" w:rsidP="001D64C4">
      <w:r w:rsidRPr="001D64C4">
        <w:t>Em termos regionais, apesar de a região Sudeste continuar formando mais pessoas, as demais regiões (Centro-Oeste, Nordeste, Norte e Sul) elevaram em quantidades significativas o número de concluintes. O Centro-Oeste que no ano de 2000 teve apenas 25.350 concluintes, no ano de 2019 apresentou 87.182 formados. O Nordeste passou de 42.916, em 2000, para 195.009 em 2019. O Norte, nesse mesmo período, saiu de 12.145 para 65.999. O Sul formou em 2000, 55.877 pessoas e em 2019, 142.732 (INEP, 2021).</w:t>
      </w:r>
    </w:p>
    <w:p w14:paraId="16839E41" w14:textId="27033E3F" w:rsidR="001D64C4" w:rsidRPr="001D64C4" w:rsidRDefault="001D64C4" w:rsidP="003E7D38">
      <w:pPr>
        <w:pStyle w:val="Legenda"/>
        <w:keepNext/>
        <w:spacing w:after="0"/>
        <w:ind w:firstLine="0"/>
        <w:rPr>
          <w:i w:val="0"/>
          <w:iCs w:val="0"/>
          <w:color w:val="000000" w:themeColor="text1"/>
          <w:sz w:val="22"/>
          <w:szCs w:val="22"/>
        </w:rPr>
      </w:pPr>
      <w:r w:rsidRPr="001D64C4">
        <w:rPr>
          <w:b/>
          <w:bCs/>
          <w:i w:val="0"/>
          <w:iCs w:val="0"/>
          <w:color w:val="000000" w:themeColor="text1"/>
          <w:sz w:val="22"/>
          <w:szCs w:val="22"/>
        </w:rPr>
        <w:lastRenderedPageBreak/>
        <w:t xml:space="preserve">Gráfico </w:t>
      </w:r>
      <w:r w:rsidRPr="001D64C4">
        <w:rPr>
          <w:b/>
          <w:bCs/>
          <w:i w:val="0"/>
          <w:iCs w:val="0"/>
          <w:color w:val="000000" w:themeColor="text1"/>
          <w:sz w:val="22"/>
          <w:szCs w:val="22"/>
        </w:rPr>
        <w:fldChar w:fldCharType="begin"/>
      </w:r>
      <w:r w:rsidRPr="001D64C4">
        <w:rPr>
          <w:b/>
          <w:bCs/>
          <w:i w:val="0"/>
          <w:iCs w:val="0"/>
          <w:color w:val="000000" w:themeColor="text1"/>
          <w:sz w:val="22"/>
          <w:szCs w:val="22"/>
        </w:rPr>
        <w:instrText xml:space="preserve"> SEQ Gráfico \* ARABIC </w:instrText>
      </w:r>
      <w:r w:rsidRPr="001D64C4">
        <w:rPr>
          <w:b/>
          <w:bCs/>
          <w:i w:val="0"/>
          <w:iCs w:val="0"/>
          <w:color w:val="000000" w:themeColor="text1"/>
          <w:sz w:val="22"/>
          <w:szCs w:val="22"/>
        </w:rPr>
        <w:fldChar w:fldCharType="separate"/>
      </w:r>
      <w:r w:rsidR="002A7155">
        <w:rPr>
          <w:b/>
          <w:bCs/>
          <w:i w:val="0"/>
          <w:iCs w:val="0"/>
          <w:noProof/>
          <w:color w:val="000000" w:themeColor="text1"/>
          <w:sz w:val="22"/>
          <w:szCs w:val="22"/>
        </w:rPr>
        <w:t>2</w:t>
      </w:r>
      <w:r w:rsidRPr="001D64C4">
        <w:rPr>
          <w:b/>
          <w:bCs/>
          <w:i w:val="0"/>
          <w:iCs w:val="0"/>
          <w:color w:val="000000" w:themeColor="text1"/>
          <w:sz w:val="22"/>
          <w:szCs w:val="22"/>
        </w:rPr>
        <w:fldChar w:fldCharType="end"/>
      </w:r>
      <w:r w:rsidRPr="001D64C4">
        <w:rPr>
          <w:i w:val="0"/>
          <w:iCs w:val="0"/>
          <w:color w:val="000000" w:themeColor="text1"/>
          <w:sz w:val="22"/>
          <w:szCs w:val="22"/>
        </w:rPr>
        <w:t>: Número de concluintes em cursos de graduação presenciais em IES (públicas e privadas), por região, 2000-2019.</w:t>
      </w:r>
    </w:p>
    <w:p w14:paraId="508F5132" w14:textId="3BBBAF2D" w:rsidR="001D64C4" w:rsidRDefault="001D64C4" w:rsidP="001D64C4">
      <w:pPr>
        <w:ind w:firstLine="0"/>
      </w:pPr>
      <w:r w:rsidRPr="00711FE1">
        <w:rPr>
          <w:noProof/>
        </w:rPr>
        <w:drawing>
          <wp:inline distT="0" distB="0" distL="0" distR="0" wp14:anchorId="2A3C2AF7" wp14:editId="595E3D9F">
            <wp:extent cx="5749158" cy="3077210"/>
            <wp:effectExtent l="0" t="0" r="4445" b="8890"/>
            <wp:docPr id="7" name="Gráfico 7">
              <a:extLst xmlns:a="http://schemas.openxmlformats.org/drawingml/2006/main">
                <a:ext uri="{FF2B5EF4-FFF2-40B4-BE49-F238E27FC236}">
                  <a16:creationId xmlns:a16="http://schemas.microsoft.com/office/drawing/2014/main" id="{80D56133-D9FF-40BE-9021-D73A3976309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F659207" w14:textId="77777777" w:rsidR="001D64C4" w:rsidRPr="001D64C4" w:rsidRDefault="001D64C4" w:rsidP="001D64C4">
      <w:pPr>
        <w:ind w:firstLine="0"/>
        <w:rPr>
          <w:rFonts w:cs="Times New Roman"/>
          <w:sz w:val="22"/>
        </w:rPr>
      </w:pPr>
      <w:r w:rsidRPr="001D64C4">
        <w:rPr>
          <w:rFonts w:cs="Times New Roman"/>
          <w:b/>
          <w:bCs/>
          <w:sz w:val="22"/>
        </w:rPr>
        <w:t>Fonte:</w:t>
      </w:r>
      <w:r w:rsidRPr="001D64C4">
        <w:rPr>
          <w:rFonts w:cs="Times New Roman"/>
          <w:sz w:val="22"/>
        </w:rPr>
        <w:t xml:space="preserve"> INEP (2019). Organizado pelos autores.</w:t>
      </w:r>
    </w:p>
    <w:p w14:paraId="01D02FD6" w14:textId="195A5500" w:rsidR="001D64C4" w:rsidRDefault="001D64C4" w:rsidP="001D64C4">
      <w:pPr>
        <w:ind w:firstLine="0"/>
        <w:rPr>
          <w:rFonts w:cs="Times New Roman"/>
          <w:b/>
          <w:bCs/>
          <w:szCs w:val="24"/>
        </w:rPr>
      </w:pPr>
    </w:p>
    <w:p w14:paraId="0E439B55" w14:textId="79485CFC" w:rsidR="001D64C4" w:rsidRPr="001D64C4" w:rsidRDefault="001D64C4" w:rsidP="001D64C4">
      <w:r w:rsidRPr="001D64C4">
        <w:t xml:space="preserve">Nesse contexto, as regiões antes desprovidas de profissionais qualificados, aqui entendidos como os que detém formação em ensino superior ganharam no período observado novos estímulos no sentido do desenvolvimento, haja vista as externalidades positivas oriundas de uma população mais escolarizada, como reforçado na literatura apresentada nesse trabalho. </w:t>
      </w:r>
    </w:p>
    <w:p w14:paraId="397BA735" w14:textId="77777777" w:rsidR="001D64C4" w:rsidRDefault="001D64C4" w:rsidP="001D64C4"/>
    <w:p w14:paraId="24083C2F" w14:textId="0AE1F50F" w:rsidR="00F50004" w:rsidRDefault="004018DB" w:rsidP="00605421">
      <w:pPr>
        <w:ind w:firstLine="0"/>
        <w:rPr>
          <w:rFonts w:cs="Times New Roman"/>
          <w:b/>
          <w:bCs/>
          <w:szCs w:val="24"/>
        </w:rPr>
      </w:pPr>
      <w:r>
        <w:rPr>
          <w:rFonts w:cs="Times New Roman"/>
          <w:b/>
          <w:bCs/>
          <w:szCs w:val="24"/>
        </w:rPr>
        <w:t xml:space="preserve">4 RESULTADOS E DISCUSSÕES </w:t>
      </w:r>
    </w:p>
    <w:p w14:paraId="1982FD25" w14:textId="77777777" w:rsidR="00D229D5" w:rsidRDefault="00D229D5">
      <w:pPr>
        <w:rPr>
          <w:rFonts w:cs="Times New Roman"/>
          <w:szCs w:val="24"/>
        </w:rPr>
      </w:pPr>
    </w:p>
    <w:p w14:paraId="005B3B2F" w14:textId="645ED3F7" w:rsidR="00CC7280" w:rsidRDefault="00CC7280" w:rsidP="00D229D5">
      <w:pPr>
        <w:ind w:firstLine="708"/>
        <w:rPr>
          <w:rFonts w:cs="Times New Roman"/>
          <w:szCs w:val="24"/>
        </w:rPr>
      </w:pPr>
      <w:r>
        <w:rPr>
          <w:rFonts w:cs="Times New Roman"/>
          <w:szCs w:val="24"/>
        </w:rPr>
        <w:t xml:space="preserve">Considerando a interiorização do ensino superior no Brasil e a ativa participação do município de Pau dos Ferros nesse processo, com a instalação de dois </w:t>
      </w:r>
      <w:r>
        <w:rPr>
          <w:rFonts w:cs="Times New Roman"/>
          <w:i/>
          <w:iCs/>
          <w:szCs w:val="24"/>
        </w:rPr>
        <w:t xml:space="preserve">Campi </w:t>
      </w:r>
      <w:r>
        <w:rPr>
          <w:rFonts w:cs="Times New Roman"/>
          <w:szCs w:val="24"/>
        </w:rPr>
        <w:t>de IES (</w:t>
      </w:r>
      <w:r w:rsidRPr="00CC7280">
        <w:rPr>
          <w:rFonts w:cs="Times New Roman"/>
          <w:szCs w:val="24"/>
        </w:rPr>
        <w:t>Instituto Federal de Educação, Ciência e Tecnologia do Rio Grande do Norte</w:t>
      </w:r>
      <w:r>
        <w:rPr>
          <w:rFonts w:cs="Times New Roman"/>
          <w:szCs w:val="24"/>
        </w:rPr>
        <w:t xml:space="preserve"> e a </w:t>
      </w:r>
      <w:r w:rsidRPr="00CC7280">
        <w:rPr>
          <w:rFonts w:cs="Times New Roman"/>
          <w:szCs w:val="24"/>
        </w:rPr>
        <w:t xml:space="preserve">Universidade Federal Rural do </w:t>
      </w:r>
      <w:proofErr w:type="spellStart"/>
      <w:r w:rsidRPr="00CC7280">
        <w:rPr>
          <w:rFonts w:cs="Times New Roman"/>
          <w:szCs w:val="24"/>
        </w:rPr>
        <w:t>Semi-Árido</w:t>
      </w:r>
      <w:proofErr w:type="spellEnd"/>
      <w:r>
        <w:rPr>
          <w:rFonts w:cs="Times New Roman"/>
          <w:szCs w:val="24"/>
        </w:rPr>
        <w:t xml:space="preserve">) pode-se admitir que </w:t>
      </w:r>
      <w:r w:rsidR="00EC7919">
        <w:rPr>
          <w:rFonts w:cs="Times New Roman"/>
          <w:szCs w:val="24"/>
        </w:rPr>
        <w:t xml:space="preserve">a R.G.I de Pau dos Ferros angariou um novo impulso no sentindo do desenvolvimento regional. Como apresentado em tópicos anteriores o acesso </w:t>
      </w:r>
      <w:r w:rsidR="003E7D38">
        <w:rPr>
          <w:rFonts w:cs="Times New Roman"/>
          <w:szCs w:val="24"/>
        </w:rPr>
        <w:t>à</w:t>
      </w:r>
      <w:r w:rsidR="00EC7919">
        <w:rPr>
          <w:rFonts w:cs="Times New Roman"/>
          <w:szCs w:val="24"/>
        </w:rPr>
        <w:t xml:space="preserve"> educação possibilita que as pessoas se capacitem </w:t>
      </w:r>
      <w:r w:rsidR="00BA4B39">
        <w:rPr>
          <w:rFonts w:cs="Times New Roman"/>
          <w:szCs w:val="24"/>
        </w:rPr>
        <w:t xml:space="preserve">melhor </w:t>
      </w:r>
      <w:r w:rsidR="00EC7919">
        <w:rPr>
          <w:rFonts w:cs="Times New Roman"/>
          <w:szCs w:val="24"/>
        </w:rPr>
        <w:t>para um</w:t>
      </w:r>
      <w:r w:rsidR="00BA4B39">
        <w:rPr>
          <w:rFonts w:cs="Times New Roman"/>
          <w:szCs w:val="24"/>
        </w:rPr>
        <w:t>a integração mais qualificada no mercado de trabalho e consequentemente melhorem sua qualidade de vida.</w:t>
      </w:r>
    </w:p>
    <w:p w14:paraId="1AC6E354" w14:textId="5FAEDA66" w:rsidR="004E158D" w:rsidRDefault="00BA4B39" w:rsidP="004E158D">
      <w:pPr>
        <w:ind w:firstLine="708"/>
        <w:rPr>
          <w:rFonts w:cs="Times New Roman"/>
          <w:szCs w:val="24"/>
        </w:rPr>
      </w:pPr>
      <w:r>
        <w:rPr>
          <w:rFonts w:cs="Times New Roman"/>
          <w:szCs w:val="24"/>
        </w:rPr>
        <w:t xml:space="preserve">Nessa perspectiva, os dados apresentados no gráfico 3 projetam </w:t>
      </w:r>
      <w:r w:rsidR="00D229D5" w:rsidRPr="00D229D5">
        <w:rPr>
          <w:rFonts w:cs="Times New Roman"/>
          <w:szCs w:val="24"/>
        </w:rPr>
        <w:t>a quantidade de trabalhadores formais com ensino superior completo na R.G.I. de Pau dos Ferros</w:t>
      </w:r>
      <w:r>
        <w:rPr>
          <w:rFonts w:cs="Times New Roman"/>
          <w:szCs w:val="24"/>
        </w:rPr>
        <w:t>.</w:t>
      </w:r>
      <w:r w:rsidR="00D229D5" w:rsidRPr="00D229D5">
        <w:rPr>
          <w:rFonts w:cs="Times New Roman"/>
          <w:szCs w:val="24"/>
        </w:rPr>
        <w:t xml:space="preserve"> </w:t>
      </w:r>
      <w:r w:rsidR="009C51DB">
        <w:rPr>
          <w:rFonts w:cs="Times New Roman"/>
          <w:szCs w:val="24"/>
        </w:rPr>
        <w:t xml:space="preserve">Entre 2009 e 2019 se observa que </w:t>
      </w:r>
      <w:r w:rsidR="00D229D5" w:rsidRPr="00D229D5">
        <w:rPr>
          <w:rFonts w:cs="Times New Roman"/>
          <w:szCs w:val="24"/>
        </w:rPr>
        <w:t>houve uma evolução significativa de</w:t>
      </w:r>
      <w:r w:rsidR="009C51DB">
        <w:rPr>
          <w:rFonts w:cs="Times New Roman"/>
          <w:szCs w:val="24"/>
        </w:rPr>
        <w:t xml:space="preserve"> </w:t>
      </w:r>
      <w:r w:rsidR="00D229D5" w:rsidRPr="00D229D5">
        <w:rPr>
          <w:rFonts w:cs="Times New Roman"/>
          <w:szCs w:val="24"/>
        </w:rPr>
        <w:t>vínculos</w:t>
      </w:r>
      <w:r w:rsidR="009C51DB">
        <w:rPr>
          <w:rFonts w:cs="Times New Roman"/>
          <w:szCs w:val="24"/>
        </w:rPr>
        <w:t xml:space="preserve"> de trabalhadores diplomados.</w:t>
      </w:r>
      <w:r w:rsidR="00D229D5" w:rsidRPr="00D229D5">
        <w:rPr>
          <w:rFonts w:cs="Times New Roman"/>
          <w:szCs w:val="24"/>
        </w:rPr>
        <w:t xml:space="preserve"> Em 2009, havia 2.317 empregados com ensino superior completo, no último ano da série esses já eram 4.715.</w:t>
      </w:r>
      <w:r w:rsidR="00C9008E">
        <w:rPr>
          <w:rFonts w:cs="Times New Roman"/>
          <w:szCs w:val="24"/>
        </w:rPr>
        <w:t xml:space="preserve"> Assim, em um período de dez anos mais que dobrou a quantidade de trabalhadores formais com ensino superior completo, em outros termos, foram inseridos no mercado de trabalho da região entre 2009 e 2019, 2.398 novos trabalhadores capacitados em IES. </w:t>
      </w:r>
      <w:r w:rsidR="00D229D5" w:rsidRPr="00D229D5">
        <w:rPr>
          <w:rFonts w:cs="Times New Roman"/>
          <w:szCs w:val="24"/>
        </w:rPr>
        <w:t>Um crescimento de mais de 103%.</w:t>
      </w:r>
      <w:r w:rsidR="009C51DB">
        <w:rPr>
          <w:rFonts w:cs="Times New Roman"/>
          <w:szCs w:val="24"/>
        </w:rPr>
        <w:t xml:space="preserve"> </w:t>
      </w:r>
      <w:r w:rsidR="00764D3C">
        <w:rPr>
          <w:rFonts w:cs="Times New Roman"/>
          <w:szCs w:val="24"/>
        </w:rPr>
        <w:t xml:space="preserve">Esses dados </w:t>
      </w:r>
      <w:proofErr w:type="spellStart"/>
      <w:r w:rsidR="00764D3C">
        <w:rPr>
          <w:rFonts w:cs="Times New Roman"/>
          <w:szCs w:val="24"/>
        </w:rPr>
        <w:t>põem</w:t>
      </w:r>
      <w:proofErr w:type="spellEnd"/>
      <w:r w:rsidR="009C51DB">
        <w:rPr>
          <w:rFonts w:cs="Times New Roman"/>
          <w:szCs w:val="24"/>
        </w:rPr>
        <w:t xml:space="preserve"> em evidência que continuamente o </w:t>
      </w:r>
      <w:r w:rsidR="009C51DB">
        <w:rPr>
          <w:rFonts w:cs="Times New Roman"/>
          <w:szCs w:val="24"/>
        </w:rPr>
        <w:lastRenderedPageBreak/>
        <w:t xml:space="preserve">cenário do mercado de trabalho da </w:t>
      </w:r>
      <w:r w:rsidR="00764D3C">
        <w:rPr>
          <w:rFonts w:cs="Times New Roman"/>
          <w:szCs w:val="24"/>
        </w:rPr>
        <w:t>R.G.I. de Pau dos Ferros</w:t>
      </w:r>
      <w:r w:rsidR="009C51DB">
        <w:rPr>
          <w:rFonts w:cs="Times New Roman"/>
          <w:szCs w:val="24"/>
        </w:rPr>
        <w:t xml:space="preserve"> está se modificando positivamente com a presença, cada vez maior, de trabalhadores </w:t>
      </w:r>
      <w:r w:rsidR="004E158D">
        <w:rPr>
          <w:rFonts w:cs="Times New Roman"/>
          <w:szCs w:val="24"/>
        </w:rPr>
        <w:t>qualificados</w:t>
      </w:r>
      <w:r w:rsidR="009C51DB">
        <w:rPr>
          <w:rFonts w:cs="Times New Roman"/>
          <w:szCs w:val="24"/>
        </w:rPr>
        <w:t xml:space="preserve">. </w:t>
      </w:r>
    </w:p>
    <w:p w14:paraId="03676073" w14:textId="095E20F4" w:rsidR="004E158D" w:rsidRPr="004E158D" w:rsidRDefault="004E158D" w:rsidP="004E158D">
      <w:pPr>
        <w:ind w:firstLine="708"/>
        <w:rPr>
          <w:rFonts w:cs="Times New Roman"/>
          <w:szCs w:val="24"/>
        </w:rPr>
      </w:pPr>
      <w:r w:rsidRPr="004E158D">
        <w:rPr>
          <w:rFonts w:cs="Times New Roman"/>
          <w:szCs w:val="24"/>
        </w:rPr>
        <w:t xml:space="preserve">Apesar de retrações pontuais nos anos de 2012 e 2016, o quadro de trabalhadores com maior nível de escolaridade aumentou progressivamente na região. Nesse sentido, é indubitável não estabelecer uma relação entre esse aumento do número de ocupados com ensino superior completo e o processo de expansão da educação superior que se deu no Brasil no período recente. Como ressaltado </w:t>
      </w:r>
      <w:r>
        <w:rPr>
          <w:rFonts w:cs="Times New Roman"/>
          <w:szCs w:val="24"/>
        </w:rPr>
        <w:t>na literatura</w:t>
      </w:r>
      <w:r w:rsidRPr="004E158D">
        <w:rPr>
          <w:rFonts w:cs="Times New Roman"/>
          <w:szCs w:val="24"/>
        </w:rPr>
        <w:t>, a expansão do sistema de ensino superior atingiu regiões antes desprovidas de atendimento desse nível educacional. O fenômeno da interiorização permitiu que pessoas residentes em regiões localizadas na periferia do país e desprivilegiadas economicamente, como a região objeto desse estudo, tivessem a oportunidade de ingressar em uma IES.</w:t>
      </w:r>
    </w:p>
    <w:p w14:paraId="0C1701CD" w14:textId="4990E16A" w:rsidR="00D229D5" w:rsidRPr="00D229D5" w:rsidRDefault="00D229D5" w:rsidP="00D229D5">
      <w:pPr>
        <w:ind w:firstLine="0"/>
        <w:rPr>
          <w:rFonts w:cs="Times New Roman"/>
          <w:szCs w:val="24"/>
        </w:rPr>
      </w:pPr>
    </w:p>
    <w:p w14:paraId="33830E48" w14:textId="16250952" w:rsidR="00D229D5" w:rsidRPr="00D229D5" w:rsidRDefault="00D229D5" w:rsidP="00764D3C">
      <w:pPr>
        <w:pStyle w:val="Legenda"/>
        <w:keepNext/>
        <w:spacing w:after="0"/>
        <w:ind w:firstLine="0"/>
        <w:jc w:val="center"/>
        <w:rPr>
          <w:i w:val="0"/>
          <w:iCs w:val="0"/>
          <w:color w:val="000000" w:themeColor="text1"/>
          <w:sz w:val="22"/>
          <w:szCs w:val="22"/>
        </w:rPr>
      </w:pPr>
      <w:r w:rsidRPr="00D229D5">
        <w:rPr>
          <w:b/>
          <w:bCs/>
          <w:i w:val="0"/>
          <w:iCs w:val="0"/>
          <w:color w:val="000000" w:themeColor="text1"/>
          <w:sz w:val="22"/>
          <w:szCs w:val="22"/>
        </w:rPr>
        <w:t xml:space="preserve">Gráfico </w:t>
      </w:r>
      <w:r w:rsidRPr="00D229D5">
        <w:rPr>
          <w:b/>
          <w:bCs/>
          <w:i w:val="0"/>
          <w:iCs w:val="0"/>
          <w:color w:val="000000" w:themeColor="text1"/>
          <w:sz w:val="22"/>
          <w:szCs w:val="22"/>
        </w:rPr>
        <w:fldChar w:fldCharType="begin"/>
      </w:r>
      <w:r w:rsidRPr="00D229D5">
        <w:rPr>
          <w:b/>
          <w:bCs/>
          <w:i w:val="0"/>
          <w:iCs w:val="0"/>
          <w:color w:val="000000" w:themeColor="text1"/>
          <w:sz w:val="22"/>
          <w:szCs w:val="22"/>
        </w:rPr>
        <w:instrText xml:space="preserve"> SEQ Gráfico \* ARABIC </w:instrText>
      </w:r>
      <w:r w:rsidRPr="00D229D5">
        <w:rPr>
          <w:b/>
          <w:bCs/>
          <w:i w:val="0"/>
          <w:iCs w:val="0"/>
          <w:color w:val="000000" w:themeColor="text1"/>
          <w:sz w:val="22"/>
          <w:szCs w:val="22"/>
        </w:rPr>
        <w:fldChar w:fldCharType="separate"/>
      </w:r>
      <w:r w:rsidR="002A7155">
        <w:rPr>
          <w:b/>
          <w:bCs/>
          <w:i w:val="0"/>
          <w:iCs w:val="0"/>
          <w:noProof/>
          <w:color w:val="000000" w:themeColor="text1"/>
          <w:sz w:val="22"/>
          <w:szCs w:val="22"/>
        </w:rPr>
        <w:t>3</w:t>
      </w:r>
      <w:r w:rsidRPr="00D229D5">
        <w:rPr>
          <w:b/>
          <w:bCs/>
          <w:i w:val="0"/>
          <w:iCs w:val="0"/>
          <w:color w:val="000000" w:themeColor="text1"/>
          <w:sz w:val="22"/>
          <w:szCs w:val="22"/>
        </w:rPr>
        <w:fldChar w:fldCharType="end"/>
      </w:r>
      <w:r w:rsidRPr="00D229D5">
        <w:rPr>
          <w:i w:val="0"/>
          <w:iCs w:val="0"/>
          <w:color w:val="000000" w:themeColor="text1"/>
          <w:sz w:val="22"/>
          <w:szCs w:val="22"/>
        </w:rPr>
        <w:t>: Ocupados com ensino superior completo na R.G.I. de Pau dos Ferros/RN, 2009-2019.</w:t>
      </w:r>
    </w:p>
    <w:p w14:paraId="24E800FA" w14:textId="686E19EE" w:rsidR="00D229D5" w:rsidRPr="00D229D5" w:rsidRDefault="00D229D5" w:rsidP="00D229D5">
      <w:pPr>
        <w:ind w:firstLine="0"/>
        <w:rPr>
          <w:rFonts w:cs="Times New Roman"/>
          <w:szCs w:val="24"/>
        </w:rPr>
      </w:pPr>
      <w:r w:rsidRPr="00C65452">
        <w:rPr>
          <w:rFonts w:cs="Times New Roman"/>
          <w:noProof/>
          <w:szCs w:val="24"/>
        </w:rPr>
        <w:drawing>
          <wp:inline distT="0" distB="0" distL="0" distR="0" wp14:anchorId="5F4154B0" wp14:editId="6E4D6DF4">
            <wp:extent cx="5723792" cy="3288323"/>
            <wp:effectExtent l="0" t="0" r="10795" b="7620"/>
            <wp:docPr id="8" name="Gráfico 8">
              <a:extLst xmlns:a="http://schemas.openxmlformats.org/drawingml/2006/main">
                <a:ext uri="{FF2B5EF4-FFF2-40B4-BE49-F238E27FC236}">
                  <a16:creationId xmlns:a16="http://schemas.microsoft.com/office/drawing/2014/main" id="{69B924C6-485C-421D-A12D-452D28B6734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r w:rsidRPr="00D229D5">
        <w:rPr>
          <w:rFonts w:cs="Times New Roman"/>
          <w:b/>
          <w:bCs/>
          <w:sz w:val="22"/>
        </w:rPr>
        <w:t>Fonte:</w:t>
      </w:r>
      <w:r w:rsidRPr="00D229D5">
        <w:rPr>
          <w:rFonts w:cs="Times New Roman"/>
          <w:sz w:val="22"/>
        </w:rPr>
        <w:t xml:space="preserve"> RAIS (2021). Organizado pelos autores.</w:t>
      </w:r>
    </w:p>
    <w:p w14:paraId="33AF3503" w14:textId="25FA5B38" w:rsidR="00D229D5" w:rsidRPr="00D229D5" w:rsidRDefault="00D229D5" w:rsidP="004E158D">
      <w:pPr>
        <w:ind w:firstLine="0"/>
        <w:rPr>
          <w:rFonts w:cs="Times New Roman"/>
          <w:szCs w:val="24"/>
        </w:rPr>
      </w:pPr>
    </w:p>
    <w:p w14:paraId="09D11471" w14:textId="560F38D0" w:rsidR="008C6ABA" w:rsidRDefault="00D229D5" w:rsidP="008C6ABA">
      <w:pPr>
        <w:ind w:firstLine="708"/>
        <w:rPr>
          <w:rFonts w:cs="Times New Roman"/>
          <w:szCs w:val="24"/>
        </w:rPr>
      </w:pPr>
      <w:r w:rsidRPr="00D229D5">
        <w:rPr>
          <w:rFonts w:cs="Times New Roman"/>
          <w:szCs w:val="24"/>
        </w:rPr>
        <w:t>Quando se analisa a distribuição dos ocupados com ensino superior completo na região, por município, tabela 2, observa-se que alguns se destacam com uma maior parcela desses profissionais. Em 2019, Pau dos Ferros concentrava 18,1% dos ocupados com ensino superior completo</w:t>
      </w:r>
      <w:r w:rsidR="004B4362">
        <w:rPr>
          <w:rFonts w:cs="Times New Roman"/>
          <w:szCs w:val="24"/>
        </w:rPr>
        <w:t xml:space="preserve"> seguido por </w:t>
      </w:r>
      <w:r w:rsidRPr="00D229D5">
        <w:rPr>
          <w:rFonts w:cs="Times New Roman"/>
          <w:szCs w:val="24"/>
        </w:rPr>
        <w:t>São Miguel</w:t>
      </w:r>
      <w:r w:rsidR="004B4362">
        <w:rPr>
          <w:rFonts w:cs="Times New Roman"/>
          <w:szCs w:val="24"/>
        </w:rPr>
        <w:t xml:space="preserve"> (</w:t>
      </w:r>
      <w:r w:rsidRPr="00D229D5">
        <w:rPr>
          <w:rFonts w:cs="Times New Roman"/>
          <w:szCs w:val="24"/>
        </w:rPr>
        <w:t>7,7%</w:t>
      </w:r>
      <w:r w:rsidR="004B4362">
        <w:rPr>
          <w:rFonts w:cs="Times New Roman"/>
          <w:szCs w:val="24"/>
        </w:rPr>
        <w:t>)</w:t>
      </w:r>
      <w:r w:rsidRPr="00D229D5">
        <w:rPr>
          <w:rFonts w:cs="Times New Roman"/>
          <w:szCs w:val="24"/>
        </w:rPr>
        <w:t xml:space="preserve">, Patu </w:t>
      </w:r>
      <w:r w:rsidR="004B4362">
        <w:rPr>
          <w:rFonts w:cs="Times New Roman"/>
          <w:szCs w:val="24"/>
        </w:rPr>
        <w:t>(</w:t>
      </w:r>
      <w:r w:rsidRPr="00D229D5">
        <w:rPr>
          <w:rFonts w:cs="Times New Roman"/>
          <w:szCs w:val="24"/>
        </w:rPr>
        <w:t>6,5%</w:t>
      </w:r>
      <w:r w:rsidR="004B4362">
        <w:rPr>
          <w:rFonts w:cs="Times New Roman"/>
          <w:szCs w:val="24"/>
        </w:rPr>
        <w:t>)</w:t>
      </w:r>
      <w:r w:rsidRPr="00D229D5">
        <w:rPr>
          <w:rFonts w:cs="Times New Roman"/>
          <w:szCs w:val="24"/>
        </w:rPr>
        <w:t xml:space="preserve"> e Alexandria </w:t>
      </w:r>
      <w:r w:rsidR="004B4362">
        <w:rPr>
          <w:rFonts w:cs="Times New Roman"/>
          <w:szCs w:val="24"/>
        </w:rPr>
        <w:t>(</w:t>
      </w:r>
      <w:r w:rsidRPr="00D229D5">
        <w:rPr>
          <w:rFonts w:cs="Times New Roman"/>
          <w:szCs w:val="24"/>
        </w:rPr>
        <w:t>5%</w:t>
      </w:r>
      <w:r w:rsidR="004B4362">
        <w:rPr>
          <w:rFonts w:cs="Times New Roman"/>
          <w:szCs w:val="24"/>
        </w:rPr>
        <w:t>)</w:t>
      </w:r>
      <w:r w:rsidRPr="00D229D5">
        <w:rPr>
          <w:rFonts w:cs="Times New Roman"/>
          <w:szCs w:val="24"/>
        </w:rPr>
        <w:t>. Possivelmente esses valores estão ligados a quantidade de habitante</w:t>
      </w:r>
      <w:r w:rsidR="008C6ABA">
        <w:rPr>
          <w:rFonts w:cs="Times New Roman"/>
          <w:szCs w:val="24"/>
        </w:rPr>
        <w:t>s</w:t>
      </w:r>
      <w:r w:rsidRPr="00D229D5">
        <w:rPr>
          <w:rFonts w:cs="Times New Roman"/>
          <w:szCs w:val="24"/>
        </w:rPr>
        <w:t>, já que esses municípios são os mais populosos da região</w:t>
      </w:r>
      <w:r w:rsidR="0028085C">
        <w:rPr>
          <w:rStyle w:val="Refdenotaderodap"/>
          <w:rFonts w:cs="Times New Roman"/>
          <w:szCs w:val="24"/>
        </w:rPr>
        <w:footnoteReference w:id="3"/>
      </w:r>
      <w:r w:rsidR="008C6ABA">
        <w:rPr>
          <w:rFonts w:cs="Times New Roman"/>
          <w:szCs w:val="24"/>
        </w:rPr>
        <w:t xml:space="preserve"> e também a dinâmica econômica desses locais</w:t>
      </w:r>
      <w:r w:rsidRPr="00D229D5">
        <w:rPr>
          <w:rFonts w:cs="Times New Roman"/>
          <w:szCs w:val="24"/>
        </w:rPr>
        <w:t>.</w:t>
      </w:r>
      <w:r w:rsidR="004B4362">
        <w:rPr>
          <w:rFonts w:cs="Times New Roman"/>
          <w:szCs w:val="24"/>
        </w:rPr>
        <w:t xml:space="preserve"> No entanto, </w:t>
      </w:r>
      <w:r w:rsidR="0028085C">
        <w:rPr>
          <w:rFonts w:cs="Times New Roman"/>
          <w:szCs w:val="24"/>
        </w:rPr>
        <w:t>essa ponderação</w:t>
      </w:r>
      <w:r w:rsidR="004B4362">
        <w:rPr>
          <w:rFonts w:cs="Times New Roman"/>
          <w:szCs w:val="24"/>
        </w:rPr>
        <w:t xml:space="preserve"> é tão </w:t>
      </w:r>
      <w:r w:rsidR="004B4362">
        <w:rPr>
          <w:rFonts w:cs="Times New Roman"/>
          <w:szCs w:val="24"/>
        </w:rPr>
        <w:lastRenderedPageBreak/>
        <w:t>somente uma conjectura</w:t>
      </w:r>
      <w:r w:rsidR="0028085C">
        <w:rPr>
          <w:rFonts w:cs="Times New Roman"/>
          <w:szCs w:val="24"/>
        </w:rPr>
        <w:t xml:space="preserve">, pois, </w:t>
      </w:r>
      <w:r w:rsidR="00394BFE">
        <w:rPr>
          <w:rFonts w:cs="Times New Roman"/>
          <w:szCs w:val="24"/>
        </w:rPr>
        <w:t>as informações disponíveis não permitem</w:t>
      </w:r>
      <w:r w:rsidR="0028085C">
        <w:rPr>
          <w:rFonts w:cs="Times New Roman"/>
          <w:szCs w:val="24"/>
        </w:rPr>
        <w:t xml:space="preserve"> inferir com precisão tal fato, ficando como </w:t>
      </w:r>
      <w:r w:rsidR="008D12A4">
        <w:rPr>
          <w:rFonts w:cs="Times New Roman"/>
          <w:szCs w:val="24"/>
        </w:rPr>
        <w:t>proposição para outras pesquisas.</w:t>
      </w:r>
    </w:p>
    <w:p w14:paraId="6FA5CBF0" w14:textId="77777777" w:rsidR="008C6ABA" w:rsidRDefault="008C6ABA" w:rsidP="00D229D5">
      <w:pPr>
        <w:ind w:firstLine="708"/>
        <w:rPr>
          <w:rFonts w:cs="Times New Roman"/>
          <w:szCs w:val="24"/>
        </w:rPr>
      </w:pPr>
    </w:p>
    <w:p w14:paraId="78991488" w14:textId="3AC6172D" w:rsidR="00D229D5" w:rsidRPr="00D229D5" w:rsidRDefault="00D229D5" w:rsidP="008D12A4">
      <w:pPr>
        <w:pStyle w:val="Legenda"/>
        <w:keepNext/>
        <w:spacing w:after="0"/>
        <w:ind w:firstLine="0"/>
        <w:rPr>
          <w:i w:val="0"/>
          <w:iCs w:val="0"/>
          <w:color w:val="000000" w:themeColor="text1"/>
          <w:sz w:val="22"/>
          <w:szCs w:val="22"/>
        </w:rPr>
      </w:pPr>
      <w:r w:rsidRPr="00D229D5">
        <w:rPr>
          <w:b/>
          <w:bCs/>
          <w:i w:val="0"/>
          <w:iCs w:val="0"/>
          <w:color w:val="000000" w:themeColor="text1"/>
          <w:sz w:val="22"/>
          <w:szCs w:val="22"/>
        </w:rPr>
        <w:t xml:space="preserve">Tabela </w:t>
      </w:r>
      <w:r w:rsidRPr="00D229D5">
        <w:rPr>
          <w:b/>
          <w:bCs/>
          <w:i w:val="0"/>
          <w:iCs w:val="0"/>
          <w:color w:val="000000" w:themeColor="text1"/>
          <w:sz w:val="22"/>
          <w:szCs w:val="22"/>
        </w:rPr>
        <w:fldChar w:fldCharType="begin"/>
      </w:r>
      <w:r w:rsidRPr="00D229D5">
        <w:rPr>
          <w:b/>
          <w:bCs/>
          <w:i w:val="0"/>
          <w:iCs w:val="0"/>
          <w:color w:val="000000" w:themeColor="text1"/>
          <w:sz w:val="22"/>
          <w:szCs w:val="22"/>
        </w:rPr>
        <w:instrText xml:space="preserve"> SEQ Tabela \* ARABIC </w:instrText>
      </w:r>
      <w:r w:rsidRPr="00D229D5">
        <w:rPr>
          <w:b/>
          <w:bCs/>
          <w:i w:val="0"/>
          <w:iCs w:val="0"/>
          <w:color w:val="000000" w:themeColor="text1"/>
          <w:sz w:val="22"/>
          <w:szCs w:val="22"/>
        </w:rPr>
        <w:fldChar w:fldCharType="separate"/>
      </w:r>
      <w:r w:rsidR="002A7155">
        <w:rPr>
          <w:b/>
          <w:bCs/>
          <w:i w:val="0"/>
          <w:iCs w:val="0"/>
          <w:noProof/>
          <w:color w:val="000000" w:themeColor="text1"/>
          <w:sz w:val="22"/>
          <w:szCs w:val="22"/>
        </w:rPr>
        <w:t>2</w:t>
      </w:r>
      <w:r w:rsidRPr="00D229D5">
        <w:rPr>
          <w:b/>
          <w:bCs/>
          <w:i w:val="0"/>
          <w:iCs w:val="0"/>
          <w:color w:val="000000" w:themeColor="text1"/>
          <w:sz w:val="22"/>
          <w:szCs w:val="22"/>
        </w:rPr>
        <w:fldChar w:fldCharType="end"/>
      </w:r>
      <w:r w:rsidRPr="00D229D5">
        <w:rPr>
          <w:b/>
          <w:bCs/>
          <w:i w:val="0"/>
          <w:iCs w:val="0"/>
          <w:color w:val="000000" w:themeColor="text1"/>
          <w:sz w:val="22"/>
          <w:szCs w:val="22"/>
        </w:rPr>
        <w:t>:</w:t>
      </w:r>
      <w:r w:rsidRPr="00D229D5">
        <w:rPr>
          <w:i w:val="0"/>
          <w:iCs w:val="0"/>
          <w:color w:val="000000" w:themeColor="text1"/>
          <w:sz w:val="22"/>
          <w:szCs w:val="22"/>
        </w:rPr>
        <w:t xml:space="preserve"> Ocupados com ensino superior completo, por município da R.G.I. de Pau dos Ferros, 2009-2019.</w:t>
      </w:r>
    </w:p>
    <w:tbl>
      <w:tblPr>
        <w:tblStyle w:val="SimplesTabela22"/>
        <w:tblW w:w="9181" w:type="dxa"/>
        <w:jc w:val="center"/>
        <w:tblLayout w:type="fixed"/>
        <w:tblLook w:val="04A0" w:firstRow="1" w:lastRow="0" w:firstColumn="1" w:lastColumn="0" w:noHBand="0" w:noVBand="1"/>
      </w:tblPr>
      <w:tblGrid>
        <w:gridCol w:w="1701"/>
        <w:gridCol w:w="680"/>
        <w:gridCol w:w="680"/>
        <w:gridCol w:w="680"/>
        <w:gridCol w:w="680"/>
        <w:gridCol w:w="680"/>
        <w:gridCol w:w="680"/>
        <w:gridCol w:w="680"/>
        <w:gridCol w:w="680"/>
        <w:gridCol w:w="680"/>
        <w:gridCol w:w="680"/>
        <w:gridCol w:w="680"/>
      </w:tblGrid>
      <w:tr w:rsidR="00F81FFA" w:rsidRPr="00AA7870" w14:paraId="32A83B7E" w14:textId="77777777" w:rsidTr="00394BFE">
        <w:trPr>
          <w:cnfStyle w:val="100000000000" w:firstRow="1" w:lastRow="0" w:firstColumn="0" w:lastColumn="0" w:oddVBand="0" w:evenVBand="0" w:oddHBand="0"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1701" w:type="dxa"/>
            <w:shd w:val="clear" w:color="auto" w:fill="E7E6E6"/>
            <w:noWrap/>
            <w:vAlign w:val="center"/>
            <w:hideMark/>
          </w:tcPr>
          <w:p w14:paraId="1D08A204" w14:textId="77777777" w:rsidR="00D229D5" w:rsidRPr="00AA7870" w:rsidRDefault="00D229D5" w:rsidP="008D12A4">
            <w:pPr>
              <w:ind w:firstLine="0"/>
              <w:jc w:val="center"/>
              <w:rPr>
                <w:rFonts w:eastAsia="Times New Roman" w:cs="Times New Roman"/>
                <w:color w:val="000000"/>
                <w:sz w:val="20"/>
                <w:szCs w:val="20"/>
                <w:lang w:eastAsia="pt-BR"/>
              </w:rPr>
            </w:pPr>
            <w:r w:rsidRPr="00AA7870">
              <w:rPr>
                <w:rFonts w:eastAsia="Times New Roman" w:cs="Times New Roman"/>
                <w:color w:val="000000"/>
                <w:sz w:val="20"/>
                <w:szCs w:val="20"/>
                <w:lang w:eastAsia="pt-BR"/>
              </w:rPr>
              <w:t>MUNICÍPIO</w:t>
            </w:r>
          </w:p>
        </w:tc>
        <w:tc>
          <w:tcPr>
            <w:tcW w:w="680" w:type="dxa"/>
            <w:shd w:val="clear" w:color="auto" w:fill="E7E6E6"/>
            <w:noWrap/>
            <w:vAlign w:val="center"/>
            <w:hideMark/>
          </w:tcPr>
          <w:p w14:paraId="6F3C353D" w14:textId="77777777" w:rsidR="00D229D5" w:rsidRPr="00AA7870" w:rsidRDefault="00D229D5" w:rsidP="00F81FFA">
            <w:pPr>
              <w:ind w:firstLine="0"/>
              <w:jc w:val="left"/>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2009</w:t>
            </w:r>
          </w:p>
        </w:tc>
        <w:tc>
          <w:tcPr>
            <w:tcW w:w="680" w:type="dxa"/>
            <w:shd w:val="clear" w:color="auto" w:fill="E7E6E6"/>
            <w:noWrap/>
            <w:vAlign w:val="center"/>
            <w:hideMark/>
          </w:tcPr>
          <w:p w14:paraId="73D3516E" w14:textId="77777777" w:rsidR="00D229D5" w:rsidRPr="00AA7870" w:rsidRDefault="00D229D5" w:rsidP="008D12A4">
            <w:pPr>
              <w:ind w:firstLine="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2010</w:t>
            </w:r>
          </w:p>
        </w:tc>
        <w:tc>
          <w:tcPr>
            <w:tcW w:w="680" w:type="dxa"/>
            <w:shd w:val="clear" w:color="auto" w:fill="E7E6E6"/>
            <w:noWrap/>
            <w:vAlign w:val="center"/>
            <w:hideMark/>
          </w:tcPr>
          <w:p w14:paraId="0CE7D4F0" w14:textId="77777777" w:rsidR="00D229D5" w:rsidRPr="00AA7870" w:rsidRDefault="00D229D5" w:rsidP="008D12A4">
            <w:pPr>
              <w:ind w:firstLine="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2011</w:t>
            </w:r>
          </w:p>
        </w:tc>
        <w:tc>
          <w:tcPr>
            <w:tcW w:w="680" w:type="dxa"/>
            <w:shd w:val="clear" w:color="auto" w:fill="E7E6E6"/>
            <w:noWrap/>
            <w:vAlign w:val="center"/>
            <w:hideMark/>
          </w:tcPr>
          <w:p w14:paraId="34E0A4EC" w14:textId="77777777" w:rsidR="00D229D5" w:rsidRPr="00AA7870" w:rsidRDefault="00D229D5" w:rsidP="008D12A4">
            <w:pPr>
              <w:ind w:firstLine="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2012</w:t>
            </w:r>
          </w:p>
        </w:tc>
        <w:tc>
          <w:tcPr>
            <w:tcW w:w="680" w:type="dxa"/>
            <w:shd w:val="clear" w:color="auto" w:fill="E7E6E6"/>
            <w:noWrap/>
            <w:vAlign w:val="center"/>
            <w:hideMark/>
          </w:tcPr>
          <w:p w14:paraId="2923D23E" w14:textId="77777777" w:rsidR="00D229D5" w:rsidRPr="00AA7870" w:rsidRDefault="00D229D5" w:rsidP="008D12A4">
            <w:pPr>
              <w:ind w:firstLine="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2013</w:t>
            </w:r>
          </w:p>
        </w:tc>
        <w:tc>
          <w:tcPr>
            <w:tcW w:w="680" w:type="dxa"/>
            <w:shd w:val="clear" w:color="auto" w:fill="E7E6E6"/>
            <w:noWrap/>
            <w:vAlign w:val="center"/>
            <w:hideMark/>
          </w:tcPr>
          <w:p w14:paraId="5E456C90" w14:textId="77777777" w:rsidR="00D229D5" w:rsidRPr="00AA7870" w:rsidRDefault="00D229D5" w:rsidP="008D12A4">
            <w:pPr>
              <w:ind w:firstLine="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2014</w:t>
            </w:r>
          </w:p>
        </w:tc>
        <w:tc>
          <w:tcPr>
            <w:tcW w:w="680" w:type="dxa"/>
            <w:shd w:val="clear" w:color="auto" w:fill="E7E6E6"/>
            <w:noWrap/>
            <w:vAlign w:val="center"/>
            <w:hideMark/>
          </w:tcPr>
          <w:p w14:paraId="2862BA90" w14:textId="77777777" w:rsidR="00D229D5" w:rsidRPr="00AA7870" w:rsidRDefault="00D229D5" w:rsidP="008D12A4">
            <w:pPr>
              <w:ind w:firstLine="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2015</w:t>
            </w:r>
          </w:p>
        </w:tc>
        <w:tc>
          <w:tcPr>
            <w:tcW w:w="680" w:type="dxa"/>
            <w:shd w:val="clear" w:color="auto" w:fill="E7E6E6"/>
            <w:noWrap/>
            <w:vAlign w:val="center"/>
            <w:hideMark/>
          </w:tcPr>
          <w:p w14:paraId="6E9BEF84" w14:textId="77777777" w:rsidR="00D229D5" w:rsidRPr="00AA7870" w:rsidRDefault="00D229D5" w:rsidP="008D12A4">
            <w:pPr>
              <w:ind w:firstLine="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2016</w:t>
            </w:r>
          </w:p>
        </w:tc>
        <w:tc>
          <w:tcPr>
            <w:tcW w:w="680" w:type="dxa"/>
            <w:shd w:val="clear" w:color="auto" w:fill="E7E6E6"/>
            <w:noWrap/>
            <w:vAlign w:val="center"/>
            <w:hideMark/>
          </w:tcPr>
          <w:p w14:paraId="6F40868C" w14:textId="77777777" w:rsidR="00D229D5" w:rsidRPr="00AA7870" w:rsidRDefault="00D229D5" w:rsidP="008D12A4">
            <w:pPr>
              <w:ind w:firstLine="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2017</w:t>
            </w:r>
          </w:p>
        </w:tc>
        <w:tc>
          <w:tcPr>
            <w:tcW w:w="680" w:type="dxa"/>
            <w:shd w:val="clear" w:color="auto" w:fill="E7E6E6"/>
            <w:noWrap/>
            <w:vAlign w:val="center"/>
            <w:hideMark/>
          </w:tcPr>
          <w:p w14:paraId="1976A2C5" w14:textId="77777777" w:rsidR="00D229D5" w:rsidRPr="00AA7870" w:rsidRDefault="00D229D5" w:rsidP="008D12A4">
            <w:pPr>
              <w:ind w:firstLine="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2018</w:t>
            </w:r>
          </w:p>
        </w:tc>
        <w:tc>
          <w:tcPr>
            <w:tcW w:w="680" w:type="dxa"/>
            <w:shd w:val="clear" w:color="auto" w:fill="E7E6E6"/>
            <w:noWrap/>
            <w:vAlign w:val="center"/>
            <w:hideMark/>
          </w:tcPr>
          <w:p w14:paraId="774F276B" w14:textId="77777777" w:rsidR="00D229D5" w:rsidRPr="00AA7870" w:rsidRDefault="00D229D5" w:rsidP="008D12A4">
            <w:pPr>
              <w:ind w:firstLine="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2019</w:t>
            </w:r>
          </w:p>
        </w:tc>
      </w:tr>
      <w:tr w:rsidR="002A7155" w:rsidRPr="00AA7870" w14:paraId="08B688C2" w14:textId="77777777" w:rsidTr="00394BFE">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1701" w:type="dxa"/>
            <w:shd w:val="clear" w:color="auto" w:fill="E7E6E6"/>
            <w:noWrap/>
            <w:vAlign w:val="center"/>
            <w:hideMark/>
          </w:tcPr>
          <w:p w14:paraId="7AFF21EB" w14:textId="77777777" w:rsidR="00D229D5" w:rsidRPr="00AA7870" w:rsidRDefault="00D229D5" w:rsidP="00F81FFA">
            <w:pPr>
              <w:ind w:firstLine="0"/>
              <w:jc w:val="left"/>
              <w:rPr>
                <w:rFonts w:eastAsia="Times New Roman" w:cs="Times New Roman"/>
                <w:color w:val="000000"/>
                <w:sz w:val="20"/>
                <w:szCs w:val="20"/>
                <w:lang w:eastAsia="pt-BR"/>
              </w:rPr>
            </w:pPr>
            <w:r w:rsidRPr="00AA7870">
              <w:rPr>
                <w:rFonts w:eastAsia="Times New Roman" w:cs="Times New Roman"/>
                <w:color w:val="000000"/>
                <w:sz w:val="20"/>
                <w:szCs w:val="20"/>
                <w:lang w:eastAsia="pt-BR"/>
              </w:rPr>
              <w:t>Água Nova</w:t>
            </w:r>
          </w:p>
        </w:tc>
        <w:tc>
          <w:tcPr>
            <w:tcW w:w="680" w:type="dxa"/>
            <w:noWrap/>
            <w:vAlign w:val="center"/>
            <w:hideMark/>
          </w:tcPr>
          <w:p w14:paraId="28C529B6"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37</w:t>
            </w:r>
          </w:p>
        </w:tc>
        <w:tc>
          <w:tcPr>
            <w:tcW w:w="680" w:type="dxa"/>
            <w:noWrap/>
            <w:vAlign w:val="center"/>
            <w:hideMark/>
          </w:tcPr>
          <w:p w14:paraId="2EDDEFFA"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39</w:t>
            </w:r>
          </w:p>
        </w:tc>
        <w:tc>
          <w:tcPr>
            <w:tcW w:w="680" w:type="dxa"/>
            <w:noWrap/>
            <w:vAlign w:val="center"/>
            <w:hideMark/>
          </w:tcPr>
          <w:p w14:paraId="134C20E4"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38</w:t>
            </w:r>
          </w:p>
        </w:tc>
        <w:tc>
          <w:tcPr>
            <w:tcW w:w="680" w:type="dxa"/>
            <w:noWrap/>
            <w:vAlign w:val="center"/>
            <w:hideMark/>
          </w:tcPr>
          <w:p w14:paraId="6A9680D9"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41</w:t>
            </w:r>
          </w:p>
        </w:tc>
        <w:tc>
          <w:tcPr>
            <w:tcW w:w="680" w:type="dxa"/>
            <w:noWrap/>
            <w:vAlign w:val="center"/>
            <w:hideMark/>
          </w:tcPr>
          <w:p w14:paraId="2ADA039D"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68</w:t>
            </w:r>
          </w:p>
        </w:tc>
        <w:tc>
          <w:tcPr>
            <w:tcW w:w="680" w:type="dxa"/>
            <w:noWrap/>
            <w:vAlign w:val="center"/>
            <w:hideMark/>
          </w:tcPr>
          <w:p w14:paraId="08C95E67"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60</w:t>
            </w:r>
          </w:p>
        </w:tc>
        <w:tc>
          <w:tcPr>
            <w:tcW w:w="680" w:type="dxa"/>
            <w:noWrap/>
            <w:vAlign w:val="center"/>
            <w:hideMark/>
          </w:tcPr>
          <w:p w14:paraId="30374A05"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75</w:t>
            </w:r>
          </w:p>
        </w:tc>
        <w:tc>
          <w:tcPr>
            <w:tcW w:w="680" w:type="dxa"/>
            <w:noWrap/>
            <w:vAlign w:val="center"/>
            <w:hideMark/>
          </w:tcPr>
          <w:p w14:paraId="541F68EC"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67</w:t>
            </w:r>
          </w:p>
        </w:tc>
        <w:tc>
          <w:tcPr>
            <w:tcW w:w="680" w:type="dxa"/>
            <w:noWrap/>
            <w:vAlign w:val="center"/>
            <w:hideMark/>
          </w:tcPr>
          <w:p w14:paraId="54090E09"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80</w:t>
            </w:r>
          </w:p>
        </w:tc>
        <w:tc>
          <w:tcPr>
            <w:tcW w:w="680" w:type="dxa"/>
            <w:noWrap/>
            <w:vAlign w:val="center"/>
            <w:hideMark/>
          </w:tcPr>
          <w:p w14:paraId="7A6C431C"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61</w:t>
            </w:r>
          </w:p>
        </w:tc>
        <w:tc>
          <w:tcPr>
            <w:tcW w:w="680" w:type="dxa"/>
            <w:noWrap/>
            <w:vAlign w:val="center"/>
            <w:hideMark/>
          </w:tcPr>
          <w:p w14:paraId="26579331"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74</w:t>
            </w:r>
          </w:p>
        </w:tc>
      </w:tr>
      <w:tr w:rsidR="002A7155" w:rsidRPr="00AA7870" w14:paraId="72F662FA" w14:textId="77777777" w:rsidTr="00394BFE">
        <w:trPr>
          <w:trHeight w:val="227"/>
          <w:jc w:val="center"/>
        </w:trPr>
        <w:tc>
          <w:tcPr>
            <w:cnfStyle w:val="001000000000" w:firstRow="0" w:lastRow="0" w:firstColumn="1" w:lastColumn="0" w:oddVBand="0" w:evenVBand="0" w:oddHBand="0" w:evenHBand="0" w:firstRowFirstColumn="0" w:firstRowLastColumn="0" w:lastRowFirstColumn="0" w:lastRowLastColumn="0"/>
            <w:tcW w:w="1701" w:type="dxa"/>
            <w:shd w:val="clear" w:color="auto" w:fill="E7E6E6"/>
            <w:noWrap/>
            <w:vAlign w:val="center"/>
            <w:hideMark/>
          </w:tcPr>
          <w:p w14:paraId="5DA938AA" w14:textId="77777777" w:rsidR="00D229D5" w:rsidRPr="00AA7870" w:rsidRDefault="00D229D5" w:rsidP="00F81FFA">
            <w:pPr>
              <w:ind w:firstLine="0"/>
              <w:jc w:val="left"/>
              <w:rPr>
                <w:rFonts w:eastAsia="Times New Roman" w:cs="Times New Roman"/>
                <w:color w:val="000000"/>
                <w:sz w:val="20"/>
                <w:szCs w:val="20"/>
                <w:lang w:eastAsia="pt-BR"/>
              </w:rPr>
            </w:pPr>
            <w:r w:rsidRPr="00AA7870">
              <w:rPr>
                <w:rFonts w:eastAsia="Times New Roman" w:cs="Times New Roman"/>
                <w:color w:val="000000"/>
                <w:sz w:val="20"/>
                <w:szCs w:val="20"/>
                <w:lang w:eastAsia="pt-BR"/>
              </w:rPr>
              <w:t>Alexandria</w:t>
            </w:r>
          </w:p>
        </w:tc>
        <w:tc>
          <w:tcPr>
            <w:tcW w:w="680" w:type="dxa"/>
            <w:noWrap/>
            <w:vAlign w:val="center"/>
            <w:hideMark/>
          </w:tcPr>
          <w:p w14:paraId="3FEFC8D2"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152</w:t>
            </w:r>
          </w:p>
        </w:tc>
        <w:tc>
          <w:tcPr>
            <w:tcW w:w="680" w:type="dxa"/>
            <w:noWrap/>
            <w:vAlign w:val="center"/>
            <w:hideMark/>
          </w:tcPr>
          <w:p w14:paraId="6CF7EBD0"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177</w:t>
            </w:r>
          </w:p>
        </w:tc>
        <w:tc>
          <w:tcPr>
            <w:tcW w:w="680" w:type="dxa"/>
            <w:noWrap/>
            <w:vAlign w:val="center"/>
            <w:hideMark/>
          </w:tcPr>
          <w:p w14:paraId="7E1E8E5C"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159</w:t>
            </w:r>
          </w:p>
        </w:tc>
        <w:tc>
          <w:tcPr>
            <w:tcW w:w="680" w:type="dxa"/>
            <w:noWrap/>
            <w:vAlign w:val="center"/>
            <w:hideMark/>
          </w:tcPr>
          <w:p w14:paraId="75484CBD"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157</w:t>
            </w:r>
          </w:p>
        </w:tc>
        <w:tc>
          <w:tcPr>
            <w:tcW w:w="680" w:type="dxa"/>
            <w:noWrap/>
            <w:vAlign w:val="center"/>
            <w:hideMark/>
          </w:tcPr>
          <w:p w14:paraId="71B4EF76"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216</w:t>
            </w:r>
          </w:p>
        </w:tc>
        <w:tc>
          <w:tcPr>
            <w:tcW w:w="680" w:type="dxa"/>
            <w:noWrap/>
            <w:vAlign w:val="center"/>
            <w:hideMark/>
          </w:tcPr>
          <w:p w14:paraId="455364FF"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233</w:t>
            </w:r>
          </w:p>
        </w:tc>
        <w:tc>
          <w:tcPr>
            <w:tcW w:w="680" w:type="dxa"/>
            <w:noWrap/>
            <w:vAlign w:val="center"/>
            <w:hideMark/>
          </w:tcPr>
          <w:p w14:paraId="2B567077"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217</w:t>
            </w:r>
          </w:p>
        </w:tc>
        <w:tc>
          <w:tcPr>
            <w:tcW w:w="680" w:type="dxa"/>
            <w:noWrap/>
            <w:vAlign w:val="center"/>
            <w:hideMark/>
          </w:tcPr>
          <w:p w14:paraId="2E25594D"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172</w:t>
            </w:r>
          </w:p>
        </w:tc>
        <w:tc>
          <w:tcPr>
            <w:tcW w:w="680" w:type="dxa"/>
            <w:noWrap/>
            <w:vAlign w:val="center"/>
            <w:hideMark/>
          </w:tcPr>
          <w:p w14:paraId="69DFB12B"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240</w:t>
            </w:r>
          </w:p>
        </w:tc>
        <w:tc>
          <w:tcPr>
            <w:tcW w:w="680" w:type="dxa"/>
            <w:noWrap/>
            <w:vAlign w:val="center"/>
            <w:hideMark/>
          </w:tcPr>
          <w:p w14:paraId="459CA26D"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250</w:t>
            </w:r>
          </w:p>
        </w:tc>
        <w:tc>
          <w:tcPr>
            <w:tcW w:w="680" w:type="dxa"/>
            <w:noWrap/>
            <w:vAlign w:val="center"/>
            <w:hideMark/>
          </w:tcPr>
          <w:p w14:paraId="25100757"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236</w:t>
            </w:r>
          </w:p>
        </w:tc>
      </w:tr>
      <w:tr w:rsidR="002A7155" w:rsidRPr="00AA7870" w14:paraId="15B97C73" w14:textId="77777777" w:rsidTr="00394BFE">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1701" w:type="dxa"/>
            <w:shd w:val="clear" w:color="auto" w:fill="E7E6E6"/>
            <w:noWrap/>
            <w:vAlign w:val="center"/>
            <w:hideMark/>
          </w:tcPr>
          <w:p w14:paraId="714010DF" w14:textId="77777777" w:rsidR="00D229D5" w:rsidRPr="00AA7870" w:rsidRDefault="00D229D5" w:rsidP="00F81FFA">
            <w:pPr>
              <w:ind w:firstLine="0"/>
              <w:jc w:val="left"/>
              <w:rPr>
                <w:rFonts w:eastAsia="Times New Roman" w:cs="Times New Roman"/>
                <w:color w:val="000000"/>
                <w:sz w:val="20"/>
                <w:szCs w:val="20"/>
                <w:lang w:eastAsia="pt-BR"/>
              </w:rPr>
            </w:pPr>
            <w:r w:rsidRPr="00AA7870">
              <w:rPr>
                <w:rFonts w:eastAsia="Times New Roman" w:cs="Times New Roman"/>
                <w:color w:val="000000"/>
                <w:sz w:val="20"/>
                <w:szCs w:val="20"/>
                <w:lang w:eastAsia="pt-BR"/>
              </w:rPr>
              <w:t>Almino Afonso</w:t>
            </w:r>
          </w:p>
        </w:tc>
        <w:tc>
          <w:tcPr>
            <w:tcW w:w="680" w:type="dxa"/>
            <w:noWrap/>
            <w:vAlign w:val="center"/>
            <w:hideMark/>
          </w:tcPr>
          <w:p w14:paraId="41D4252F"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31</w:t>
            </w:r>
          </w:p>
        </w:tc>
        <w:tc>
          <w:tcPr>
            <w:tcW w:w="680" w:type="dxa"/>
            <w:noWrap/>
            <w:vAlign w:val="center"/>
            <w:hideMark/>
          </w:tcPr>
          <w:p w14:paraId="02A364C1"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30</w:t>
            </w:r>
          </w:p>
        </w:tc>
        <w:tc>
          <w:tcPr>
            <w:tcW w:w="680" w:type="dxa"/>
            <w:noWrap/>
            <w:vAlign w:val="center"/>
            <w:hideMark/>
          </w:tcPr>
          <w:p w14:paraId="515CEA13"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29</w:t>
            </w:r>
          </w:p>
        </w:tc>
        <w:tc>
          <w:tcPr>
            <w:tcW w:w="680" w:type="dxa"/>
            <w:noWrap/>
            <w:vAlign w:val="center"/>
            <w:hideMark/>
          </w:tcPr>
          <w:p w14:paraId="748CA9F3"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29</w:t>
            </w:r>
          </w:p>
        </w:tc>
        <w:tc>
          <w:tcPr>
            <w:tcW w:w="680" w:type="dxa"/>
            <w:noWrap/>
            <w:vAlign w:val="center"/>
            <w:hideMark/>
          </w:tcPr>
          <w:p w14:paraId="5360D852"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31</w:t>
            </w:r>
          </w:p>
        </w:tc>
        <w:tc>
          <w:tcPr>
            <w:tcW w:w="680" w:type="dxa"/>
            <w:noWrap/>
            <w:vAlign w:val="center"/>
            <w:hideMark/>
          </w:tcPr>
          <w:p w14:paraId="4557A42B"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31</w:t>
            </w:r>
          </w:p>
        </w:tc>
        <w:tc>
          <w:tcPr>
            <w:tcW w:w="680" w:type="dxa"/>
            <w:noWrap/>
            <w:vAlign w:val="center"/>
            <w:hideMark/>
          </w:tcPr>
          <w:p w14:paraId="4E41F26B"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32</w:t>
            </w:r>
          </w:p>
        </w:tc>
        <w:tc>
          <w:tcPr>
            <w:tcW w:w="680" w:type="dxa"/>
            <w:noWrap/>
            <w:vAlign w:val="center"/>
            <w:hideMark/>
          </w:tcPr>
          <w:p w14:paraId="52FDC2D2"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34</w:t>
            </w:r>
          </w:p>
        </w:tc>
        <w:tc>
          <w:tcPr>
            <w:tcW w:w="680" w:type="dxa"/>
            <w:noWrap/>
            <w:vAlign w:val="center"/>
            <w:hideMark/>
          </w:tcPr>
          <w:p w14:paraId="6C27C4DC"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51</w:t>
            </w:r>
          </w:p>
        </w:tc>
        <w:tc>
          <w:tcPr>
            <w:tcW w:w="680" w:type="dxa"/>
            <w:noWrap/>
            <w:vAlign w:val="center"/>
            <w:hideMark/>
          </w:tcPr>
          <w:p w14:paraId="4CB80C34"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60</w:t>
            </w:r>
          </w:p>
        </w:tc>
        <w:tc>
          <w:tcPr>
            <w:tcW w:w="680" w:type="dxa"/>
            <w:noWrap/>
            <w:vAlign w:val="center"/>
            <w:hideMark/>
          </w:tcPr>
          <w:p w14:paraId="4BB91077"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56</w:t>
            </w:r>
          </w:p>
        </w:tc>
      </w:tr>
      <w:tr w:rsidR="002A7155" w:rsidRPr="00AA7870" w14:paraId="0C58B54A" w14:textId="77777777" w:rsidTr="00394BFE">
        <w:trPr>
          <w:trHeight w:val="227"/>
          <w:jc w:val="center"/>
        </w:trPr>
        <w:tc>
          <w:tcPr>
            <w:cnfStyle w:val="001000000000" w:firstRow="0" w:lastRow="0" w:firstColumn="1" w:lastColumn="0" w:oddVBand="0" w:evenVBand="0" w:oddHBand="0" w:evenHBand="0" w:firstRowFirstColumn="0" w:firstRowLastColumn="0" w:lastRowFirstColumn="0" w:lastRowLastColumn="0"/>
            <w:tcW w:w="1701" w:type="dxa"/>
            <w:shd w:val="clear" w:color="auto" w:fill="E7E6E6"/>
            <w:noWrap/>
            <w:vAlign w:val="center"/>
            <w:hideMark/>
          </w:tcPr>
          <w:p w14:paraId="07E80BBE" w14:textId="77777777" w:rsidR="00D229D5" w:rsidRPr="00AA7870" w:rsidRDefault="00D229D5" w:rsidP="00F81FFA">
            <w:pPr>
              <w:ind w:firstLine="0"/>
              <w:jc w:val="left"/>
              <w:rPr>
                <w:rFonts w:eastAsia="Times New Roman" w:cs="Times New Roman"/>
                <w:color w:val="000000"/>
                <w:sz w:val="20"/>
                <w:szCs w:val="20"/>
                <w:lang w:eastAsia="pt-BR"/>
              </w:rPr>
            </w:pPr>
            <w:r w:rsidRPr="00AA7870">
              <w:rPr>
                <w:rFonts w:eastAsia="Times New Roman" w:cs="Times New Roman"/>
                <w:color w:val="000000"/>
                <w:sz w:val="20"/>
                <w:szCs w:val="20"/>
                <w:lang w:eastAsia="pt-BR"/>
              </w:rPr>
              <w:t>Antônio Martins</w:t>
            </w:r>
          </w:p>
        </w:tc>
        <w:tc>
          <w:tcPr>
            <w:tcW w:w="680" w:type="dxa"/>
            <w:noWrap/>
            <w:vAlign w:val="center"/>
            <w:hideMark/>
          </w:tcPr>
          <w:p w14:paraId="6C1721D5"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55</w:t>
            </w:r>
          </w:p>
        </w:tc>
        <w:tc>
          <w:tcPr>
            <w:tcW w:w="680" w:type="dxa"/>
            <w:noWrap/>
            <w:vAlign w:val="center"/>
            <w:hideMark/>
          </w:tcPr>
          <w:p w14:paraId="4E79CFDB"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54</w:t>
            </w:r>
          </w:p>
        </w:tc>
        <w:tc>
          <w:tcPr>
            <w:tcW w:w="680" w:type="dxa"/>
            <w:noWrap/>
            <w:vAlign w:val="center"/>
            <w:hideMark/>
          </w:tcPr>
          <w:p w14:paraId="3227D88E"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60</w:t>
            </w:r>
          </w:p>
        </w:tc>
        <w:tc>
          <w:tcPr>
            <w:tcW w:w="680" w:type="dxa"/>
            <w:noWrap/>
            <w:vAlign w:val="center"/>
            <w:hideMark/>
          </w:tcPr>
          <w:p w14:paraId="3DAB8AD0"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60</w:t>
            </w:r>
          </w:p>
        </w:tc>
        <w:tc>
          <w:tcPr>
            <w:tcW w:w="680" w:type="dxa"/>
            <w:noWrap/>
            <w:vAlign w:val="center"/>
            <w:hideMark/>
          </w:tcPr>
          <w:p w14:paraId="78F9357C"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107</w:t>
            </w:r>
          </w:p>
        </w:tc>
        <w:tc>
          <w:tcPr>
            <w:tcW w:w="680" w:type="dxa"/>
            <w:noWrap/>
            <w:vAlign w:val="center"/>
            <w:hideMark/>
          </w:tcPr>
          <w:p w14:paraId="0B85D3C8"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110</w:t>
            </w:r>
          </w:p>
        </w:tc>
        <w:tc>
          <w:tcPr>
            <w:tcW w:w="680" w:type="dxa"/>
            <w:noWrap/>
            <w:vAlign w:val="center"/>
            <w:hideMark/>
          </w:tcPr>
          <w:p w14:paraId="281A4B57"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111</w:t>
            </w:r>
          </w:p>
        </w:tc>
        <w:tc>
          <w:tcPr>
            <w:tcW w:w="680" w:type="dxa"/>
            <w:noWrap/>
            <w:vAlign w:val="center"/>
            <w:hideMark/>
          </w:tcPr>
          <w:p w14:paraId="13C91E7A"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100</w:t>
            </w:r>
          </w:p>
        </w:tc>
        <w:tc>
          <w:tcPr>
            <w:tcW w:w="680" w:type="dxa"/>
            <w:noWrap/>
            <w:vAlign w:val="center"/>
            <w:hideMark/>
          </w:tcPr>
          <w:p w14:paraId="25A2E7F1"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93</w:t>
            </w:r>
          </w:p>
        </w:tc>
        <w:tc>
          <w:tcPr>
            <w:tcW w:w="680" w:type="dxa"/>
            <w:noWrap/>
            <w:vAlign w:val="center"/>
            <w:hideMark/>
          </w:tcPr>
          <w:p w14:paraId="75A8D62C"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112</w:t>
            </w:r>
          </w:p>
        </w:tc>
        <w:tc>
          <w:tcPr>
            <w:tcW w:w="680" w:type="dxa"/>
            <w:noWrap/>
            <w:vAlign w:val="center"/>
            <w:hideMark/>
          </w:tcPr>
          <w:p w14:paraId="692D5D14"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98</w:t>
            </w:r>
          </w:p>
        </w:tc>
      </w:tr>
      <w:tr w:rsidR="002A7155" w:rsidRPr="00AA7870" w14:paraId="2E3271AD" w14:textId="77777777" w:rsidTr="00394BFE">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1701" w:type="dxa"/>
            <w:shd w:val="clear" w:color="auto" w:fill="E7E6E6"/>
            <w:noWrap/>
            <w:vAlign w:val="center"/>
            <w:hideMark/>
          </w:tcPr>
          <w:p w14:paraId="422F9660" w14:textId="77777777" w:rsidR="00D229D5" w:rsidRPr="00AA7870" w:rsidRDefault="00D229D5" w:rsidP="00F81FFA">
            <w:pPr>
              <w:ind w:firstLine="0"/>
              <w:jc w:val="left"/>
              <w:rPr>
                <w:rFonts w:eastAsia="Times New Roman" w:cs="Times New Roman"/>
                <w:color w:val="000000"/>
                <w:sz w:val="20"/>
                <w:szCs w:val="20"/>
                <w:lang w:eastAsia="pt-BR"/>
              </w:rPr>
            </w:pPr>
            <w:r w:rsidRPr="00AA7870">
              <w:rPr>
                <w:rFonts w:eastAsia="Times New Roman" w:cs="Times New Roman"/>
                <w:color w:val="000000"/>
                <w:sz w:val="20"/>
                <w:szCs w:val="20"/>
                <w:lang w:eastAsia="pt-BR"/>
              </w:rPr>
              <w:t>Coronel João Pessoa</w:t>
            </w:r>
          </w:p>
        </w:tc>
        <w:tc>
          <w:tcPr>
            <w:tcW w:w="680" w:type="dxa"/>
            <w:noWrap/>
            <w:vAlign w:val="center"/>
            <w:hideMark/>
          </w:tcPr>
          <w:p w14:paraId="36A8A715"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3</w:t>
            </w:r>
          </w:p>
        </w:tc>
        <w:tc>
          <w:tcPr>
            <w:tcW w:w="680" w:type="dxa"/>
            <w:noWrap/>
            <w:vAlign w:val="center"/>
            <w:hideMark/>
          </w:tcPr>
          <w:p w14:paraId="7F1EB208"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1</w:t>
            </w:r>
          </w:p>
        </w:tc>
        <w:tc>
          <w:tcPr>
            <w:tcW w:w="680" w:type="dxa"/>
            <w:noWrap/>
            <w:vAlign w:val="center"/>
            <w:hideMark/>
          </w:tcPr>
          <w:p w14:paraId="57A0E234"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2</w:t>
            </w:r>
          </w:p>
        </w:tc>
        <w:tc>
          <w:tcPr>
            <w:tcW w:w="680" w:type="dxa"/>
            <w:noWrap/>
            <w:vAlign w:val="center"/>
            <w:hideMark/>
          </w:tcPr>
          <w:p w14:paraId="5212C420"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54</w:t>
            </w:r>
          </w:p>
        </w:tc>
        <w:tc>
          <w:tcPr>
            <w:tcW w:w="680" w:type="dxa"/>
            <w:noWrap/>
            <w:vAlign w:val="center"/>
            <w:hideMark/>
          </w:tcPr>
          <w:p w14:paraId="34FAD44C"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77</w:t>
            </w:r>
          </w:p>
        </w:tc>
        <w:tc>
          <w:tcPr>
            <w:tcW w:w="680" w:type="dxa"/>
            <w:noWrap/>
            <w:vAlign w:val="center"/>
            <w:hideMark/>
          </w:tcPr>
          <w:p w14:paraId="15AF24D4"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92</w:t>
            </w:r>
          </w:p>
        </w:tc>
        <w:tc>
          <w:tcPr>
            <w:tcW w:w="680" w:type="dxa"/>
            <w:noWrap/>
            <w:vAlign w:val="center"/>
            <w:hideMark/>
          </w:tcPr>
          <w:p w14:paraId="7B249BD9"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91</w:t>
            </w:r>
          </w:p>
        </w:tc>
        <w:tc>
          <w:tcPr>
            <w:tcW w:w="680" w:type="dxa"/>
            <w:noWrap/>
            <w:vAlign w:val="center"/>
            <w:hideMark/>
          </w:tcPr>
          <w:p w14:paraId="467BD4EF"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65</w:t>
            </w:r>
          </w:p>
        </w:tc>
        <w:tc>
          <w:tcPr>
            <w:tcW w:w="680" w:type="dxa"/>
            <w:noWrap/>
            <w:vAlign w:val="center"/>
            <w:hideMark/>
          </w:tcPr>
          <w:p w14:paraId="17A4AD78"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85</w:t>
            </w:r>
          </w:p>
        </w:tc>
        <w:tc>
          <w:tcPr>
            <w:tcW w:w="680" w:type="dxa"/>
            <w:noWrap/>
            <w:vAlign w:val="center"/>
            <w:hideMark/>
          </w:tcPr>
          <w:p w14:paraId="239F8380"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176</w:t>
            </w:r>
          </w:p>
        </w:tc>
        <w:tc>
          <w:tcPr>
            <w:tcW w:w="680" w:type="dxa"/>
            <w:noWrap/>
            <w:vAlign w:val="center"/>
            <w:hideMark/>
          </w:tcPr>
          <w:p w14:paraId="3984941A"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144</w:t>
            </w:r>
          </w:p>
        </w:tc>
      </w:tr>
      <w:tr w:rsidR="002A7155" w:rsidRPr="00AA7870" w14:paraId="01DA409E" w14:textId="77777777" w:rsidTr="00394BFE">
        <w:trPr>
          <w:trHeight w:val="227"/>
          <w:jc w:val="center"/>
        </w:trPr>
        <w:tc>
          <w:tcPr>
            <w:cnfStyle w:val="001000000000" w:firstRow="0" w:lastRow="0" w:firstColumn="1" w:lastColumn="0" w:oddVBand="0" w:evenVBand="0" w:oddHBand="0" w:evenHBand="0" w:firstRowFirstColumn="0" w:firstRowLastColumn="0" w:lastRowFirstColumn="0" w:lastRowLastColumn="0"/>
            <w:tcW w:w="1701" w:type="dxa"/>
            <w:shd w:val="clear" w:color="auto" w:fill="E7E6E6"/>
            <w:noWrap/>
            <w:vAlign w:val="center"/>
            <w:hideMark/>
          </w:tcPr>
          <w:p w14:paraId="603FD795" w14:textId="77777777" w:rsidR="00D229D5" w:rsidRPr="00AA7870" w:rsidRDefault="00D229D5" w:rsidP="00F81FFA">
            <w:pPr>
              <w:ind w:firstLine="0"/>
              <w:jc w:val="left"/>
              <w:rPr>
                <w:rFonts w:eastAsia="Times New Roman" w:cs="Times New Roman"/>
                <w:color w:val="000000"/>
                <w:sz w:val="20"/>
                <w:szCs w:val="20"/>
                <w:lang w:eastAsia="pt-BR"/>
              </w:rPr>
            </w:pPr>
            <w:r w:rsidRPr="00AA7870">
              <w:rPr>
                <w:rFonts w:eastAsia="Times New Roman" w:cs="Times New Roman"/>
                <w:color w:val="000000"/>
                <w:sz w:val="20"/>
                <w:szCs w:val="20"/>
                <w:lang w:eastAsia="pt-BR"/>
              </w:rPr>
              <w:t>Doutor Severiano</w:t>
            </w:r>
          </w:p>
        </w:tc>
        <w:tc>
          <w:tcPr>
            <w:tcW w:w="680" w:type="dxa"/>
            <w:noWrap/>
            <w:vAlign w:val="center"/>
            <w:hideMark/>
          </w:tcPr>
          <w:p w14:paraId="0C3E51E3"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129</w:t>
            </w:r>
          </w:p>
        </w:tc>
        <w:tc>
          <w:tcPr>
            <w:tcW w:w="680" w:type="dxa"/>
            <w:noWrap/>
            <w:vAlign w:val="center"/>
            <w:hideMark/>
          </w:tcPr>
          <w:p w14:paraId="4DD83460"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120</w:t>
            </w:r>
          </w:p>
        </w:tc>
        <w:tc>
          <w:tcPr>
            <w:tcW w:w="680" w:type="dxa"/>
            <w:noWrap/>
            <w:vAlign w:val="center"/>
            <w:hideMark/>
          </w:tcPr>
          <w:p w14:paraId="7A5E2894"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120</w:t>
            </w:r>
          </w:p>
        </w:tc>
        <w:tc>
          <w:tcPr>
            <w:tcW w:w="680" w:type="dxa"/>
            <w:noWrap/>
            <w:vAlign w:val="center"/>
            <w:hideMark/>
          </w:tcPr>
          <w:p w14:paraId="0947B094"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133</w:t>
            </w:r>
          </w:p>
        </w:tc>
        <w:tc>
          <w:tcPr>
            <w:tcW w:w="680" w:type="dxa"/>
            <w:noWrap/>
            <w:vAlign w:val="center"/>
            <w:hideMark/>
          </w:tcPr>
          <w:p w14:paraId="1E4DC628"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144</w:t>
            </w:r>
          </w:p>
        </w:tc>
        <w:tc>
          <w:tcPr>
            <w:tcW w:w="680" w:type="dxa"/>
            <w:noWrap/>
            <w:vAlign w:val="center"/>
            <w:hideMark/>
          </w:tcPr>
          <w:p w14:paraId="28B79C56"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182</w:t>
            </w:r>
          </w:p>
        </w:tc>
        <w:tc>
          <w:tcPr>
            <w:tcW w:w="680" w:type="dxa"/>
            <w:noWrap/>
            <w:vAlign w:val="center"/>
            <w:hideMark/>
          </w:tcPr>
          <w:p w14:paraId="26F564BD"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172</w:t>
            </w:r>
          </w:p>
        </w:tc>
        <w:tc>
          <w:tcPr>
            <w:tcW w:w="680" w:type="dxa"/>
            <w:noWrap/>
            <w:vAlign w:val="center"/>
            <w:hideMark/>
          </w:tcPr>
          <w:p w14:paraId="2F2663CE"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155</w:t>
            </w:r>
          </w:p>
        </w:tc>
        <w:tc>
          <w:tcPr>
            <w:tcW w:w="680" w:type="dxa"/>
            <w:noWrap/>
            <w:vAlign w:val="center"/>
            <w:hideMark/>
          </w:tcPr>
          <w:p w14:paraId="6ECF91B3"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161</w:t>
            </w:r>
          </w:p>
        </w:tc>
        <w:tc>
          <w:tcPr>
            <w:tcW w:w="680" w:type="dxa"/>
            <w:noWrap/>
            <w:vAlign w:val="center"/>
            <w:hideMark/>
          </w:tcPr>
          <w:p w14:paraId="2C158540"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159</w:t>
            </w:r>
          </w:p>
        </w:tc>
        <w:tc>
          <w:tcPr>
            <w:tcW w:w="680" w:type="dxa"/>
            <w:noWrap/>
            <w:vAlign w:val="center"/>
            <w:hideMark/>
          </w:tcPr>
          <w:p w14:paraId="50A5C097"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169</w:t>
            </w:r>
          </w:p>
        </w:tc>
      </w:tr>
      <w:tr w:rsidR="002A7155" w:rsidRPr="00AA7870" w14:paraId="325A3026" w14:textId="77777777" w:rsidTr="00394BFE">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1701" w:type="dxa"/>
            <w:shd w:val="clear" w:color="auto" w:fill="E7E6E6"/>
            <w:noWrap/>
            <w:vAlign w:val="center"/>
            <w:hideMark/>
          </w:tcPr>
          <w:p w14:paraId="2CEDA61F" w14:textId="77777777" w:rsidR="00D229D5" w:rsidRPr="00AA7870" w:rsidRDefault="00D229D5" w:rsidP="00F81FFA">
            <w:pPr>
              <w:ind w:firstLine="0"/>
              <w:jc w:val="left"/>
              <w:rPr>
                <w:rFonts w:eastAsia="Times New Roman" w:cs="Times New Roman"/>
                <w:color w:val="000000"/>
                <w:sz w:val="20"/>
                <w:szCs w:val="20"/>
                <w:lang w:eastAsia="pt-BR"/>
              </w:rPr>
            </w:pPr>
            <w:r w:rsidRPr="00AA7870">
              <w:rPr>
                <w:rFonts w:eastAsia="Times New Roman" w:cs="Times New Roman"/>
                <w:color w:val="000000"/>
                <w:sz w:val="20"/>
                <w:szCs w:val="20"/>
                <w:lang w:eastAsia="pt-BR"/>
              </w:rPr>
              <w:t>Encanto</w:t>
            </w:r>
          </w:p>
        </w:tc>
        <w:tc>
          <w:tcPr>
            <w:tcW w:w="680" w:type="dxa"/>
            <w:noWrap/>
            <w:vAlign w:val="center"/>
            <w:hideMark/>
          </w:tcPr>
          <w:p w14:paraId="340AB9FF"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39</w:t>
            </w:r>
          </w:p>
        </w:tc>
        <w:tc>
          <w:tcPr>
            <w:tcW w:w="680" w:type="dxa"/>
            <w:noWrap/>
            <w:vAlign w:val="center"/>
            <w:hideMark/>
          </w:tcPr>
          <w:p w14:paraId="1A8E481A"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34</w:t>
            </w:r>
          </w:p>
        </w:tc>
        <w:tc>
          <w:tcPr>
            <w:tcW w:w="680" w:type="dxa"/>
            <w:noWrap/>
            <w:vAlign w:val="center"/>
            <w:hideMark/>
          </w:tcPr>
          <w:p w14:paraId="5F70C677"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56</w:t>
            </w:r>
          </w:p>
        </w:tc>
        <w:tc>
          <w:tcPr>
            <w:tcW w:w="680" w:type="dxa"/>
            <w:noWrap/>
            <w:vAlign w:val="center"/>
            <w:hideMark/>
          </w:tcPr>
          <w:p w14:paraId="047AA5D7"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61</w:t>
            </w:r>
          </w:p>
        </w:tc>
        <w:tc>
          <w:tcPr>
            <w:tcW w:w="680" w:type="dxa"/>
            <w:noWrap/>
            <w:vAlign w:val="center"/>
            <w:hideMark/>
          </w:tcPr>
          <w:p w14:paraId="7038DE14"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73</w:t>
            </w:r>
          </w:p>
        </w:tc>
        <w:tc>
          <w:tcPr>
            <w:tcW w:w="680" w:type="dxa"/>
            <w:noWrap/>
            <w:vAlign w:val="center"/>
            <w:hideMark/>
          </w:tcPr>
          <w:p w14:paraId="50AC8F37"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79</w:t>
            </w:r>
          </w:p>
        </w:tc>
        <w:tc>
          <w:tcPr>
            <w:tcW w:w="680" w:type="dxa"/>
            <w:noWrap/>
            <w:vAlign w:val="center"/>
            <w:hideMark/>
          </w:tcPr>
          <w:p w14:paraId="06FF04D4"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87</w:t>
            </w:r>
          </w:p>
        </w:tc>
        <w:tc>
          <w:tcPr>
            <w:tcW w:w="680" w:type="dxa"/>
            <w:noWrap/>
            <w:vAlign w:val="center"/>
            <w:hideMark/>
          </w:tcPr>
          <w:p w14:paraId="0068F650"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93</w:t>
            </w:r>
          </w:p>
        </w:tc>
        <w:tc>
          <w:tcPr>
            <w:tcW w:w="680" w:type="dxa"/>
            <w:noWrap/>
            <w:vAlign w:val="center"/>
            <w:hideMark/>
          </w:tcPr>
          <w:p w14:paraId="55BDFE81"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131</w:t>
            </w:r>
          </w:p>
        </w:tc>
        <w:tc>
          <w:tcPr>
            <w:tcW w:w="680" w:type="dxa"/>
            <w:noWrap/>
            <w:vAlign w:val="center"/>
            <w:hideMark/>
          </w:tcPr>
          <w:p w14:paraId="74D9717B"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116</w:t>
            </w:r>
          </w:p>
        </w:tc>
        <w:tc>
          <w:tcPr>
            <w:tcW w:w="680" w:type="dxa"/>
            <w:noWrap/>
            <w:vAlign w:val="center"/>
            <w:hideMark/>
          </w:tcPr>
          <w:p w14:paraId="54E36302"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118</w:t>
            </w:r>
          </w:p>
        </w:tc>
      </w:tr>
      <w:tr w:rsidR="002A7155" w:rsidRPr="00AA7870" w14:paraId="7040CCE8" w14:textId="77777777" w:rsidTr="00394BFE">
        <w:trPr>
          <w:trHeight w:val="227"/>
          <w:jc w:val="center"/>
        </w:trPr>
        <w:tc>
          <w:tcPr>
            <w:cnfStyle w:val="001000000000" w:firstRow="0" w:lastRow="0" w:firstColumn="1" w:lastColumn="0" w:oddVBand="0" w:evenVBand="0" w:oddHBand="0" w:evenHBand="0" w:firstRowFirstColumn="0" w:firstRowLastColumn="0" w:lastRowFirstColumn="0" w:lastRowLastColumn="0"/>
            <w:tcW w:w="1701" w:type="dxa"/>
            <w:shd w:val="clear" w:color="auto" w:fill="E7E6E6"/>
            <w:noWrap/>
            <w:vAlign w:val="center"/>
            <w:hideMark/>
          </w:tcPr>
          <w:p w14:paraId="48F5F546" w14:textId="77777777" w:rsidR="00D229D5" w:rsidRPr="00AA7870" w:rsidRDefault="00D229D5" w:rsidP="00F81FFA">
            <w:pPr>
              <w:ind w:firstLine="0"/>
              <w:jc w:val="left"/>
              <w:rPr>
                <w:rFonts w:eastAsia="Times New Roman" w:cs="Times New Roman"/>
                <w:color w:val="000000"/>
                <w:sz w:val="20"/>
                <w:szCs w:val="20"/>
                <w:lang w:eastAsia="pt-BR"/>
              </w:rPr>
            </w:pPr>
            <w:r w:rsidRPr="00AA7870">
              <w:rPr>
                <w:rFonts w:eastAsia="Times New Roman" w:cs="Times New Roman"/>
                <w:color w:val="000000"/>
                <w:sz w:val="20"/>
                <w:szCs w:val="20"/>
                <w:lang w:eastAsia="pt-BR"/>
              </w:rPr>
              <w:t>Francisco Dantas</w:t>
            </w:r>
          </w:p>
        </w:tc>
        <w:tc>
          <w:tcPr>
            <w:tcW w:w="680" w:type="dxa"/>
            <w:noWrap/>
            <w:vAlign w:val="center"/>
            <w:hideMark/>
          </w:tcPr>
          <w:p w14:paraId="1ECF659C"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11</w:t>
            </w:r>
          </w:p>
        </w:tc>
        <w:tc>
          <w:tcPr>
            <w:tcW w:w="680" w:type="dxa"/>
            <w:noWrap/>
            <w:vAlign w:val="center"/>
            <w:hideMark/>
          </w:tcPr>
          <w:p w14:paraId="1579C9B9"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39</w:t>
            </w:r>
          </w:p>
        </w:tc>
        <w:tc>
          <w:tcPr>
            <w:tcW w:w="680" w:type="dxa"/>
            <w:noWrap/>
            <w:vAlign w:val="center"/>
            <w:hideMark/>
          </w:tcPr>
          <w:p w14:paraId="7C3C6C96"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40</w:t>
            </w:r>
          </w:p>
        </w:tc>
        <w:tc>
          <w:tcPr>
            <w:tcW w:w="680" w:type="dxa"/>
            <w:noWrap/>
            <w:vAlign w:val="center"/>
            <w:hideMark/>
          </w:tcPr>
          <w:p w14:paraId="351EA10B"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40</w:t>
            </w:r>
          </w:p>
        </w:tc>
        <w:tc>
          <w:tcPr>
            <w:tcW w:w="680" w:type="dxa"/>
            <w:noWrap/>
            <w:vAlign w:val="center"/>
            <w:hideMark/>
          </w:tcPr>
          <w:p w14:paraId="7314E1DC"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48</w:t>
            </w:r>
          </w:p>
        </w:tc>
        <w:tc>
          <w:tcPr>
            <w:tcW w:w="680" w:type="dxa"/>
            <w:noWrap/>
            <w:vAlign w:val="center"/>
            <w:hideMark/>
          </w:tcPr>
          <w:p w14:paraId="03299DFA"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78</w:t>
            </w:r>
          </w:p>
        </w:tc>
        <w:tc>
          <w:tcPr>
            <w:tcW w:w="680" w:type="dxa"/>
            <w:noWrap/>
            <w:vAlign w:val="center"/>
            <w:hideMark/>
          </w:tcPr>
          <w:p w14:paraId="6E9E2668"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72</w:t>
            </w:r>
          </w:p>
        </w:tc>
        <w:tc>
          <w:tcPr>
            <w:tcW w:w="680" w:type="dxa"/>
            <w:noWrap/>
            <w:vAlign w:val="center"/>
            <w:hideMark/>
          </w:tcPr>
          <w:p w14:paraId="44345287"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68</w:t>
            </w:r>
          </w:p>
        </w:tc>
        <w:tc>
          <w:tcPr>
            <w:tcW w:w="680" w:type="dxa"/>
            <w:noWrap/>
            <w:vAlign w:val="center"/>
            <w:hideMark/>
          </w:tcPr>
          <w:p w14:paraId="264EE16E"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50</w:t>
            </w:r>
          </w:p>
        </w:tc>
        <w:tc>
          <w:tcPr>
            <w:tcW w:w="680" w:type="dxa"/>
            <w:noWrap/>
            <w:vAlign w:val="center"/>
            <w:hideMark/>
          </w:tcPr>
          <w:p w14:paraId="3B2B1160"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73</w:t>
            </w:r>
          </w:p>
        </w:tc>
        <w:tc>
          <w:tcPr>
            <w:tcW w:w="680" w:type="dxa"/>
            <w:noWrap/>
            <w:vAlign w:val="center"/>
            <w:hideMark/>
          </w:tcPr>
          <w:p w14:paraId="7E467699"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83</w:t>
            </w:r>
          </w:p>
        </w:tc>
      </w:tr>
      <w:tr w:rsidR="002A7155" w:rsidRPr="00AA7870" w14:paraId="68462C40" w14:textId="77777777" w:rsidTr="00394BFE">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1701" w:type="dxa"/>
            <w:shd w:val="clear" w:color="auto" w:fill="E7E6E6"/>
            <w:noWrap/>
            <w:vAlign w:val="center"/>
            <w:hideMark/>
          </w:tcPr>
          <w:p w14:paraId="0101CDE8" w14:textId="77777777" w:rsidR="00D229D5" w:rsidRPr="00AA7870" w:rsidRDefault="00D229D5" w:rsidP="00F81FFA">
            <w:pPr>
              <w:ind w:firstLine="0"/>
              <w:jc w:val="left"/>
              <w:rPr>
                <w:rFonts w:eastAsia="Times New Roman" w:cs="Times New Roman"/>
                <w:color w:val="000000"/>
                <w:sz w:val="20"/>
                <w:szCs w:val="20"/>
                <w:lang w:eastAsia="pt-BR"/>
              </w:rPr>
            </w:pPr>
            <w:r w:rsidRPr="00AA7870">
              <w:rPr>
                <w:rFonts w:eastAsia="Times New Roman" w:cs="Times New Roman"/>
                <w:color w:val="000000"/>
                <w:sz w:val="20"/>
                <w:szCs w:val="20"/>
                <w:lang w:eastAsia="pt-BR"/>
              </w:rPr>
              <w:t>Frutuoso Gomes</w:t>
            </w:r>
          </w:p>
        </w:tc>
        <w:tc>
          <w:tcPr>
            <w:tcW w:w="680" w:type="dxa"/>
            <w:noWrap/>
            <w:vAlign w:val="center"/>
            <w:hideMark/>
          </w:tcPr>
          <w:p w14:paraId="3D44E6DE"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37</w:t>
            </w:r>
          </w:p>
        </w:tc>
        <w:tc>
          <w:tcPr>
            <w:tcW w:w="680" w:type="dxa"/>
            <w:noWrap/>
            <w:vAlign w:val="center"/>
            <w:hideMark/>
          </w:tcPr>
          <w:p w14:paraId="1759A539"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53</w:t>
            </w:r>
          </w:p>
        </w:tc>
        <w:tc>
          <w:tcPr>
            <w:tcW w:w="680" w:type="dxa"/>
            <w:noWrap/>
            <w:vAlign w:val="center"/>
            <w:hideMark/>
          </w:tcPr>
          <w:p w14:paraId="65244117"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49</w:t>
            </w:r>
          </w:p>
        </w:tc>
        <w:tc>
          <w:tcPr>
            <w:tcW w:w="680" w:type="dxa"/>
            <w:noWrap/>
            <w:vAlign w:val="center"/>
            <w:hideMark/>
          </w:tcPr>
          <w:p w14:paraId="3AE1F0D6"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49</w:t>
            </w:r>
          </w:p>
        </w:tc>
        <w:tc>
          <w:tcPr>
            <w:tcW w:w="680" w:type="dxa"/>
            <w:noWrap/>
            <w:vAlign w:val="center"/>
            <w:hideMark/>
          </w:tcPr>
          <w:p w14:paraId="08E127A6"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55</w:t>
            </w:r>
          </w:p>
        </w:tc>
        <w:tc>
          <w:tcPr>
            <w:tcW w:w="680" w:type="dxa"/>
            <w:noWrap/>
            <w:vAlign w:val="center"/>
            <w:hideMark/>
          </w:tcPr>
          <w:p w14:paraId="40BABFFB"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58</w:t>
            </w:r>
          </w:p>
        </w:tc>
        <w:tc>
          <w:tcPr>
            <w:tcW w:w="680" w:type="dxa"/>
            <w:noWrap/>
            <w:vAlign w:val="center"/>
            <w:hideMark/>
          </w:tcPr>
          <w:p w14:paraId="5763CE42"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61</w:t>
            </w:r>
          </w:p>
        </w:tc>
        <w:tc>
          <w:tcPr>
            <w:tcW w:w="680" w:type="dxa"/>
            <w:noWrap/>
            <w:vAlign w:val="center"/>
            <w:hideMark/>
          </w:tcPr>
          <w:p w14:paraId="2AEC9E28"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54</w:t>
            </w:r>
          </w:p>
        </w:tc>
        <w:tc>
          <w:tcPr>
            <w:tcW w:w="680" w:type="dxa"/>
            <w:noWrap/>
            <w:vAlign w:val="center"/>
            <w:hideMark/>
          </w:tcPr>
          <w:p w14:paraId="527C38C0"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50</w:t>
            </w:r>
          </w:p>
        </w:tc>
        <w:tc>
          <w:tcPr>
            <w:tcW w:w="680" w:type="dxa"/>
            <w:noWrap/>
            <w:vAlign w:val="center"/>
            <w:hideMark/>
          </w:tcPr>
          <w:p w14:paraId="0299FDE3"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49</w:t>
            </w:r>
          </w:p>
        </w:tc>
        <w:tc>
          <w:tcPr>
            <w:tcW w:w="680" w:type="dxa"/>
            <w:noWrap/>
            <w:vAlign w:val="center"/>
            <w:hideMark/>
          </w:tcPr>
          <w:p w14:paraId="68ADA2A9"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27</w:t>
            </w:r>
          </w:p>
        </w:tc>
      </w:tr>
      <w:tr w:rsidR="002A7155" w:rsidRPr="00AA7870" w14:paraId="74675F6C" w14:textId="77777777" w:rsidTr="00394BFE">
        <w:trPr>
          <w:trHeight w:val="227"/>
          <w:jc w:val="center"/>
        </w:trPr>
        <w:tc>
          <w:tcPr>
            <w:cnfStyle w:val="001000000000" w:firstRow="0" w:lastRow="0" w:firstColumn="1" w:lastColumn="0" w:oddVBand="0" w:evenVBand="0" w:oddHBand="0" w:evenHBand="0" w:firstRowFirstColumn="0" w:firstRowLastColumn="0" w:lastRowFirstColumn="0" w:lastRowLastColumn="0"/>
            <w:tcW w:w="1701" w:type="dxa"/>
            <w:shd w:val="clear" w:color="auto" w:fill="E7E6E6"/>
            <w:noWrap/>
            <w:vAlign w:val="center"/>
            <w:hideMark/>
          </w:tcPr>
          <w:p w14:paraId="671C7195" w14:textId="77777777" w:rsidR="00D229D5" w:rsidRPr="00AA7870" w:rsidRDefault="00D229D5" w:rsidP="00F81FFA">
            <w:pPr>
              <w:ind w:firstLine="0"/>
              <w:jc w:val="left"/>
              <w:rPr>
                <w:rFonts w:eastAsia="Times New Roman" w:cs="Times New Roman"/>
                <w:color w:val="000000"/>
                <w:sz w:val="20"/>
                <w:szCs w:val="20"/>
                <w:lang w:eastAsia="pt-BR"/>
              </w:rPr>
            </w:pPr>
            <w:r w:rsidRPr="00AA7870">
              <w:rPr>
                <w:rFonts w:eastAsia="Times New Roman" w:cs="Times New Roman"/>
                <w:color w:val="000000"/>
                <w:sz w:val="20"/>
                <w:szCs w:val="20"/>
                <w:lang w:eastAsia="pt-BR"/>
              </w:rPr>
              <w:t>João Dias</w:t>
            </w:r>
          </w:p>
        </w:tc>
        <w:tc>
          <w:tcPr>
            <w:tcW w:w="680" w:type="dxa"/>
            <w:noWrap/>
            <w:vAlign w:val="center"/>
            <w:hideMark/>
          </w:tcPr>
          <w:p w14:paraId="493E5544"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14</w:t>
            </w:r>
          </w:p>
        </w:tc>
        <w:tc>
          <w:tcPr>
            <w:tcW w:w="680" w:type="dxa"/>
            <w:noWrap/>
            <w:vAlign w:val="center"/>
            <w:hideMark/>
          </w:tcPr>
          <w:p w14:paraId="775A005F"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25</w:t>
            </w:r>
          </w:p>
        </w:tc>
        <w:tc>
          <w:tcPr>
            <w:tcW w:w="680" w:type="dxa"/>
            <w:noWrap/>
            <w:vAlign w:val="center"/>
            <w:hideMark/>
          </w:tcPr>
          <w:p w14:paraId="52CD2137"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27</w:t>
            </w:r>
          </w:p>
        </w:tc>
        <w:tc>
          <w:tcPr>
            <w:tcW w:w="680" w:type="dxa"/>
            <w:noWrap/>
            <w:vAlign w:val="center"/>
            <w:hideMark/>
          </w:tcPr>
          <w:p w14:paraId="2280199E"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24</w:t>
            </w:r>
          </w:p>
        </w:tc>
        <w:tc>
          <w:tcPr>
            <w:tcW w:w="680" w:type="dxa"/>
            <w:noWrap/>
            <w:vAlign w:val="center"/>
            <w:hideMark/>
          </w:tcPr>
          <w:p w14:paraId="276385B0"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59</w:t>
            </w:r>
          </w:p>
        </w:tc>
        <w:tc>
          <w:tcPr>
            <w:tcW w:w="680" w:type="dxa"/>
            <w:noWrap/>
            <w:vAlign w:val="center"/>
            <w:hideMark/>
          </w:tcPr>
          <w:p w14:paraId="300C68C3"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61</w:t>
            </w:r>
          </w:p>
        </w:tc>
        <w:tc>
          <w:tcPr>
            <w:tcW w:w="680" w:type="dxa"/>
            <w:noWrap/>
            <w:vAlign w:val="center"/>
            <w:hideMark/>
          </w:tcPr>
          <w:p w14:paraId="671BC0AD"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58</w:t>
            </w:r>
          </w:p>
        </w:tc>
        <w:tc>
          <w:tcPr>
            <w:tcW w:w="680" w:type="dxa"/>
            <w:noWrap/>
            <w:vAlign w:val="center"/>
            <w:hideMark/>
          </w:tcPr>
          <w:p w14:paraId="2EBBA3C3"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69</w:t>
            </w:r>
          </w:p>
        </w:tc>
        <w:tc>
          <w:tcPr>
            <w:tcW w:w="680" w:type="dxa"/>
            <w:noWrap/>
            <w:vAlign w:val="center"/>
            <w:hideMark/>
          </w:tcPr>
          <w:p w14:paraId="6F862D6E"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78</w:t>
            </w:r>
          </w:p>
        </w:tc>
        <w:tc>
          <w:tcPr>
            <w:tcW w:w="680" w:type="dxa"/>
            <w:noWrap/>
            <w:vAlign w:val="center"/>
            <w:hideMark/>
          </w:tcPr>
          <w:p w14:paraId="0989BAA4"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81</w:t>
            </w:r>
          </w:p>
        </w:tc>
        <w:tc>
          <w:tcPr>
            <w:tcW w:w="680" w:type="dxa"/>
            <w:noWrap/>
            <w:vAlign w:val="center"/>
            <w:hideMark/>
          </w:tcPr>
          <w:p w14:paraId="03C9EBCA"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73</w:t>
            </w:r>
          </w:p>
        </w:tc>
      </w:tr>
      <w:tr w:rsidR="002A7155" w:rsidRPr="00AA7870" w14:paraId="44023031" w14:textId="77777777" w:rsidTr="00394BFE">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1701" w:type="dxa"/>
            <w:shd w:val="clear" w:color="auto" w:fill="E7E6E6"/>
            <w:noWrap/>
            <w:vAlign w:val="center"/>
            <w:hideMark/>
          </w:tcPr>
          <w:p w14:paraId="3CC4B788" w14:textId="77777777" w:rsidR="00D229D5" w:rsidRPr="00AA7870" w:rsidRDefault="00D229D5" w:rsidP="00F81FFA">
            <w:pPr>
              <w:ind w:firstLine="0"/>
              <w:jc w:val="left"/>
              <w:rPr>
                <w:rFonts w:eastAsia="Times New Roman" w:cs="Times New Roman"/>
                <w:color w:val="000000"/>
                <w:sz w:val="20"/>
                <w:szCs w:val="20"/>
                <w:lang w:eastAsia="pt-BR"/>
              </w:rPr>
            </w:pPr>
            <w:r w:rsidRPr="00AA7870">
              <w:rPr>
                <w:rFonts w:eastAsia="Times New Roman" w:cs="Times New Roman"/>
                <w:color w:val="000000"/>
                <w:sz w:val="20"/>
                <w:szCs w:val="20"/>
                <w:lang w:eastAsia="pt-BR"/>
              </w:rPr>
              <w:t>José Da Penha</w:t>
            </w:r>
          </w:p>
        </w:tc>
        <w:tc>
          <w:tcPr>
            <w:tcW w:w="680" w:type="dxa"/>
            <w:noWrap/>
            <w:vAlign w:val="center"/>
            <w:hideMark/>
          </w:tcPr>
          <w:p w14:paraId="61C1BBA3"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23</w:t>
            </w:r>
          </w:p>
        </w:tc>
        <w:tc>
          <w:tcPr>
            <w:tcW w:w="680" w:type="dxa"/>
            <w:noWrap/>
            <w:vAlign w:val="center"/>
            <w:hideMark/>
          </w:tcPr>
          <w:p w14:paraId="6048573F"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22</w:t>
            </w:r>
          </w:p>
        </w:tc>
        <w:tc>
          <w:tcPr>
            <w:tcW w:w="680" w:type="dxa"/>
            <w:noWrap/>
            <w:vAlign w:val="center"/>
            <w:hideMark/>
          </w:tcPr>
          <w:p w14:paraId="5247EF77"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20</w:t>
            </w:r>
          </w:p>
        </w:tc>
        <w:tc>
          <w:tcPr>
            <w:tcW w:w="680" w:type="dxa"/>
            <w:noWrap/>
            <w:vAlign w:val="center"/>
            <w:hideMark/>
          </w:tcPr>
          <w:p w14:paraId="2CBA916E"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20</w:t>
            </w:r>
          </w:p>
        </w:tc>
        <w:tc>
          <w:tcPr>
            <w:tcW w:w="680" w:type="dxa"/>
            <w:noWrap/>
            <w:vAlign w:val="center"/>
            <w:hideMark/>
          </w:tcPr>
          <w:p w14:paraId="0C6A03B4"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17</w:t>
            </w:r>
          </w:p>
        </w:tc>
        <w:tc>
          <w:tcPr>
            <w:tcW w:w="680" w:type="dxa"/>
            <w:noWrap/>
            <w:vAlign w:val="center"/>
            <w:hideMark/>
          </w:tcPr>
          <w:p w14:paraId="5A1CC297"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22</w:t>
            </w:r>
          </w:p>
        </w:tc>
        <w:tc>
          <w:tcPr>
            <w:tcW w:w="680" w:type="dxa"/>
            <w:noWrap/>
            <w:vAlign w:val="center"/>
            <w:hideMark/>
          </w:tcPr>
          <w:p w14:paraId="1C620F85"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26</w:t>
            </w:r>
          </w:p>
        </w:tc>
        <w:tc>
          <w:tcPr>
            <w:tcW w:w="680" w:type="dxa"/>
            <w:noWrap/>
            <w:vAlign w:val="center"/>
            <w:hideMark/>
          </w:tcPr>
          <w:p w14:paraId="78FA3409"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24</w:t>
            </w:r>
          </w:p>
        </w:tc>
        <w:tc>
          <w:tcPr>
            <w:tcW w:w="680" w:type="dxa"/>
            <w:noWrap/>
            <w:vAlign w:val="center"/>
            <w:hideMark/>
          </w:tcPr>
          <w:p w14:paraId="31AB2B7E"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263</w:t>
            </w:r>
          </w:p>
        </w:tc>
        <w:tc>
          <w:tcPr>
            <w:tcW w:w="680" w:type="dxa"/>
            <w:noWrap/>
            <w:vAlign w:val="center"/>
            <w:hideMark/>
          </w:tcPr>
          <w:p w14:paraId="0EB03BBF"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233</w:t>
            </w:r>
          </w:p>
        </w:tc>
        <w:tc>
          <w:tcPr>
            <w:tcW w:w="680" w:type="dxa"/>
            <w:noWrap/>
            <w:vAlign w:val="center"/>
            <w:hideMark/>
          </w:tcPr>
          <w:p w14:paraId="19F0BFFE"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188</w:t>
            </w:r>
          </w:p>
        </w:tc>
      </w:tr>
      <w:tr w:rsidR="002A7155" w:rsidRPr="00AA7870" w14:paraId="369C9929" w14:textId="77777777" w:rsidTr="00394BFE">
        <w:trPr>
          <w:trHeight w:val="227"/>
          <w:jc w:val="center"/>
        </w:trPr>
        <w:tc>
          <w:tcPr>
            <w:cnfStyle w:val="001000000000" w:firstRow="0" w:lastRow="0" w:firstColumn="1" w:lastColumn="0" w:oddVBand="0" w:evenVBand="0" w:oddHBand="0" w:evenHBand="0" w:firstRowFirstColumn="0" w:firstRowLastColumn="0" w:lastRowFirstColumn="0" w:lastRowLastColumn="0"/>
            <w:tcW w:w="1701" w:type="dxa"/>
            <w:shd w:val="clear" w:color="auto" w:fill="E7E6E6"/>
            <w:noWrap/>
            <w:vAlign w:val="center"/>
            <w:hideMark/>
          </w:tcPr>
          <w:p w14:paraId="22FF9521" w14:textId="77777777" w:rsidR="00D229D5" w:rsidRPr="00AA7870" w:rsidRDefault="00D229D5" w:rsidP="00F81FFA">
            <w:pPr>
              <w:ind w:firstLine="0"/>
              <w:jc w:val="left"/>
              <w:rPr>
                <w:rFonts w:eastAsia="Times New Roman" w:cs="Times New Roman"/>
                <w:color w:val="000000"/>
                <w:sz w:val="20"/>
                <w:szCs w:val="20"/>
                <w:lang w:eastAsia="pt-BR"/>
              </w:rPr>
            </w:pPr>
            <w:r w:rsidRPr="00AA7870">
              <w:rPr>
                <w:rFonts w:eastAsia="Times New Roman" w:cs="Times New Roman"/>
                <w:color w:val="000000"/>
                <w:sz w:val="20"/>
                <w:szCs w:val="20"/>
                <w:lang w:eastAsia="pt-BR"/>
              </w:rPr>
              <w:t>Lucrécia</w:t>
            </w:r>
          </w:p>
        </w:tc>
        <w:tc>
          <w:tcPr>
            <w:tcW w:w="680" w:type="dxa"/>
            <w:noWrap/>
            <w:vAlign w:val="center"/>
            <w:hideMark/>
          </w:tcPr>
          <w:p w14:paraId="4208D7D9"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65</w:t>
            </w:r>
          </w:p>
        </w:tc>
        <w:tc>
          <w:tcPr>
            <w:tcW w:w="680" w:type="dxa"/>
            <w:noWrap/>
            <w:vAlign w:val="center"/>
            <w:hideMark/>
          </w:tcPr>
          <w:p w14:paraId="684D76E6"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75</w:t>
            </w:r>
          </w:p>
        </w:tc>
        <w:tc>
          <w:tcPr>
            <w:tcW w:w="680" w:type="dxa"/>
            <w:noWrap/>
            <w:vAlign w:val="center"/>
            <w:hideMark/>
          </w:tcPr>
          <w:p w14:paraId="7ED731F0"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82</w:t>
            </w:r>
          </w:p>
        </w:tc>
        <w:tc>
          <w:tcPr>
            <w:tcW w:w="680" w:type="dxa"/>
            <w:noWrap/>
            <w:vAlign w:val="center"/>
            <w:hideMark/>
          </w:tcPr>
          <w:p w14:paraId="20A3C2F8"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83</w:t>
            </w:r>
          </w:p>
        </w:tc>
        <w:tc>
          <w:tcPr>
            <w:tcW w:w="680" w:type="dxa"/>
            <w:noWrap/>
            <w:vAlign w:val="center"/>
            <w:hideMark/>
          </w:tcPr>
          <w:p w14:paraId="457B6475"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73</w:t>
            </w:r>
          </w:p>
        </w:tc>
        <w:tc>
          <w:tcPr>
            <w:tcW w:w="680" w:type="dxa"/>
            <w:noWrap/>
            <w:vAlign w:val="center"/>
            <w:hideMark/>
          </w:tcPr>
          <w:p w14:paraId="29C9B778"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87</w:t>
            </w:r>
          </w:p>
        </w:tc>
        <w:tc>
          <w:tcPr>
            <w:tcW w:w="680" w:type="dxa"/>
            <w:noWrap/>
            <w:vAlign w:val="center"/>
            <w:hideMark/>
          </w:tcPr>
          <w:p w14:paraId="3A903DB4"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97</w:t>
            </w:r>
          </w:p>
        </w:tc>
        <w:tc>
          <w:tcPr>
            <w:tcW w:w="680" w:type="dxa"/>
            <w:noWrap/>
            <w:vAlign w:val="center"/>
            <w:hideMark/>
          </w:tcPr>
          <w:p w14:paraId="4A9BE454"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73</w:t>
            </w:r>
          </w:p>
        </w:tc>
        <w:tc>
          <w:tcPr>
            <w:tcW w:w="680" w:type="dxa"/>
            <w:noWrap/>
            <w:vAlign w:val="center"/>
            <w:hideMark/>
          </w:tcPr>
          <w:p w14:paraId="59933E5C"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92</w:t>
            </w:r>
          </w:p>
        </w:tc>
        <w:tc>
          <w:tcPr>
            <w:tcW w:w="680" w:type="dxa"/>
            <w:noWrap/>
            <w:vAlign w:val="center"/>
            <w:hideMark/>
          </w:tcPr>
          <w:p w14:paraId="00CC3315"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92</w:t>
            </w:r>
          </w:p>
        </w:tc>
        <w:tc>
          <w:tcPr>
            <w:tcW w:w="680" w:type="dxa"/>
            <w:noWrap/>
            <w:vAlign w:val="center"/>
            <w:hideMark/>
          </w:tcPr>
          <w:p w14:paraId="34D05012"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98</w:t>
            </w:r>
          </w:p>
        </w:tc>
      </w:tr>
      <w:tr w:rsidR="002A7155" w:rsidRPr="00AA7870" w14:paraId="4BA25543" w14:textId="77777777" w:rsidTr="00394BFE">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1701" w:type="dxa"/>
            <w:shd w:val="clear" w:color="auto" w:fill="E7E6E6"/>
            <w:noWrap/>
            <w:vAlign w:val="center"/>
            <w:hideMark/>
          </w:tcPr>
          <w:p w14:paraId="30AC77F9" w14:textId="77777777" w:rsidR="00D229D5" w:rsidRPr="00AA7870" w:rsidRDefault="00D229D5" w:rsidP="00F81FFA">
            <w:pPr>
              <w:ind w:firstLine="0"/>
              <w:jc w:val="left"/>
              <w:rPr>
                <w:rFonts w:eastAsia="Times New Roman" w:cs="Times New Roman"/>
                <w:color w:val="000000"/>
                <w:sz w:val="20"/>
                <w:szCs w:val="20"/>
                <w:lang w:eastAsia="pt-BR"/>
              </w:rPr>
            </w:pPr>
            <w:r w:rsidRPr="00AA7870">
              <w:rPr>
                <w:rFonts w:eastAsia="Times New Roman" w:cs="Times New Roman"/>
                <w:color w:val="000000"/>
                <w:sz w:val="20"/>
                <w:szCs w:val="20"/>
                <w:lang w:eastAsia="pt-BR"/>
              </w:rPr>
              <w:t>Luís Gomes</w:t>
            </w:r>
          </w:p>
        </w:tc>
        <w:tc>
          <w:tcPr>
            <w:tcW w:w="680" w:type="dxa"/>
            <w:noWrap/>
            <w:vAlign w:val="center"/>
            <w:hideMark/>
          </w:tcPr>
          <w:p w14:paraId="638364EB"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151</w:t>
            </w:r>
          </w:p>
        </w:tc>
        <w:tc>
          <w:tcPr>
            <w:tcW w:w="680" w:type="dxa"/>
            <w:noWrap/>
            <w:vAlign w:val="center"/>
            <w:hideMark/>
          </w:tcPr>
          <w:p w14:paraId="42C386EE"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154</w:t>
            </w:r>
          </w:p>
        </w:tc>
        <w:tc>
          <w:tcPr>
            <w:tcW w:w="680" w:type="dxa"/>
            <w:noWrap/>
            <w:vAlign w:val="center"/>
            <w:hideMark/>
          </w:tcPr>
          <w:p w14:paraId="621C2017"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175</w:t>
            </w:r>
          </w:p>
        </w:tc>
        <w:tc>
          <w:tcPr>
            <w:tcW w:w="680" w:type="dxa"/>
            <w:noWrap/>
            <w:vAlign w:val="center"/>
            <w:hideMark/>
          </w:tcPr>
          <w:p w14:paraId="6C080511"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191</w:t>
            </w:r>
          </w:p>
        </w:tc>
        <w:tc>
          <w:tcPr>
            <w:tcW w:w="680" w:type="dxa"/>
            <w:noWrap/>
            <w:vAlign w:val="center"/>
            <w:hideMark/>
          </w:tcPr>
          <w:p w14:paraId="0AB760E7"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151</w:t>
            </w:r>
          </w:p>
        </w:tc>
        <w:tc>
          <w:tcPr>
            <w:tcW w:w="680" w:type="dxa"/>
            <w:noWrap/>
            <w:vAlign w:val="center"/>
            <w:hideMark/>
          </w:tcPr>
          <w:p w14:paraId="380D3DFC"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170</w:t>
            </w:r>
          </w:p>
        </w:tc>
        <w:tc>
          <w:tcPr>
            <w:tcW w:w="680" w:type="dxa"/>
            <w:noWrap/>
            <w:vAlign w:val="center"/>
            <w:hideMark/>
          </w:tcPr>
          <w:p w14:paraId="6F0FABA2"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159</w:t>
            </w:r>
          </w:p>
        </w:tc>
        <w:tc>
          <w:tcPr>
            <w:tcW w:w="680" w:type="dxa"/>
            <w:noWrap/>
            <w:vAlign w:val="center"/>
            <w:hideMark/>
          </w:tcPr>
          <w:p w14:paraId="473863CE"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149</w:t>
            </w:r>
          </w:p>
        </w:tc>
        <w:tc>
          <w:tcPr>
            <w:tcW w:w="680" w:type="dxa"/>
            <w:noWrap/>
            <w:vAlign w:val="center"/>
            <w:hideMark/>
          </w:tcPr>
          <w:p w14:paraId="5959BCB6"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184</w:t>
            </w:r>
          </w:p>
        </w:tc>
        <w:tc>
          <w:tcPr>
            <w:tcW w:w="680" w:type="dxa"/>
            <w:noWrap/>
            <w:vAlign w:val="center"/>
            <w:hideMark/>
          </w:tcPr>
          <w:p w14:paraId="62A97B04"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174</w:t>
            </w:r>
          </w:p>
        </w:tc>
        <w:tc>
          <w:tcPr>
            <w:tcW w:w="680" w:type="dxa"/>
            <w:noWrap/>
            <w:vAlign w:val="center"/>
            <w:hideMark/>
          </w:tcPr>
          <w:p w14:paraId="1AE12DAF"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191</w:t>
            </w:r>
          </w:p>
        </w:tc>
      </w:tr>
      <w:tr w:rsidR="002A7155" w:rsidRPr="00AA7870" w14:paraId="7FDD94E2" w14:textId="77777777" w:rsidTr="00394BFE">
        <w:trPr>
          <w:trHeight w:val="227"/>
          <w:jc w:val="center"/>
        </w:trPr>
        <w:tc>
          <w:tcPr>
            <w:cnfStyle w:val="001000000000" w:firstRow="0" w:lastRow="0" w:firstColumn="1" w:lastColumn="0" w:oddVBand="0" w:evenVBand="0" w:oddHBand="0" w:evenHBand="0" w:firstRowFirstColumn="0" w:firstRowLastColumn="0" w:lastRowFirstColumn="0" w:lastRowLastColumn="0"/>
            <w:tcW w:w="1701" w:type="dxa"/>
            <w:shd w:val="clear" w:color="auto" w:fill="E7E6E6"/>
            <w:noWrap/>
            <w:vAlign w:val="center"/>
            <w:hideMark/>
          </w:tcPr>
          <w:p w14:paraId="2DADB825" w14:textId="77777777" w:rsidR="00D229D5" w:rsidRPr="00AA7870" w:rsidRDefault="00D229D5" w:rsidP="00F81FFA">
            <w:pPr>
              <w:ind w:firstLine="0"/>
              <w:jc w:val="left"/>
              <w:rPr>
                <w:rFonts w:eastAsia="Times New Roman" w:cs="Times New Roman"/>
                <w:color w:val="000000"/>
                <w:sz w:val="20"/>
                <w:szCs w:val="20"/>
                <w:lang w:eastAsia="pt-BR"/>
              </w:rPr>
            </w:pPr>
            <w:r w:rsidRPr="00AA7870">
              <w:rPr>
                <w:rFonts w:eastAsia="Times New Roman" w:cs="Times New Roman"/>
                <w:color w:val="000000"/>
                <w:sz w:val="20"/>
                <w:szCs w:val="20"/>
                <w:lang w:eastAsia="pt-BR"/>
              </w:rPr>
              <w:t>Major Sales</w:t>
            </w:r>
          </w:p>
        </w:tc>
        <w:tc>
          <w:tcPr>
            <w:tcW w:w="680" w:type="dxa"/>
            <w:noWrap/>
            <w:vAlign w:val="center"/>
            <w:hideMark/>
          </w:tcPr>
          <w:p w14:paraId="7C7E1DE2"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29</w:t>
            </w:r>
          </w:p>
        </w:tc>
        <w:tc>
          <w:tcPr>
            <w:tcW w:w="680" w:type="dxa"/>
            <w:noWrap/>
            <w:vAlign w:val="center"/>
            <w:hideMark/>
          </w:tcPr>
          <w:p w14:paraId="0D4D5B05"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34</w:t>
            </w:r>
          </w:p>
        </w:tc>
        <w:tc>
          <w:tcPr>
            <w:tcW w:w="680" w:type="dxa"/>
            <w:noWrap/>
            <w:vAlign w:val="center"/>
            <w:hideMark/>
          </w:tcPr>
          <w:p w14:paraId="6BA9824A"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31</w:t>
            </w:r>
          </w:p>
        </w:tc>
        <w:tc>
          <w:tcPr>
            <w:tcW w:w="680" w:type="dxa"/>
            <w:noWrap/>
            <w:vAlign w:val="center"/>
            <w:hideMark/>
          </w:tcPr>
          <w:p w14:paraId="60F848EB"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29</w:t>
            </w:r>
          </w:p>
        </w:tc>
        <w:tc>
          <w:tcPr>
            <w:tcW w:w="680" w:type="dxa"/>
            <w:noWrap/>
            <w:vAlign w:val="center"/>
            <w:hideMark/>
          </w:tcPr>
          <w:p w14:paraId="301238E9"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64</w:t>
            </w:r>
          </w:p>
        </w:tc>
        <w:tc>
          <w:tcPr>
            <w:tcW w:w="680" w:type="dxa"/>
            <w:noWrap/>
            <w:vAlign w:val="center"/>
            <w:hideMark/>
          </w:tcPr>
          <w:p w14:paraId="461E1ECE"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81</w:t>
            </w:r>
          </w:p>
        </w:tc>
        <w:tc>
          <w:tcPr>
            <w:tcW w:w="680" w:type="dxa"/>
            <w:noWrap/>
            <w:vAlign w:val="center"/>
            <w:hideMark/>
          </w:tcPr>
          <w:p w14:paraId="0C90AEB7"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80</w:t>
            </w:r>
          </w:p>
        </w:tc>
        <w:tc>
          <w:tcPr>
            <w:tcW w:w="680" w:type="dxa"/>
            <w:noWrap/>
            <w:vAlign w:val="center"/>
            <w:hideMark/>
          </w:tcPr>
          <w:p w14:paraId="258B48D8"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71</w:t>
            </w:r>
          </w:p>
        </w:tc>
        <w:tc>
          <w:tcPr>
            <w:tcW w:w="680" w:type="dxa"/>
            <w:noWrap/>
            <w:vAlign w:val="center"/>
            <w:hideMark/>
          </w:tcPr>
          <w:p w14:paraId="6B76604E"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84</w:t>
            </w:r>
          </w:p>
        </w:tc>
        <w:tc>
          <w:tcPr>
            <w:tcW w:w="680" w:type="dxa"/>
            <w:noWrap/>
            <w:vAlign w:val="center"/>
            <w:hideMark/>
          </w:tcPr>
          <w:p w14:paraId="3759885F"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113</w:t>
            </w:r>
          </w:p>
        </w:tc>
        <w:tc>
          <w:tcPr>
            <w:tcW w:w="680" w:type="dxa"/>
            <w:noWrap/>
            <w:vAlign w:val="center"/>
            <w:hideMark/>
          </w:tcPr>
          <w:p w14:paraId="00D17E0E"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109</w:t>
            </w:r>
          </w:p>
        </w:tc>
      </w:tr>
      <w:tr w:rsidR="002A7155" w:rsidRPr="00AA7870" w14:paraId="39935AA0" w14:textId="77777777" w:rsidTr="00394BFE">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1701" w:type="dxa"/>
            <w:shd w:val="clear" w:color="auto" w:fill="E7E6E6"/>
            <w:noWrap/>
            <w:vAlign w:val="center"/>
            <w:hideMark/>
          </w:tcPr>
          <w:p w14:paraId="72A58BF9" w14:textId="77777777" w:rsidR="00D229D5" w:rsidRPr="00AA7870" w:rsidRDefault="00D229D5" w:rsidP="00F81FFA">
            <w:pPr>
              <w:ind w:firstLine="0"/>
              <w:jc w:val="left"/>
              <w:rPr>
                <w:rFonts w:eastAsia="Times New Roman" w:cs="Times New Roman"/>
                <w:color w:val="000000"/>
                <w:sz w:val="20"/>
                <w:szCs w:val="20"/>
                <w:lang w:eastAsia="pt-BR"/>
              </w:rPr>
            </w:pPr>
            <w:r w:rsidRPr="00AA7870">
              <w:rPr>
                <w:rFonts w:eastAsia="Times New Roman" w:cs="Times New Roman"/>
                <w:color w:val="000000"/>
                <w:sz w:val="20"/>
                <w:szCs w:val="20"/>
                <w:lang w:eastAsia="pt-BR"/>
              </w:rPr>
              <w:t>Marcelino Vieira</w:t>
            </w:r>
          </w:p>
        </w:tc>
        <w:tc>
          <w:tcPr>
            <w:tcW w:w="680" w:type="dxa"/>
            <w:noWrap/>
            <w:vAlign w:val="center"/>
            <w:hideMark/>
          </w:tcPr>
          <w:p w14:paraId="53F7CE29"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80</w:t>
            </w:r>
          </w:p>
        </w:tc>
        <w:tc>
          <w:tcPr>
            <w:tcW w:w="680" w:type="dxa"/>
            <w:noWrap/>
            <w:vAlign w:val="center"/>
            <w:hideMark/>
          </w:tcPr>
          <w:p w14:paraId="64ACDABA"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81</w:t>
            </w:r>
          </w:p>
        </w:tc>
        <w:tc>
          <w:tcPr>
            <w:tcW w:w="680" w:type="dxa"/>
            <w:noWrap/>
            <w:vAlign w:val="center"/>
            <w:hideMark/>
          </w:tcPr>
          <w:p w14:paraId="564FF79F"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81</w:t>
            </w:r>
          </w:p>
        </w:tc>
        <w:tc>
          <w:tcPr>
            <w:tcW w:w="680" w:type="dxa"/>
            <w:noWrap/>
            <w:vAlign w:val="center"/>
            <w:hideMark/>
          </w:tcPr>
          <w:p w14:paraId="54DB77BC"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71</w:t>
            </w:r>
          </w:p>
        </w:tc>
        <w:tc>
          <w:tcPr>
            <w:tcW w:w="680" w:type="dxa"/>
            <w:noWrap/>
            <w:vAlign w:val="center"/>
            <w:hideMark/>
          </w:tcPr>
          <w:p w14:paraId="028D537F"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83</w:t>
            </w:r>
          </w:p>
        </w:tc>
        <w:tc>
          <w:tcPr>
            <w:tcW w:w="680" w:type="dxa"/>
            <w:noWrap/>
            <w:vAlign w:val="center"/>
            <w:hideMark/>
          </w:tcPr>
          <w:p w14:paraId="02C8EDB5"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84</w:t>
            </w:r>
          </w:p>
        </w:tc>
        <w:tc>
          <w:tcPr>
            <w:tcW w:w="680" w:type="dxa"/>
            <w:noWrap/>
            <w:vAlign w:val="center"/>
            <w:hideMark/>
          </w:tcPr>
          <w:p w14:paraId="7153DF91"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92</w:t>
            </w:r>
          </w:p>
        </w:tc>
        <w:tc>
          <w:tcPr>
            <w:tcW w:w="680" w:type="dxa"/>
            <w:noWrap/>
            <w:vAlign w:val="center"/>
            <w:hideMark/>
          </w:tcPr>
          <w:p w14:paraId="39B4B1F6"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72</w:t>
            </w:r>
          </w:p>
        </w:tc>
        <w:tc>
          <w:tcPr>
            <w:tcW w:w="680" w:type="dxa"/>
            <w:noWrap/>
            <w:vAlign w:val="center"/>
            <w:hideMark/>
          </w:tcPr>
          <w:p w14:paraId="641BF91D"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76</w:t>
            </w:r>
          </w:p>
        </w:tc>
        <w:tc>
          <w:tcPr>
            <w:tcW w:w="680" w:type="dxa"/>
            <w:noWrap/>
            <w:vAlign w:val="center"/>
            <w:hideMark/>
          </w:tcPr>
          <w:p w14:paraId="2030CA11"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82</w:t>
            </w:r>
          </w:p>
        </w:tc>
        <w:tc>
          <w:tcPr>
            <w:tcW w:w="680" w:type="dxa"/>
            <w:noWrap/>
            <w:vAlign w:val="center"/>
            <w:hideMark/>
          </w:tcPr>
          <w:p w14:paraId="0AC4C3AC"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105</w:t>
            </w:r>
          </w:p>
        </w:tc>
      </w:tr>
      <w:tr w:rsidR="002A7155" w:rsidRPr="00AA7870" w14:paraId="625428B8" w14:textId="77777777" w:rsidTr="00394BFE">
        <w:trPr>
          <w:trHeight w:val="227"/>
          <w:jc w:val="center"/>
        </w:trPr>
        <w:tc>
          <w:tcPr>
            <w:cnfStyle w:val="001000000000" w:firstRow="0" w:lastRow="0" w:firstColumn="1" w:lastColumn="0" w:oddVBand="0" w:evenVBand="0" w:oddHBand="0" w:evenHBand="0" w:firstRowFirstColumn="0" w:firstRowLastColumn="0" w:lastRowFirstColumn="0" w:lastRowLastColumn="0"/>
            <w:tcW w:w="1701" w:type="dxa"/>
            <w:shd w:val="clear" w:color="auto" w:fill="E7E6E6"/>
            <w:noWrap/>
            <w:vAlign w:val="center"/>
            <w:hideMark/>
          </w:tcPr>
          <w:p w14:paraId="65088E5B" w14:textId="77777777" w:rsidR="00D229D5" w:rsidRPr="00AA7870" w:rsidRDefault="00D229D5" w:rsidP="00F81FFA">
            <w:pPr>
              <w:ind w:firstLine="0"/>
              <w:jc w:val="left"/>
              <w:rPr>
                <w:rFonts w:eastAsia="Times New Roman" w:cs="Times New Roman"/>
                <w:color w:val="000000"/>
                <w:sz w:val="20"/>
                <w:szCs w:val="20"/>
                <w:lang w:eastAsia="pt-BR"/>
              </w:rPr>
            </w:pPr>
            <w:r w:rsidRPr="00AA7870">
              <w:rPr>
                <w:rFonts w:eastAsia="Times New Roman" w:cs="Times New Roman"/>
                <w:color w:val="000000"/>
                <w:sz w:val="20"/>
                <w:szCs w:val="20"/>
                <w:lang w:eastAsia="pt-BR"/>
              </w:rPr>
              <w:t>Martins</w:t>
            </w:r>
          </w:p>
        </w:tc>
        <w:tc>
          <w:tcPr>
            <w:tcW w:w="680" w:type="dxa"/>
            <w:noWrap/>
            <w:vAlign w:val="center"/>
            <w:hideMark/>
          </w:tcPr>
          <w:p w14:paraId="144A17EC"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108</w:t>
            </w:r>
          </w:p>
        </w:tc>
        <w:tc>
          <w:tcPr>
            <w:tcW w:w="680" w:type="dxa"/>
            <w:noWrap/>
            <w:vAlign w:val="center"/>
            <w:hideMark/>
          </w:tcPr>
          <w:p w14:paraId="79846A8F"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127</w:t>
            </w:r>
          </w:p>
        </w:tc>
        <w:tc>
          <w:tcPr>
            <w:tcW w:w="680" w:type="dxa"/>
            <w:noWrap/>
            <w:vAlign w:val="center"/>
            <w:hideMark/>
          </w:tcPr>
          <w:p w14:paraId="67F8E822"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143</w:t>
            </w:r>
          </w:p>
        </w:tc>
        <w:tc>
          <w:tcPr>
            <w:tcW w:w="680" w:type="dxa"/>
            <w:noWrap/>
            <w:vAlign w:val="center"/>
            <w:hideMark/>
          </w:tcPr>
          <w:p w14:paraId="52EE47AD"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144</w:t>
            </w:r>
          </w:p>
        </w:tc>
        <w:tc>
          <w:tcPr>
            <w:tcW w:w="680" w:type="dxa"/>
            <w:noWrap/>
            <w:vAlign w:val="center"/>
            <w:hideMark/>
          </w:tcPr>
          <w:p w14:paraId="1A40A432"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144</w:t>
            </w:r>
          </w:p>
        </w:tc>
        <w:tc>
          <w:tcPr>
            <w:tcW w:w="680" w:type="dxa"/>
            <w:noWrap/>
            <w:vAlign w:val="center"/>
            <w:hideMark/>
          </w:tcPr>
          <w:p w14:paraId="3CE7DEAB"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134</w:t>
            </w:r>
          </w:p>
        </w:tc>
        <w:tc>
          <w:tcPr>
            <w:tcW w:w="680" w:type="dxa"/>
            <w:noWrap/>
            <w:vAlign w:val="center"/>
            <w:hideMark/>
          </w:tcPr>
          <w:p w14:paraId="26560B0F"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149</w:t>
            </w:r>
          </w:p>
        </w:tc>
        <w:tc>
          <w:tcPr>
            <w:tcW w:w="680" w:type="dxa"/>
            <w:noWrap/>
            <w:vAlign w:val="center"/>
            <w:hideMark/>
          </w:tcPr>
          <w:p w14:paraId="4DF2F61F"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91</w:t>
            </w:r>
          </w:p>
        </w:tc>
        <w:tc>
          <w:tcPr>
            <w:tcW w:w="680" w:type="dxa"/>
            <w:noWrap/>
            <w:vAlign w:val="center"/>
            <w:hideMark/>
          </w:tcPr>
          <w:p w14:paraId="7CD8DB86"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52</w:t>
            </w:r>
          </w:p>
        </w:tc>
        <w:tc>
          <w:tcPr>
            <w:tcW w:w="680" w:type="dxa"/>
            <w:noWrap/>
            <w:vAlign w:val="center"/>
            <w:hideMark/>
          </w:tcPr>
          <w:p w14:paraId="266AA2D6"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156</w:t>
            </w:r>
          </w:p>
        </w:tc>
        <w:tc>
          <w:tcPr>
            <w:tcW w:w="680" w:type="dxa"/>
            <w:noWrap/>
            <w:vAlign w:val="center"/>
            <w:hideMark/>
          </w:tcPr>
          <w:p w14:paraId="63F5A8A8"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161</w:t>
            </w:r>
          </w:p>
        </w:tc>
      </w:tr>
      <w:tr w:rsidR="002A7155" w:rsidRPr="00AA7870" w14:paraId="3A1BC380" w14:textId="77777777" w:rsidTr="00394BFE">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1701" w:type="dxa"/>
            <w:shd w:val="clear" w:color="auto" w:fill="E7E6E6"/>
            <w:noWrap/>
            <w:vAlign w:val="center"/>
            <w:hideMark/>
          </w:tcPr>
          <w:p w14:paraId="51AB0611" w14:textId="77777777" w:rsidR="00D229D5" w:rsidRPr="00AA7870" w:rsidRDefault="00D229D5" w:rsidP="00F81FFA">
            <w:pPr>
              <w:ind w:firstLine="0"/>
              <w:jc w:val="left"/>
              <w:rPr>
                <w:rFonts w:eastAsia="Times New Roman" w:cs="Times New Roman"/>
                <w:color w:val="000000"/>
                <w:sz w:val="20"/>
                <w:szCs w:val="20"/>
                <w:lang w:eastAsia="pt-BR"/>
              </w:rPr>
            </w:pPr>
            <w:r w:rsidRPr="00AA7870">
              <w:rPr>
                <w:rFonts w:eastAsia="Times New Roman" w:cs="Times New Roman"/>
                <w:color w:val="000000"/>
                <w:sz w:val="20"/>
                <w:szCs w:val="20"/>
                <w:lang w:eastAsia="pt-BR"/>
              </w:rPr>
              <w:t>Olho-d’água do Borges</w:t>
            </w:r>
          </w:p>
        </w:tc>
        <w:tc>
          <w:tcPr>
            <w:tcW w:w="680" w:type="dxa"/>
            <w:noWrap/>
            <w:vAlign w:val="center"/>
            <w:hideMark/>
          </w:tcPr>
          <w:p w14:paraId="2914913F"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58</w:t>
            </w:r>
          </w:p>
        </w:tc>
        <w:tc>
          <w:tcPr>
            <w:tcW w:w="680" w:type="dxa"/>
            <w:noWrap/>
            <w:vAlign w:val="center"/>
            <w:hideMark/>
          </w:tcPr>
          <w:p w14:paraId="1514D3EA"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52</w:t>
            </w:r>
          </w:p>
        </w:tc>
        <w:tc>
          <w:tcPr>
            <w:tcW w:w="680" w:type="dxa"/>
            <w:noWrap/>
            <w:vAlign w:val="center"/>
            <w:hideMark/>
          </w:tcPr>
          <w:p w14:paraId="5B126A0F"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64</w:t>
            </w:r>
          </w:p>
        </w:tc>
        <w:tc>
          <w:tcPr>
            <w:tcW w:w="680" w:type="dxa"/>
            <w:noWrap/>
            <w:vAlign w:val="center"/>
            <w:hideMark/>
          </w:tcPr>
          <w:p w14:paraId="6C7BA82C"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51</w:t>
            </w:r>
          </w:p>
        </w:tc>
        <w:tc>
          <w:tcPr>
            <w:tcW w:w="680" w:type="dxa"/>
            <w:noWrap/>
            <w:vAlign w:val="center"/>
            <w:hideMark/>
          </w:tcPr>
          <w:p w14:paraId="5EEFA14F"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87</w:t>
            </w:r>
          </w:p>
        </w:tc>
        <w:tc>
          <w:tcPr>
            <w:tcW w:w="680" w:type="dxa"/>
            <w:noWrap/>
            <w:vAlign w:val="center"/>
            <w:hideMark/>
          </w:tcPr>
          <w:p w14:paraId="2A0C4152"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70</w:t>
            </w:r>
          </w:p>
        </w:tc>
        <w:tc>
          <w:tcPr>
            <w:tcW w:w="680" w:type="dxa"/>
            <w:noWrap/>
            <w:vAlign w:val="center"/>
            <w:hideMark/>
          </w:tcPr>
          <w:p w14:paraId="3332B6AA"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64</w:t>
            </w:r>
          </w:p>
        </w:tc>
        <w:tc>
          <w:tcPr>
            <w:tcW w:w="680" w:type="dxa"/>
            <w:noWrap/>
            <w:vAlign w:val="center"/>
            <w:hideMark/>
          </w:tcPr>
          <w:p w14:paraId="3B96635C"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77</w:t>
            </w:r>
          </w:p>
        </w:tc>
        <w:tc>
          <w:tcPr>
            <w:tcW w:w="680" w:type="dxa"/>
            <w:noWrap/>
            <w:vAlign w:val="center"/>
            <w:hideMark/>
          </w:tcPr>
          <w:p w14:paraId="136EA4D4"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116</w:t>
            </w:r>
          </w:p>
        </w:tc>
        <w:tc>
          <w:tcPr>
            <w:tcW w:w="680" w:type="dxa"/>
            <w:noWrap/>
            <w:vAlign w:val="center"/>
            <w:hideMark/>
          </w:tcPr>
          <w:p w14:paraId="16B61BC8"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140</w:t>
            </w:r>
          </w:p>
        </w:tc>
        <w:tc>
          <w:tcPr>
            <w:tcW w:w="680" w:type="dxa"/>
            <w:noWrap/>
            <w:vAlign w:val="center"/>
            <w:hideMark/>
          </w:tcPr>
          <w:p w14:paraId="63547510"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142</w:t>
            </w:r>
          </w:p>
        </w:tc>
      </w:tr>
      <w:tr w:rsidR="002A7155" w:rsidRPr="00AA7870" w14:paraId="35AFE263" w14:textId="77777777" w:rsidTr="00394BFE">
        <w:trPr>
          <w:trHeight w:val="227"/>
          <w:jc w:val="center"/>
        </w:trPr>
        <w:tc>
          <w:tcPr>
            <w:cnfStyle w:val="001000000000" w:firstRow="0" w:lastRow="0" w:firstColumn="1" w:lastColumn="0" w:oddVBand="0" w:evenVBand="0" w:oddHBand="0" w:evenHBand="0" w:firstRowFirstColumn="0" w:firstRowLastColumn="0" w:lastRowFirstColumn="0" w:lastRowLastColumn="0"/>
            <w:tcW w:w="1701" w:type="dxa"/>
            <w:shd w:val="clear" w:color="auto" w:fill="E7E6E6"/>
            <w:noWrap/>
            <w:vAlign w:val="center"/>
            <w:hideMark/>
          </w:tcPr>
          <w:p w14:paraId="5627D36D" w14:textId="77777777" w:rsidR="00D229D5" w:rsidRPr="00AA7870" w:rsidRDefault="00D229D5" w:rsidP="00F81FFA">
            <w:pPr>
              <w:ind w:firstLine="0"/>
              <w:jc w:val="left"/>
              <w:rPr>
                <w:rFonts w:eastAsia="Times New Roman" w:cs="Times New Roman"/>
                <w:color w:val="000000"/>
                <w:sz w:val="20"/>
                <w:szCs w:val="20"/>
                <w:lang w:eastAsia="pt-BR"/>
              </w:rPr>
            </w:pPr>
            <w:r w:rsidRPr="00AA7870">
              <w:rPr>
                <w:rFonts w:eastAsia="Times New Roman" w:cs="Times New Roman"/>
                <w:color w:val="000000"/>
                <w:sz w:val="20"/>
                <w:szCs w:val="20"/>
                <w:lang w:eastAsia="pt-BR"/>
              </w:rPr>
              <w:t>Paraná</w:t>
            </w:r>
          </w:p>
        </w:tc>
        <w:tc>
          <w:tcPr>
            <w:tcW w:w="680" w:type="dxa"/>
            <w:noWrap/>
            <w:vAlign w:val="center"/>
            <w:hideMark/>
          </w:tcPr>
          <w:p w14:paraId="50E6D2D7"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10</w:t>
            </w:r>
          </w:p>
        </w:tc>
        <w:tc>
          <w:tcPr>
            <w:tcW w:w="680" w:type="dxa"/>
            <w:noWrap/>
            <w:vAlign w:val="center"/>
            <w:hideMark/>
          </w:tcPr>
          <w:p w14:paraId="42335E91"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10</w:t>
            </w:r>
          </w:p>
        </w:tc>
        <w:tc>
          <w:tcPr>
            <w:tcW w:w="680" w:type="dxa"/>
            <w:noWrap/>
            <w:vAlign w:val="center"/>
            <w:hideMark/>
          </w:tcPr>
          <w:p w14:paraId="47BFC00F"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49</w:t>
            </w:r>
          </w:p>
        </w:tc>
        <w:tc>
          <w:tcPr>
            <w:tcW w:w="680" w:type="dxa"/>
            <w:noWrap/>
            <w:vAlign w:val="center"/>
            <w:hideMark/>
          </w:tcPr>
          <w:p w14:paraId="2237E20F"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47</w:t>
            </w:r>
          </w:p>
        </w:tc>
        <w:tc>
          <w:tcPr>
            <w:tcW w:w="680" w:type="dxa"/>
            <w:noWrap/>
            <w:vAlign w:val="center"/>
            <w:hideMark/>
          </w:tcPr>
          <w:p w14:paraId="54E80E6C"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59</w:t>
            </w:r>
          </w:p>
        </w:tc>
        <w:tc>
          <w:tcPr>
            <w:tcW w:w="680" w:type="dxa"/>
            <w:noWrap/>
            <w:vAlign w:val="center"/>
            <w:hideMark/>
          </w:tcPr>
          <w:p w14:paraId="657E2F2E"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47</w:t>
            </w:r>
          </w:p>
        </w:tc>
        <w:tc>
          <w:tcPr>
            <w:tcW w:w="680" w:type="dxa"/>
            <w:noWrap/>
            <w:vAlign w:val="center"/>
            <w:hideMark/>
          </w:tcPr>
          <w:p w14:paraId="34E4F1C5"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47</w:t>
            </w:r>
          </w:p>
        </w:tc>
        <w:tc>
          <w:tcPr>
            <w:tcW w:w="680" w:type="dxa"/>
            <w:noWrap/>
            <w:vAlign w:val="center"/>
            <w:hideMark/>
          </w:tcPr>
          <w:p w14:paraId="4E1BE849"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46</w:t>
            </w:r>
          </w:p>
        </w:tc>
        <w:tc>
          <w:tcPr>
            <w:tcW w:w="680" w:type="dxa"/>
            <w:noWrap/>
            <w:vAlign w:val="center"/>
            <w:hideMark/>
          </w:tcPr>
          <w:p w14:paraId="1FAB0A91"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51</w:t>
            </w:r>
          </w:p>
        </w:tc>
        <w:tc>
          <w:tcPr>
            <w:tcW w:w="680" w:type="dxa"/>
            <w:noWrap/>
            <w:vAlign w:val="center"/>
            <w:hideMark/>
          </w:tcPr>
          <w:p w14:paraId="7FC1328A"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49</w:t>
            </w:r>
          </w:p>
        </w:tc>
        <w:tc>
          <w:tcPr>
            <w:tcW w:w="680" w:type="dxa"/>
            <w:noWrap/>
            <w:vAlign w:val="center"/>
            <w:hideMark/>
          </w:tcPr>
          <w:p w14:paraId="31BCDE7B"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49</w:t>
            </w:r>
          </w:p>
        </w:tc>
      </w:tr>
      <w:tr w:rsidR="002A7155" w:rsidRPr="00AA7870" w14:paraId="1608189C" w14:textId="77777777" w:rsidTr="00394BFE">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1701" w:type="dxa"/>
            <w:shd w:val="clear" w:color="auto" w:fill="E7E6E6"/>
            <w:noWrap/>
            <w:vAlign w:val="center"/>
            <w:hideMark/>
          </w:tcPr>
          <w:p w14:paraId="378CB14E" w14:textId="77777777" w:rsidR="00D229D5" w:rsidRPr="00AA7870" w:rsidRDefault="00D229D5" w:rsidP="00F81FFA">
            <w:pPr>
              <w:ind w:firstLine="0"/>
              <w:jc w:val="left"/>
              <w:rPr>
                <w:rFonts w:eastAsia="Times New Roman" w:cs="Times New Roman"/>
                <w:color w:val="000000"/>
                <w:sz w:val="20"/>
                <w:szCs w:val="20"/>
                <w:lang w:eastAsia="pt-BR"/>
              </w:rPr>
            </w:pPr>
            <w:r w:rsidRPr="00AA7870">
              <w:rPr>
                <w:rFonts w:eastAsia="Times New Roman" w:cs="Times New Roman"/>
                <w:color w:val="000000"/>
                <w:sz w:val="20"/>
                <w:szCs w:val="20"/>
                <w:lang w:eastAsia="pt-BR"/>
              </w:rPr>
              <w:t>Patu</w:t>
            </w:r>
          </w:p>
        </w:tc>
        <w:tc>
          <w:tcPr>
            <w:tcW w:w="680" w:type="dxa"/>
            <w:noWrap/>
            <w:vAlign w:val="center"/>
            <w:hideMark/>
          </w:tcPr>
          <w:p w14:paraId="2B7ABFCD"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141</w:t>
            </w:r>
          </w:p>
        </w:tc>
        <w:tc>
          <w:tcPr>
            <w:tcW w:w="680" w:type="dxa"/>
            <w:noWrap/>
            <w:vAlign w:val="center"/>
            <w:hideMark/>
          </w:tcPr>
          <w:p w14:paraId="1F1CD35F"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152</w:t>
            </w:r>
          </w:p>
        </w:tc>
        <w:tc>
          <w:tcPr>
            <w:tcW w:w="680" w:type="dxa"/>
            <w:noWrap/>
            <w:vAlign w:val="center"/>
            <w:hideMark/>
          </w:tcPr>
          <w:p w14:paraId="2FE5AA52"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160</w:t>
            </w:r>
          </w:p>
        </w:tc>
        <w:tc>
          <w:tcPr>
            <w:tcW w:w="680" w:type="dxa"/>
            <w:noWrap/>
            <w:vAlign w:val="center"/>
            <w:hideMark/>
          </w:tcPr>
          <w:p w14:paraId="18C3D838"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175</w:t>
            </w:r>
          </w:p>
        </w:tc>
        <w:tc>
          <w:tcPr>
            <w:tcW w:w="680" w:type="dxa"/>
            <w:noWrap/>
            <w:vAlign w:val="center"/>
            <w:hideMark/>
          </w:tcPr>
          <w:p w14:paraId="2C4A9A50"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197</w:t>
            </w:r>
          </w:p>
        </w:tc>
        <w:tc>
          <w:tcPr>
            <w:tcW w:w="680" w:type="dxa"/>
            <w:noWrap/>
            <w:vAlign w:val="center"/>
            <w:hideMark/>
          </w:tcPr>
          <w:p w14:paraId="450EAADB"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180</w:t>
            </w:r>
          </w:p>
        </w:tc>
        <w:tc>
          <w:tcPr>
            <w:tcW w:w="680" w:type="dxa"/>
            <w:noWrap/>
            <w:vAlign w:val="center"/>
            <w:hideMark/>
          </w:tcPr>
          <w:p w14:paraId="5EBD6B73"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175</w:t>
            </w:r>
          </w:p>
        </w:tc>
        <w:tc>
          <w:tcPr>
            <w:tcW w:w="680" w:type="dxa"/>
            <w:noWrap/>
            <w:vAlign w:val="center"/>
            <w:hideMark/>
          </w:tcPr>
          <w:p w14:paraId="23CFF717"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170</w:t>
            </w:r>
          </w:p>
        </w:tc>
        <w:tc>
          <w:tcPr>
            <w:tcW w:w="680" w:type="dxa"/>
            <w:noWrap/>
            <w:vAlign w:val="center"/>
            <w:hideMark/>
          </w:tcPr>
          <w:p w14:paraId="7C46FECD"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212</w:t>
            </w:r>
          </w:p>
        </w:tc>
        <w:tc>
          <w:tcPr>
            <w:tcW w:w="680" w:type="dxa"/>
            <w:noWrap/>
            <w:vAlign w:val="center"/>
            <w:hideMark/>
          </w:tcPr>
          <w:p w14:paraId="4AA9E952"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245</w:t>
            </w:r>
          </w:p>
        </w:tc>
        <w:tc>
          <w:tcPr>
            <w:tcW w:w="680" w:type="dxa"/>
            <w:noWrap/>
            <w:vAlign w:val="center"/>
            <w:hideMark/>
          </w:tcPr>
          <w:p w14:paraId="7368C986"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308</w:t>
            </w:r>
          </w:p>
        </w:tc>
      </w:tr>
      <w:tr w:rsidR="002A7155" w:rsidRPr="00AA7870" w14:paraId="05C3EF7F" w14:textId="77777777" w:rsidTr="00394BFE">
        <w:trPr>
          <w:trHeight w:val="227"/>
          <w:jc w:val="center"/>
        </w:trPr>
        <w:tc>
          <w:tcPr>
            <w:cnfStyle w:val="001000000000" w:firstRow="0" w:lastRow="0" w:firstColumn="1" w:lastColumn="0" w:oddVBand="0" w:evenVBand="0" w:oddHBand="0" w:evenHBand="0" w:firstRowFirstColumn="0" w:firstRowLastColumn="0" w:lastRowFirstColumn="0" w:lastRowLastColumn="0"/>
            <w:tcW w:w="1701" w:type="dxa"/>
            <w:shd w:val="clear" w:color="auto" w:fill="E7E6E6"/>
            <w:noWrap/>
            <w:vAlign w:val="center"/>
            <w:hideMark/>
          </w:tcPr>
          <w:p w14:paraId="4FA4E71F" w14:textId="77777777" w:rsidR="00D229D5" w:rsidRPr="00AA7870" w:rsidRDefault="00D229D5" w:rsidP="00F81FFA">
            <w:pPr>
              <w:ind w:firstLine="0"/>
              <w:jc w:val="left"/>
              <w:rPr>
                <w:rFonts w:eastAsia="Times New Roman" w:cs="Times New Roman"/>
                <w:color w:val="000000"/>
                <w:sz w:val="20"/>
                <w:szCs w:val="20"/>
                <w:lang w:eastAsia="pt-BR"/>
              </w:rPr>
            </w:pPr>
            <w:r w:rsidRPr="00AA7870">
              <w:rPr>
                <w:rFonts w:eastAsia="Times New Roman" w:cs="Times New Roman"/>
                <w:color w:val="000000"/>
                <w:sz w:val="20"/>
                <w:szCs w:val="20"/>
                <w:lang w:eastAsia="pt-BR"/>
              </w:rPr>
              <w:t>Pau dos Ferros</w:t>
            </w:r>
          </w:p>
        </w:tc>
        <w:tc>
          <w:tcPr>
            <w:tcW w:w="680" w:type="dxa"/>
            <w:noWrap/>
            <w:vAlign w:val="center"/>
            <w:hideMark/>
          </w:tcPr>
          <w:p w14:paraId="044370EC"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373</w:t>
            </w:r>
          </w:p>
        </w:tc>
        <w:tc>
          <w:tcPr>
            <w:tcW w:w="680" w:type="dxa"/>
            <w:noWrap/>
            <w:vAlign w:val="center"/>
            <w:hideMark/>
          </w:tcPr>
          <w:p w14:paraId="2A4FCD5A"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411</w:t>
            </w:r>
          </w:p>
        </w:tc>
        <w:tc>
          <w:tcPr>
            <w:tcW w:w="680" w:type="dxa"/>
            <w:noWrap/>
            <w:vAlign w:val="center"/>
            <w:hideMark/>
          </w:tcPr>
          <w:p w14:paraId="5285B156"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469</w:t>
            </w:r>
          </w:p>
        </w:tc>
        <w:tc>
          <w:tcPr>
            <w:tcW w:w="680" w:type="dxa"/>
            <w:noWrap/>
            <w:vAlign w:val="center"/>
            <w:hideMark/>
          </w:tcPr>
          <w:p w14:paraId="6DF1208F"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472</w:t>
            </w:r>
          </w:p>
        </w:tc>
        <w:tc>
          <w:tcPr>
            <w:tcW w:w="680" w:type="dxa"/>
            <w:noWrap/>
            <w:vAlign w:val="center"/>
            <w:hideMark/>
          </w:tcPr>
          <w:p w14:paraId="567AF281"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527</w:t>
            </w:r>
          </w:p>
        </w:tc>
        <w:tc>
          <w:tcPr>
            <w:tcW w:w="680" w:type="dxa"/>
            <w:noWrap/>
            <w:vAlign w:val="center"/>
            <w:hideMark/>
          </w:tcPr>
          <w:p w14:paraId="45B60FB6"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541</w:t>
            </w:r>
          </w:p>
        </w:tc>
        <w:tc>
          <w:tcPr>
            <w:tcW w:w="680" w:type="dxa"/>
            <w:noWrap/>
            <w:vAlign w:val="center"/>
            <w:hideMark/>
          </w:tcPr>
          <w:p w14:paraId="74859294"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556</w:t>
            </w:r>
          </w:p>
        </w:tc>
        <w:tc>
          <w:tcPr>
            <w:tcW w:w="680" w:type="dxa"/>
            <w:noWrap/>
            <w:vAlign w:val="center"/>
            <w:hideMark/>
          </w:tcPr>
          <w:p w14:paraId="43553353"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588</w:t>
            </w:r>
          </w:p>
        </w:tc>
        <w:tc>
          <w:tcPr>
            <w:tcW w:w="680" w:type="dxa"/>
            <w:noWrap/>
            <w:vAlign w:val="center"/>
            <w:hideMark/>
          </w:tcPr>
          <w:p w14:paraId="369EBEDC"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722</w:t>
            </w:r>
          </w:p>
        </w:tc>
        <w:tc>
          <w:tcPr>
            <w:tcW w:w="680" w:type="dxa"/>
            <w:noWrap/>
            <w:vAlign w:val="center"/>
            <w:hideMark/>
          </w:tcPr>
          <w:p w14:paraId="030CD13F"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785</w:t>
            </w:r>
          </w:p>
        </w:tc>
        <w:tc>
          <w:tcPr>
            <w:tcW w:w="680" w:type="dxa"/>
            <w:noWrap/>
            <w:vAlign w:val="center"/>
            <w:hideMark/>
          </w:tcPr>
          <w:p w14:paraId="1DC410C4"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855</w:t>
            </w:r>
          </w:p>
        </w:tc>
      </w:tr>
      <w:tr w:rsidR="002A7155" w:rsidRPr="00AA7870" w14:paraId="217B92B1" w14:textId="77777777" w:rsidTr="00394BFE">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1701" w:type="dxa"/>
            <w:shd w:val="clear" w:color="auto" w:fill="E7E6E6"/>
            <w:noWrap/>
            <w:vAlign w:val="center"/>
            <w:hideMark/>
          </w:tcPr>
          <w:p w14:paraId="48C79FC5" w14:textId="77777777" w:rsidR="00D229D5" w:rsidRPr="00AA7870" w:rsidRDefault="00D229D5" w:rsidP="00F81FFA">
            <w:pPr>
              <w:ind w:firstLine="0"/>
              <w:jc w:val="left"/>
              <w:rPr>
                <w:rFonts w:eastAsia="Times New Roman" w:cs="Times New Roman"/>
                <w:color w:val="000000"/>
                <w:sz w:val="20"/>
                <w:szCs w:val="20"/>
                <w:lang w:eastAsia="pt-BR"/>
              </w:rPr>
            </w:pPr>
            <w:r w:rsidRPr="00AA7870">
              <w:rPr>
                <w:rFonts w:eastAsia="Times New Roman" w:cs="Times New Roman"/>
                <w:color w:val="000000"/>
                <w:sz w:val="20"/>
                <w:szCs w:val="20"/>
                <w:lang w:eastAsia="pt-BR"/>
              </w:rPr>
              <w:t>Pilões</w:t>
            </w:r>
          </w:p>
        </w:tc>
        <w:tc>
          <w:tcPr>
            <w:tcW w:w="680" w:type="dxa"/>
            <w:noWrap/>
            <w:vAlign w:val="center"/>
            <w:hideMark/>
          </w:tcPr>
          <w:p w14:paraId="2D493118"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1</w:t>
            </w:r>
          </w:p>
        </w:tc>
        <w:tc>
          <w:tcPr>
            <w:tcW w:w="680" w:type="dxa"/>
            <w:noWrap/>
            <w:vAlign w:val="center"/>
            <w:hideMark/>
          </w:tcPr>
          <w:p w14:paraId="6BED281A"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1</w:t>
            </w:r>
          </w:p>
        </w:tc>
        <w:tc>
          <w:tcPr>
            <w:tcW w:w="680" w:type="dxa"/>
            <w:noWrap/>
            <w:vAlign w:val="center"/>
            <w:hideMark/>
          </w:tcPr>
          <w:p w14:paraId="04286B1B"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21</w:t>
            </w:r>
          </w:p>
        </w:tc>
        <w:tc>
          <w:tcPr>
            <w:tcW w:w="680" w:type="dxa"/>
            <w:noWrap/>
            <w:vAlign w:val="center"/>
            <w:hideMark/>
          </w:tcPr>
          <w:p w14:paraId="1DA18F73"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27</w:t>
            </w:r>
          </w:p>
        </w:tc>
        <w:tc>
          <w:tcPr>
            <w:tcW w:w="680" w:type="dxa"/>
            <w:noWrap/>
            <w:vAlign w:val="center"/>
            <w:hideMark/>
          </w:tcPr>
          <w:p w14:paraId="5A0901CC"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38</w:t>
            </w:r>
          </w:p>
        </w:tc>
        <w:tc>
          <w:tcPr>
            <w:tcW w:w="680" w:type="dxa"/>
            <w:noWrap/>
            <w:vAlign w:val="center"/>
            <w:hideMark/>
          </w:tcPr>
          <w:p w14:paraId="2696D2D7"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43</w:t>
            </w:r>
          </w:p>
        </w:tc>
        <w:tc>
          <w:tcPr>
            <w:tcW w:w="680" w:type="dxa"/>
            <w:noWrap/>
            <w:vAlign w:val="center"/>
            <w:hideMark/>
          </w:tcPr>
          <w:p w14:paraId="032352E2"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50</w:t>
            </w:r>
          </w:p>
        </w:tc>
        <w:tc>
          <w:tcPr>
            <w:tcW w:w="680" w:type="dxa"/>
            <w:noWrap/>
            <w:vAlign w:val="center"/>
            <w:hideMark/>
          </w:tcPr>
          <w:p w14:paraId="7D2F543B"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80</w:t>
            </w:r>
          </w:p>
        </w:tc>
        <w:tc>
          <w:tcPr>
            <w:tcW w:w="680" w:type="dxa"/>
            <w:noWrap/>
            <w:vAlign w:val="center"/>
            <w:hideMark/>
          </w:tcPr>
          <w:p w14:paraId="1BBF5B1E"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8</w:t>
            </w:r>
          </w:p>
        </w:tc>
        <w:tc>
          <w:tcPr>
            <w:tcW w:w="680" w:type="dxa"/>
            <w:noWrap/>
            <w:vAlign w:val="center"/>
            <w:hideMark/>
          </w:tcPr>
          <w:p w14:paraId="171745DF"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11</w:t>
            </w:r>
          </w:p>
        </w:tc>
        <w:tc>
          <w:tcPr>
            <w:tcW w:w="680" w:type="dxa"/>
            <w:noWrap/>
            <w:vAlign w:val="center"/>
            <w:hideMark/>
          </w:tcPr>
          <w:p w14:paraId="72E049C9"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12</w:t>
            </w:r>
          </w:p>
        </w:tc>
      </w:tr>
      <w:tr w:rsidR="002A7155" w:rsidRPr="00AA7870" w14:paraId="3AB1C2FF" w14:textId="77777777" w:rsidTr="00394BFE">
        <w:trPr>
          <w:trHeight w:val="227"/>
          <w:jc w:val="center"/>
        </w:trPr>
        <w:tc>
          <w:tcPr>
            <w:cnfStyle w:val="001000000000" w:firstRow="0" w:lastRow="0" w:firstColumn="1" w:lastColumn="0" w:oddVBand="0" w:evenVBand="0" w:oddHBand="0" w:evenHBand="0" w:firstRowFirstColumn="0" w:firstRowLastColumn="0" w:lastRowFirstColumn="0" w:lastRowLastColumn="0"/>
            <w:tcW w:w="1701" w:type="dxa"/>
            <w:shd w:val="clear" w:color="auto" w:fill="E7E6E6"/>
            <w:noWrap/>
            <w:vAlign w:val="center"/>
            <w:hideMark/>
          </w:tcPr>
          <w:p w14:paraId="1CB74EB8" w14:textId="77777777" w:rsidR="00D229D5" w:rsidRPr="00AA7870" w:rsidRDefault="00D229D5" w:rsidP="00F81FFA">
            <w:pPr>
              <w:ind w:firstLine="0"/>
              <w:jc w:val="left"/>
              <w:rPr>
                <w:rFonts w:eastAsia="Times New Roman" w:cs="Times New Roman"/>
                <w:color w:val="000000"/>
                <w:sz w:val="20"/>
                <w:szCs w:val="20"/>
                <w:lang w:eastAsia="pt-BR"/>
              </w:rPr>
            </w:pPr>
            <w:r w:rsidRPr="00AA7870">
              <w:rPr>
                <w:rFonts w:eastAsia="Times New Roman" w:cs="Times New Roman"/>
                <w:color w:val="000000"/>
                <w:sz w:val="20"/>
                <w:szCs w:val="20"/>
                <w:lang w:eastAsia="pt-BR"/>
              </w:rPr>
              <w:t>Portalegre</w:t>
            </w:r>
          </w:p>
        </w:tc>
        <w:tc>
          <w:tcPr>
            <w:tcW w:w="680" w:type="dxa"/>
            <w:noWrap/>
            <w:vAlign w:val="center"/>
            <w:hideMark/>
          </w:tcPr>
          <w:p w14:paraId="3F53A815"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91</w:t>
            </w:r>
          </w:p>
        </w:tc>
        <w:tc>
          <w:tcPr>
            <w:tcW w:w="680" w:type="dxa"/>
            <w:noWrap/>
            <w:vAlign w:val="center"/>
            <w:hideMark/>
          </w:tcPr>
          <w:p w14:paraId="07641329"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90</w:t>
            </w:r>
          </w:p>
        </w:tc>
        <w:tc>
          <w:tcPr>
            <w:tcW w:w="680" w:type="dxa"/>
            <w:noWrap/>
            <w:vAlign w:val="center"/>
            <w:hideMark/>
          </w:tcPr>
          <w:p w14:paraId="253FC418"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83</w:t>
            </w:r>
          </w:p>
        </w:tc>
        <w:tc>
          <w:tcPr>
            <w:tcW w:w="680" w:type="dxa"/>
            <w:noWrap/>
            <w:vAlign w:val="center"/>
            <w:hideMark/>
          </w:tcPr>
          <w:p w14:paraId="1A52890A"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82</w:t>
            </w:r>
          </w:p>
        </w:tc>
        <w:tc>
          <w:tcPr>
            <w:tcW w:w="680" w:type="dxa"/>
            <w:noWrap/>
            <w:vAlign w:val="center"/>
            <w:hideMark/>
          </w:tcPr>
          <w:p w14:paraId="6B600093"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108</w:t>
            </w:r>
          </w:p>
        </w:tc>
        <w:tc>
          <w:tcPr>
            <w:tcW w:w="680" w:type="dxa"/>
            <w:noWrap/>
            <w:vAlign w:val="center"/>
            <w:hideMark/>
          </w:tcPr>
          <w:p w14:paraId="5D02ED3A"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109</w:t>
            </w:r>
          </w:p>
        </w:tc>
        <w:tc>
          <w:tcPr>
            <w:tcW w:w="680" w:type="dxa"/>
            <w:noWrap/>
            <w:vAlign w:val="center"/>
            <w:hideMark/>
          </w:tcPr>
          <w:p w14:paraId="5453C494"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112</w:t>
            </w:r>
          </w:p>
        </w:tc>
        <w:tc>
          <w:tcPr>
            <w:tcW w:w="680" w:type="dxa"/>
            <w:noWrap/>
            <w:vAlign w:val="center"/>
            <w:hideMark/>
          </w:tcPr>
          <w:p w14:paraId="2CA93AEF"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109</w:t>
            </w:r>
          </w:p>
        </w:tc>
        <w:tc>
          <w:tcPr>
            <w:tcW w:w="680" w:type="dxa"/>
            <w:noWrap/>
            <w:vAlign w:val="center"/>
            <w:hideMark/>
          </w:tcPr>
          <w:p w14:paraId="73469C24"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87</w:t>
            </w:r>
          </w:p>
        </w:tc>
        <w:tc>
          <w:tcPr>
            <w:tcW w:w="680" w:type="dxa"/>
            <w:noWrap/>
            <w:vAlign w:val="center"/>
            <w:hideMark/>
          </w:tcPr>
          <w:p w14:paraId="76E10F8E"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117</w:t>
            </w:r>
          </w:p>
        </w:tc>
        <w:tc>
          <w:tcPr>
            <w:tcW w:w="680" w:type="dxa"/>
            <w:noWrap/>
            <w:vAlign w:val="center"/>
            <w:hideMark/>
          </w:tcPr>
          <w:p w14:paraId="331EABCE"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118</w:t>
            </w:r>
          </w:p>
        </w:tc>
      </w:tr>
      <w:tr w:rsidR="002A7155" w:rsidRPr="00AA7870" w14:paraId="5FB9AC89" w14:textId="77777777" w:rsidTr="00394BFE">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1701" w:type="dxa"/>
            <w:shd w:val="clear" w:color="auto" w:fill="E7E6E6"/>
            <w:noWrap/>
            <w:vAlign w:val="center"/>
            <w:hideMark/>
          </w:tcPr>
          <w:p w14:paraId="50927D36" w14:textId="77777777" w:rsidR="00D229D5" w:rsidRPr="00AA7870" w:rsidRDefault="00D229D5" w:rsidP="00F81FFA">
            <w:pPr>
              <w:ind w:firstLine="0"/>
              <w:jc w:val="left"/>
              <w:rPr>
                <w:rFonts w:eastAsia="Times New Roman" w:cs="Times New Roman"/>
                <w:color w:val="000000"/>
                <w:sz w:val="20"/>
                <w:szCs w:val="20"/>
                <w:lang w:eastAsia="pt-BR"/>
              </w:rPr>
            </w:pPr>
            <w:r w:rsidRPr="00AA7870">
              <w:rPr>
                <w:rFonts w:eastAsia="Times New Roman" w:cs="Times New Roman"/>
                <w:color w:val="000000"/>
                <w:sz w:val="20"/>
                <w:szCs w:val="20"/>
                <w:lang w:eastAsia="pt-BR"/>
              </w:rPr>
              <w:t>Rafael Fernandes</w:t>
            </w:r>
          </w:p>
        </w:tc>
        <w:tc>
          <w:tcPr>
            <w:tcW w:w="680" w:type="dxa"/>
            <w:noWrap/>
            <w:vAlign w:val="center"/>
            <w:hideMark/>
          </w:tcPr>
          <w:p w14:paraId="1EDA72E3"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59</w:t>
            </w:r>
          </w:p>
        </w:tc>
        <w:tc>
          <w:tcPr>
            <w:tcW w:w="680" w:type="dxa"/>
            <w:noWrap/>
            <w:vAlign w:val="center"/>
            <w:hideMark/>
          </w:tcPr>
          <w:p w14:paraId="3D762204"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59</w:t>
            </w:r>
          </w:p>
        </w:tc>
        <w:tc>
          <w:tcPr>
            <w:tcW w:w="680" w:type="dxa"/>
            <w:noWrap/>
            <w:vAlign w:val="center"/>
            <w:hideMark/>
          </w:tcPr>
          <w:p w14:paraId="7803CC17"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53</w:t>
            </w:r>
          </w:p>
        </w:tc>
        <w:tc>
          <w:tcPr>
            <w:tcW w:w="680" w:type="dxa"/>
            <w:noWrap/>
            <w:vAlign w:val="center"/>
            <w:hideMark/>
          </w:tcPr>
          <w:p w14:paraId="44B989FD"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50</w:t>
            </w:r>
          </w:p>
        </w:tc>
        <w:tc>
          <w:tcPr>
            <w:tcW w:w="680" w:type="dxa"/>
            <w:noWrap/>
            <w:vAlign w:val="center"/>
            <w:hideMark/>
          </w:tcPr>
          <w:p w14:paraId="1CEF7DAA"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62</w:t>
            </w:r>
          </w:p>
        </w:tc>
        <w:tc>
          <w:tcPr>
            <w:tcW w:w="680" w:type="dxa"/>
            <w:noWrap/>
            <w:vAlign w:val="center"/>
            <w:hideMark/>
          </w:tcPr>
          <w:p w14:paraId="2AB49290"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54</w:t>
            </w:r>
          </w:p>
        </w:tc>
        <w:tc>
          <w:tcPr>
            <w:tcW w:w="680" w:type="dxa"/>
            <w:noWrap/>
            <w:vAlign w:val="center"/>
            <w:hideMark/>
          </w:tcPr>
          <w:p w14:paraId="6C6773CE"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49</w:t>
            </w:r>
          </w:p>
        </w:tc>
        <w:tc>
          <w:tcPr>
            <w:tcW w:w="680" w:type="dxa"/>
            <w:noWrap/>
            <w:vAlign w:val="center"/>
            <w:hideMark/>
          </w:tcPr>
          <w:p w14:paraId="57D28957"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46</w:t>
            </w:r>
          </w:p>
        </w:tc>
        <w:tc>
          <w:tcPr>
            <w:tcW w:w="680" w:type="dxa"/>
            <w:noWrap/>
            <w:vAlign w:val="center"/>
            <w:hideMark/>
          </w:tcPr>
          <w:p w14:paraId="42EBB0D6"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46</w:t>
            </w:r>
          </w:p>
        </w:tc>
        <w:tc>
          <w:tcPr>
            <w:tcW w:w="680" w:type="dxa"/>
            <w:noWrap/>
            <w:vAlign w:val="center"/>
            <w:hideMark/>
          </w:tcPr>
          <w:p w14:paraId="66EBE099"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48</w:t>
            </w:r>
          </w:p>
        </w:tc>
        <w:tc>
          <w:tcPr>
            <w:tcW w:w="680" w:type="dxa"/>
            <w:noWrap/>
            <w:vAlign w:val="center"/>
            <w:hideMark/>
          </w:tcPr>
          <w:p w14:paraId="02144C24"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50</w:t>
            </w:r>
          </w:p>
        </w:tc>
      </w:tr>
      <w:tr w:rsidR="002A7155" w:rsidRPr="00AA7870" w14:paraId="6EA66944" w14:textId="77777777" w:rsidTr="00394BFE">
        <w:trPr>
          <w:trHeight w:val="227"/>
          <w:jc w:val="center"/>
        </w:trPr>
        <w:tc>
          <w:tcPr>
            <w:cnfStyle w:val="001000000000" w:firstRow="0" w:lastRow="0" w:firstColumn="1" w:lastColumn="0" w:oddVBand="0" w:evenVBand="0" w:oddHBand="0" w:evenHBand="0" w:firstRowFirstColumn="0" w:firstRowLastColumn="0" w:lastRowFirstColumn="0" w:lastRowLastColumn="0"/>
            <w:tcW w:w="1701" w:type="dxa"/>
            <w:shd w:val="clear" w:color="auto" w:fill="E7E6E6"/>
            <w:noWrap/>
            <w:vAlign w:val="center"/>
            <w:hideMark/>
          </w:tcPr>
          <w:p w14:paraId="711CEB18" w14:textId="77777777" w:rsidR="00D229D5" w:rsidRPr="00AA7870" w:rsidRDefault="00D229D5" w:rsidP="00F81FFA">
            <w:pPr>
              <w:ind w:firstLine="0"/>
              <w:jc w:val="left"/>
              <w:rPr>
                <w:rFonts w:eastAsia="Times New Roman" w:cs="Times New Roman"/>
                <w:color w:val="000000"/>
                <w:sz w:val="20"/>
                <w:szCs w:val="20"/>
                <w:lang w:eastAsia="pt-BR"/>
              </w:rPr>
            </w:pPr>
            <w:r w:rsidRPr="00AA7870">
              <w:rPr>
                <w:rFonts w:eastAsia="Times New Roman" w:cs="Times New Roman"/>
                <w:color w:val="000000"/>
                <w:sz w:val="20"/>
                <w:szCs w:val="20"/>
                <w:lang w:eastAsia="pt-BR"/>
              </w:rPr>
              <w:t xml:space="preserve">Rafael </w:t>
            </w:r>
            <w:proofErr w:type="spellStart"/>
            <w:r w:rsidRPr="00AA7870">
              <w:rPr>
                <w:rFonts w:eastAsia="Times New Roman" w:cs="Times New Roman"/>
                <w:color w:val="000000"/>
                <w:sz w:val="20"/>
                <w:szCs w:val="20"/>
                <w:lang w:eastAsia="pt-BR"/>
              </w:rPr>
              <w:t>Godeiro</w:t>
            </w:r>
            <w:proofErr w:type="spellEnd"/>
          </w:p>
        </w:tc>
        <w:tc>
          <w:tcPr>
            <w:tcW w:w="680" w:type="dxa"/>
            <w:noWrap/>
            <w:vAlign w:val="center"/>
            <w:hideMark/>
          </w:tcPr>
          <w:p w14:paraId="7D73FB11"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57</w:t>
            </w:r>
          </w:p>
        </w:tc>
        <w:tc>
          <w:tcPr>
            <w:tcW w:w="680" w:type="dxa"/>
            <w:noWrap/>
            <w:vAlign w:val="center"/>
            <w:hideMark/>
          </w:tcPr>
          <w:p w14:paraId="6573A50C"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58</w:t>
            </w:r>
          </w:p>
        </w:tc>
        <w:tc>
          <w:tcPr>
            <w:tcW w:w="680" w:type="dxa"/>
            <w:noWrap/>
            <w:vAlign w:val="center"/>
            <w:hideMark/>
          </w:tcPr>
          <w:p w14:paraId="208FB087"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64</w:t>
            </w:r>
          </w:p>
        </w:tc>
        <w:tc>
          <w:tcPr>
            <w:tcW w:w="680" w:type="dxa"/>
            <w:noWrap/>
            <w:vAlign w:val="center"/>
            <w:hideMark/>
          </w:tcPr>
          <w:p w14:paraId="4373E57D"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63</w:t>
            </w:r>
          </w:p>
        </w:tc>
        <w:tc>
          <w:tcPr>
            <w:tcW w:w="680" w:type="dxa"/>
            <w:noWrap/>
            <w:vAlign w:val="center"/>
            <w:hideMark/>
          </w:tcPr>
          <w:p w14:paraId="5037B9F6"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67</w:t>
            </w:r>
          </w:p>
        </w:tc>
        <w:tc>
          <w:tcPr>
            <w:tcW w:w="680" w:type="dxa"/>
            <w:noWrap/>
            <w:vAlign w:val="center"/>
            <w:hideMark/>
          </w:tcPr>
          <w:p w14:paraId="04E5EC23"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73</w:t>
            </w:r>
          </w:p>
        </w:tc>
        <w:tc>
          <w:tcPr>
            <w:tcW w:w="680" w:type="dxa"/>
            <w:noWrap/>
            <w:vAlign w:val="center"/>
            <w:hideMark/>
          </w:tcPr>
          <w:p w14:paraId="03A09F0F"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80</w:t>
            </w:r>
          </w:p>
        </w:tc>
        <w:tc>
          <w:tcPr>
            <w:tcW w:w="680" w:type="dxa"/>
            <w:noWrap/>
            <w:vAlign w:val="center"/>
            <w:hideMark/>
          </w:tcPr>
          <w:p w14:paraId="4402B999"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83</w:t>
            </w:r>
          </w:p>
        </w:tc>
        <w:tc>
          <w:tcPr>
            <w:tcW w:w="680" w:type="dxa"/>
            <w:noWrap/>
            <w:vAlign w:val="center"/>
            <w:hideMark/>
          </w:tcPr>
          <w:p w14:paraId="3796F06F"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100</w:t>
            </w:r>
          </w:p>
        </w:tc>
        <w:tc>
          <w:tcPr>
            <w:tcW w:w="680" w:type="dxa"/>
            <w:noWrap/>
            <w:vAlign w:val="center"/>
            <w:hideMark/>
          </w:tcPr>
          <w:p w14:paraId="3492A199"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109</w:t>
            </w:r>
          </w:p>
        </w:tc>
        <w:tc>
          <w:tcPr>
            <w:tcW w:w="680" w:type="dxa"/>
            <w:noWrap/>
            <w:vAlign w:val="center"/>
            <w:hideMark/>
          </w:tcPr>
          <w:p w14:paraId="784E4B29"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116</w:t>
            </w:r>
          </w:p>
        </w:tc>
      </w:tr>
      <w:tr w:rsidR="002A7155" w:rsidRPr="00AA7870" w14:paraId="66C0D604" w14:textId="77777777" w:rsidTr="00394BFE">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1701" w:type="dxa"/>
            <w:shd w:val="clear" w:color="auto" w:fill="E7E6E6"/>
            <w:noWrap/>
            <w:vAlign w:val="center"/>
            <w:hideMark/>
          </w:tcPr>
          <w:p w14:paraId="01213BD6" w14:textId="77777777" w:rsidR="00D229D5" w:rsidRPr="00AA7870" w:rsidRDefault="00D229D5" w:rsidP="00F81FFA">
            <w:pPr>
              <w:ind w:firstLine="0"/>
              <w:jc w:val="left"/>
              <w:rPr>
                <w:rFonts w:eastAsia="Times New Roman" w:cs="Times New Roman"/>
                <w:color w:val="000000"/>
                <w:sz w:val="20"/>
                <w:szCs w:val="20"/>
                <w:lang w:eastAsia="pt-BR"/>
              </w:rPr>
            </w:pPr>
            <w:r w:rsidRPr="00AA7870">
              <w:rPr>
                <w:rFonts w:eastAsia="Times New Roman" w:cs="Times New Roman"/>
                <w:color w:val="000000"/>
                <w:sz w:val="20"/>
                <w:szCs w:val="20"/>
                <w:lang w:eastAsia="pt-BR"/>
              </w:rPr>
              <w:t>Riacho da Cruz</w:t>
            </w:r>
          </w:p>
        </w:tc>
        <w:tc>
          <w:tcPr>
            <w:tcW w:w="680" w:type="dxa"/>
            <w:noWrap/>
            <w:vAlign w:val="center"/>
            <w:hideMark/>
          </w:tcPr>
          <w:p w14:paraId="73012408"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56</w:t>
            </w:r>
          </w:p>
        </w:tc>
        <w:tc>
          <w:tcPr>
            <w:tcW w:w="680" w:type="dxa"/>
            <w:noWrap/>
            <w:vAlign w:val="center"/>
            <w:hideMark/>
          </w:tcPr>
          <w:p w14:paraId="0DD035F4"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208</w:t>
            </w:r>
          </w:p>
        </w:tc>
        <w:tc>
          <w:tcPr>
            <w:tcW w:w="680" w:type="dxa"/>
            <w:noWrap/>
            <w:vAlign w:val="center"/>
            <w:hideMark/>
          </w:tcPr>
          <w:p w14:paraId="07B29801"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224</w:t>
            </w:r>
          </w:p>
        </w:tc>
        <w:tc>
          <w:tcPr>
            <w:tcW w:w="680" w:type="dxa"/>
            <w:noWrap/>
            <w:vAlign w:val="center"/>
            <w:hideMark/>
          </w:tcPr>
          <w:p w14:paraId="697E00FA"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59</w:t>
            </w:r>
          </w:p>
        </w:tc>
        <w:tc>
          <w:tcPr>
            <w:tcW w:w="680" w:type="dxa"/>
            <w:noWrap/>
            <w:vAlign w:val="center"/>
            <w:hideMark/>
          </w:tcPr>
          <w:p w14:paraId="21F873E1"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70</w:t>
            </w:r>
          </w:p>
        </w:tc>
        <w:tc>
          <w:tcPr>
            <w:tcW w:w="680" w:type="dxa"/>
            <w:noWrap/>
            <w:vAlign w:val="center"/>
            <w:hideMark/>
          </w:tcPr>
          <w:p w14:paraId="53823848"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71</w:t>
            </w:r>
          </w:p>
        </w:tc>
        <w:tc>
          <w:tcPr>
            <w:tcW w:w="680" w:type="dxa"/>
            <w:noWrap/>
            <w:vAlign w:val="center"/>
            <w:hideMark/>
          </w:tcPr>
          <w:p w14:paraId="45B60F2D"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77</w:t>
            </w:r>
          </w:p>
        </w:tc>
        <w:tc>
          <w:tcPr>
            <w:tcW w:w="680" w:type="dxa"/>
            <w:noWrap/>
            <w:vAlign w:val="center"/>
            <w:hideMark/>
          </w:tcPr>
          <w:p w14:paraId="74711633"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82</w:t>
            </w:r>
          </w:p>
        </w:tc>
        <w:tc>
          <w:tcPr>
            <w:tcW w:w="680" w:type="dxa"/>
            <w:noWrap/>
            <w:vAlign w:val="center"/>
            <w:hideMark/>
          </w:tcPr>
          <w:p w14:paraId="316D8F1A"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58</w:t>
            </w:r>
          </w:p>
        </w:tc>
        <w:tc>
          <w:tcPr>
            <w:tcW w:w="680" w:type="dxa"/>
            <w:noWrap/>
            <w:vAlign w:val="center"/>
            <w:hideMark/>
          </w:tcPr>
          <w:p w14:paraId="53179390"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89</w:t>
            </w:r>
          </w:p>
        </w:tc>
        <w:tc>
          <w:tcPr>
            <w:tcW w:w="680" w:type="dxa"/>
            <w:noWrap/>
            <w:vAlign w:val="center"/>
            <w:hideMark/>
          </w:tcPr>
          <w:p w14:paraId="4A84E137"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93</w:t>
            </w:r>
          </w:p>
        </w:tc>
      </w:tr>
      <w:tr w:rsidR="002A7155" w:rsidRPr="00AA7870" w14:paraId="2614F213" w14:textId="77777777" w:rsidTr="00394BFE">
        <w:trPr>
          <w:trHeight w:val="227"/>
          <w:jc w:val="center"/>
        </w:trPr>
        <w:tc>
          <w:tcPr>
            <w:cnfStyle w:val="001000000000" w:firstRow="0" w:lastRow="0" w:firstColumn="1" w:lastColumn="0" w:oddVBand="0" w:evenVBand="0" w:oddHBand="0" w:evenHBand="0" w:firstRowFirstColumn="0" w:firstRowLastColumn="0" w:lastRowFirstColumn="0" w:lastRowLastColumn="0"/>
            <w:tcW w:w="1701" w:type="dxa"/>
            <w:shd w:val="clear" w:color="auto" w:fill="E7E6E6"/>
            <w:noWrap/>
            <w:vAlign w:val="center"/>
            <w:hideMark/>
          </w:tcPr>
          <w:p w14:paraId="0EDF4BE5" w14:textId="77777777" w:rsidR="00D229D5" w:rsidRPr="00AA7870" w:rsidRDefault="00D229D5" w:rsidP="00F81FFA">
            <w:pPr>
              <w:ind w:firstLine="0"/>
              <w:jc w:val="left"/>
              <w:rPr>
                <w:rFonts w:eastAsia="Times New Roman" w:cs="Times New Roman"/>
                <w:color w:val="000000"/>
                <w:sz w:val="20"/>
                <w:szCs w:val="20"/>
                <w:lang w:eastAsia="pt-BR"/>
              </w:rPr>
            </w:pPr>
            <w:r w:rsidRPr="00AA7870">
              <w:rPr>
                <w:rFonts w:eastAsia="Times New Roman" w:cs="Times New Roman"/>
                <w:color w:val="000000"/>
                <w:sz w:val="20"/>
                <w:szCs w:val="20"/>
                <w:lang w:eastAsia="pt-BR"/>
              </w:rPr>
              <w:t>Riacho de Santana</w:t>
            </w:r>
          </w:p>
        </w:tc>
        <w:tc>
          <w:tcPr>
            <w:tcW w:w="680" w:type="dxa"/>
            <w:noWrap/>
            <w:vAlign w:val="center"/>
            <w:hideMark/>
          </w:tcPr>
          <w:p w14:paraId="276F4E02"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57</w:t>
            </w:r>
          </w:p>
        </w:tc>
        <w:tc>
          <w:tcPr>
            <w:tcW w:w="680" w:type="dxa"/>
            <w:noWrap/>
            <w:vAlign w:val="center"/>
            <w:hideMark/>
          </w:tcPr>
          <w:p w14:paraId="741076F1"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69</w:t>
            </w:r>
          </w:p>
        </w:tc>
        <w:tc>
          <w:tcPr>
            <w:tcW w:w="680" w:type="dxa"/>
            <w:noWrap/>
            <w:vAlign w:val="center"/>
            <w:hideMark/>
          </w:tcPr>
          <w:p w14:paraId="36B0020C"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66</w:t>
            </w:r>
          </w:p>
        </w:tc>
        <w:tc>
          <w:tcPr>
            <w:tcW w:w="680" w:type="dxa"/>
            <w:noWrap/>
            <w:vAlign w:val="center"/>
            <w:hideMark/>
          </w:tcPr>
          <w:p w14:paraId="194B6200"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55</w:t>
            </w:r>
          </w:p>
        </w:tc>
        <w:tc>
          <w:tcPr>
            <w:tcW w:w="680" w:type="dxa"/>
            <w:noWrap/>
            <w:vAlign w:val="center"/>
            <w:hideMark/>
          </w:tcPr>
          <w:p w14:paraId="7BFB5318"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80</w:t>
            </w:r>
          </w:p>
        </w:tc>
        <w:tc>
          <w:tcPr>
            <w:tcW w:w="680" w:type="dxa"/>
            <w:noWrap/>
            <w:vAlign w:val="center"/>
            <w:hideMark/>
          </w:tcPr>
          <w:p w14:paraId="73AFA94A"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72</w:t>
            </w:r>
          </w:p>
        </w:tc>
        <w:tc>
          <w:tcPr>
            <w:tcW w:w="680" w:type="dxa"/>
            <w:noWrap/>
            <w:vAlign w:val="center"/>
            <w:hideMark/>
          </w:tcPr>
          <w:p w14:paraId="34FE798A"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68</w:t>
            </w:r>
          </w:p>
        </w:tc>
        <w:tc>
          <w:tcPr>
            <w:tcW w:w="680" w:type="dxa"/>
            <w:noWrap/>
            <w:vAlign w:val="center"/>
            <w:hideMark/>
          </w:tcPr>
          <w:p w14:paraId="21896E23"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64</w:t>
            </w:r>
          </w:p>
        </w:tc>
        <w:tc>
          <w:tcPr>
            <w:tcW w:w="680" w:type="dxa"/>
            <w:noWrap/>
            <w:vAlign w:val="center"/>
            <w:hideMark/>
          </w:tcPr>
          <w:p w14:paraId="305307BD"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78</w:t>
            </w:r>
          </w:p>
        </w:tc>
        <w:tc>
          <w:tcPr>
            <w:tcW w:w="680" w:type="dxa"/>
            <w:noWrap/>
            <w:vAlign w:val="center"/>
            <w:hideMark/>
          </w:tcPr>
          <w:p w14:paraId="7C5C9B06"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84</w:t>
            </w:r>
          </w:p>
        </w:tc>
        <w:tc>
          <w:tcPr>
            <w:tcW w:w="680" w:type="dxa"/>
            <w:noWrap/>
            <w:vAlign w:val="center"/>
            <w:hideMark/>
          </w:tcPr>
          <w:p w14:paraId="07B42C52"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69</w:t>
            </w:r>
          </w:p>
        </w:tc>
      </w:tr>
      <w:tr w:rsidR="002A7155" w:rsidRPr="00AA7870" w14:paraId="0CC63F74" w14:textId="77777777" w:rsidTr="00394BFE">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1701" w:type="dxa"/>
            <w:shd w:val="clear" w:color="auto" w:fill="E7E6E6"/>
            <w:noWrap/>
            <w:vAlign w:val="center"/>
            <w:hideMark/>
          </w:tcPr>
          <w:p w14:paraId="0C9783CB" w14:textId="77777777" w:rsidR="00D229D5" w:rsidRPr="00AA7870" w:rsidRDefault="00D229D5" w:rsidP="00F81FFA">
            <w:pPr>
              <w:ind w:firstLine="0"/>
              <w:jc w:val="left"/>
              <w:rPr>
                <w:rFonts w:eastAsia="Times New Roman" w:cs="Times New Roman"/>
                <w:color w:val="000000"/>
                <w:sz w:val="20"/>
                <w:szCs w:val="20"/>
                <w:lang w:eastAsia="pt-BR"/>
              </w:rPr>
            </w:pPr>
            <w:r w:rsidRPr="00AA7870">
              <w:rPr>
                <w:rFonts w:eastAsia="Times New Roman" w:cs="Times New Roman"/>
                <w:color w:val="000000"/>
                <w:sz w:val="20"/>
                <w:szCs w:val="20"/>
                <w:lang w:eastAsia="pt-BR"/>
              </w:rPr>
              <w:t>São Francisco do Oeste</w:t>
            </w:r>
          </w:p>
        </w:tc>
        <w:tc>
          <w:tcPr>
            <w:tcW w:w="680" w:type="dxa"/>
            <w:noWrap/>
            <w:vAlign w:val="center"/>
            <w:hideMark/>
          </w:tcPr>
          <w:p w14:paraId="2BA7C1C3"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33</w:t>
            </w:r>
          </w:p>
        </w:tc>
        <w:tc>
          <w:tcPr>
            <w:tcW w:w="680" w:type="dxa"/>
            <w:noWrap/>
            <w:vAlign w:val="center"/>
            <w:hideMark/>
          </w:tcPr>
          <w:p w14:paraId="5DC12676"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33</w:t>
            </w:r>
          </w:p>
        </w:tc>
        <w:tc>
          <w:tcPr>
            <w:tcW w:w="680" w:type="dxa"/>
            <w:noWrap/>
            <w:vAlign w:val="center"/>
            <w:hideMark/>
          </w:tcPr>
          <w:p w14:paraId="55ED67CA"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34</w:t>
            </w:r>
          </w:p>
        </w:tc>
        <w:tc>
          <w:tcPr>
            <w:tcW w:w="680" w:type="dxa"/>
            <w:noWrap/>
            <w:vAlign w:val="center"/>
            <w:hideMark/>
          </w:tcPr>
          <w:p w14:paraId="0FB391F1"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73</w:t>
            </w:r>
          </w:p>
        </w:tc>
        <w:tc>
          <w:tcPr>
            <w:tcW w:w="680" w:type="dxa"/>
            <w:noWrap/>
            <w:vAlign w:val="center"/>
            <w:hideMark/>
          </w:tcPr>
          <w:p w14:paraId="76F2910E"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57</w:t>
            </w:r>
          </w:p>
        </w:tc>
        <w:tc>
          <w:tcPr>
            <w:tcW w:w="680" w:type="dxa"/>
            <w:noWrap/>
            <w:vAlign w:val="center"/>
            <w:hideMark/>
          </w:tcPr>
          <w:p w14:paraId="52B3C35D"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54</w:t>
            </w:r>
          </w:p>
        </w:tc>
        <w:tc>
          <w:tcPr>
            <w:tcW w:w="680" w:type="dxa"/>
            <w:noWrap/>
            <w:vAlign w:val="center"/>
            <w:hideMark/>
          </w:tcPr>
          <w:p w14:paraId="555ABB99"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48</w:t>
            </w:r>
          </w:p>
        </w:tc>
        <w:tc>
          <w:tcPr>
            <w:tcW w:w="680" w:type="dxa"/>
            <w:noWrap/>
            <w:vAlign w:val="center"/>
            <w:hideMark/>
          </w:tcPr>
          <w:p w14:paraId="14DBBD3E"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48</w:t>
            </w:r>
          </w:p>
        </w:tc>
        <w:tc>
          <w:tcPr>
            <w:tcW w:w="680" w:type="dxa"/>
            <w:noWrap/>
            <w:vAlign w:val="center"/>
            <w:hideMark/>
          </w:tcPr>
          <w:p w14:paraId="4CF7B323"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94</w:t>
            </w:r>
          </w:p>
        </w:tc>
        <w:tc>
          <w:tcPr>
            <w:tcW w:w="680" w:type="dxa"/>
            <w:noWrap/>
            <w:vAlign w:val="center"/>
            <w:hideMark/>
          </w:tcPr>
          <w:p w14:paraId="55A027B8"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76</w:t>
            </w:r>
          </w:p>
        </w:tc>
        <w:tc>
          <w:tcPr>
            <w:tcW w:w="680" w:type="dxa"/>
            <w:noWrap/>
            <w:vAlign w:val="center"/>
            <w:hideMark/>
          </w:tcPr>
          <w:p w14:paraId="7C20AE28"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70</w:t>
            </w:r>
          </w:p>
        </w:tc>
      </w:tr>
      <w:tr w:rsidR="002A7155" w:rsidRPr="00AA7870" w14:paraId="06B0D7D6" w14:textId="77777777" w:rsidTr="00394BFE">
        <w:trPr>
          <w:trHeight w:val="227"/>
          <w:jc w:val="center"/>
        </w:trPr>
        <w:tc>
          <w:tcPr>
            <w:cnfStyle w:val="001000000000" w:firstRow="0" w:lastRow="0" w:firstColumn="1" w:lastColumn="0" w:oddVBand="0" w:evenVBand="0" w:oddHBand="0" w:evenHBand="0" w:firstRowFirstColumn="0" w:firstRowLastColumn="0" w:lastRowFirstColumn="0" w:lastRowLastColumn="0"/>
            <w:tcW w:w="1701" w:type="dxa"/>
            <w:shd w:val="clear" w:color="auto" w:fill="E7E6E6"/>
            <w:noWrap/>
            <w:vAlign w:val="center"/>
            <w:hideMark/>
          </w:tcPr>
          <w:p w14:paraId="2C7CEFA0" w14:textId="77777777" w:rsidR="00D229D5" w:rsidRPr="00AA7870" w:rsidRDefault="00D229D5" w:rsidP="00F81FFA">
            <w:pPr>
              <w:ind w:firstLine="0"/>
              <w:jc w:val="left"/>
              <w:rPr>
                <w:rFonts w:eastAsia="Times New Roman" w:cs="Times New Roman"/>
                <w:color w:val="000000"/>
                <w:sz w:val="20"/>
                <w:szCs w:val="20"/>
                <w:lang w:eastAsia="pt-BR"/>
              </w:rPr>
            </w:pPr>
            <w:r w:rsidRPr="00AA7870">
              <w:rPr>
                <w:rFonts w:eastAsia="Times New Roman" w:cs="Times New Roman"/>
                <w:color w:val="000000"/>
                <w:sz w:val="20"/>
                <w:szCs w:val="20"/>
                <w:lang w:eastAsia="pt-BR"/>
              </w:rPr>
              <w:t>São Miguel</w:t>
            </w:r>
          </w:p>
        </w:tc>
        <w:tc>
          <w:tcPr>
            <w:tcW w:w="680" w:type="dxa"/>
            <w:noWrap/>
            <w:vAlign w:val="center"/>
            <w:hideMark/>
          </w:tcPr>
          <w:p w14:paraId="5001A697"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169</w:t>
            </w:r>
          </w:p>
        </w:tc>
        <w:tc>
          <w:tcPr>
            <w:tcW w:w="680" w:type="dxa"/>
            <w:noWrap/>
            <w:vAlign w:val="center"/>
            <w:hideMark/>
          </w:tcPr>
          <w:p w14:paraId="6A60C40C"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185</w:t>
            </w:r>
          </w:p>
        </w:tc>
        <w:tc>
          <w:tcPr>
            <w:tcW w:w="680" w:type="dxa"/>
            <w:noWrap/>
            <w:vAlign w:val="center"/>
            <w:hideMark/>
          </w:tcPr>
          <w:p w14:paraId="1D4DEE5B"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188</w:t>
            </w:r>
          </w:p>
        </w:tc>
        <w:tc>
          <w:tcPr>
            <w:tcW w:w="680" w:type="dxa"/>
            <w:noWrap/>
            <w:vAlign w:val="center"/>
            <w:hideMark/>
          </w:tcPr>
          <w:p w14:paraId="51BDE569"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200</w:t>
            </w:r>
          </w:p>
        </w:tc>
        <w:tc>
          <w:tcPr>
            <w:tcW w:w="680" w:type="dxa"/>
            <w:noWrap/>
            <w:vAlign w:val="center"/>
            <w:hideMark/>
          </w:tcPr>
          <w:p w14:paraId="7D16CA80"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265</w:t>
            </w:r>
          </w:p>
        </w:tc>
        <w:tc>
          <w:tcPr>
            <w:tcW w:w="680" w:type="dxa"/>
            <w:noWrap/>
            <w:vAlign w:val="center"/>
            <w:hideMark/>
          </w:tcPr>
          <w:p w14:paraId="6E639D23"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283</w:t>
            </w:r>
          </w:p>
        </w:tc>
        <w:tc>
          <w:tcPr>
            <w:tcW w:w="680" w:type="dxa"/>
            <w:noWrap/>
            <w:vAlign w:val="center"/>
            <w:hideMark/>
          </w:tcPr>
          <w:p w14:paraId="7E9045AA"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301</w:t>
            </w:r>
          </w:p>
        </w:tc>
        <w:tc>
          <w:tcPr>
            <w:tcW w:w="680" w:type="dxa"/>
            <w:noWrap/>
            <w:vAlign w:val="center"/>
            <w:hideMark/>
          </w:tcPr>
          <w:p w14:paraId="7FCD97FE"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287</w:t>
            </w:r>
          </w:p>
        </w:tc>
        <w:tc>
          <w:tcPr>
            <w:tcW w:w="680" w:type="dxa"/>
            <w:noWrap/>
            <w:vAlign w:val="center"/>
            <w:hideMark/>
          </w:tcPr>
          <w:p w14:paraId="0D4CFA9D"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349</w:t>
            </w:r>
          </w:p>
        </w:tc>
        <w:tc>
          <w:tcPr>
            <w:tcW w:w="680" w:type="dxa"/>
            <w:noWrap/>
            <w:vAlign w:val="center"/>
            <w:hideMark/>
          </w:tcPr>
          <w:p w14:paraId="5D371EF1"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359</w:t>
            </w:r>
          </w:p>
        </w:tc>
        <w:tc>
          <w:tcPr>
            <w:tcW w:w="680" w:type="dxa"/>
            <w:noWrap/>
            <w:vAlign w:val="center"/>
            <w:hideMark/>
          </w:tcPr>
          <w:p w14:paraId="26AAEF73"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363</w:t>
            </w:r>
          </w:p>
        </w:tc>
      </w:tr>
      <w:tr w:rsidR="002A7155" w:rsidRPr="00AA7870" w14:paraId="655A78E2" w14:textId="77777777" w:rsidTr="00394BFE">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1701" w:type="dxa"/>
            <w:shd w:val="clear" w:color="auto" w:fill="E7E6E6"/>
            <w:noWrap/>
            <w:vAlign w:val="center"/>
            <w:hideMark/>
          </w:tcPr>
          <w:p w14:paraId="4954E40A" w14:textId="77777777" w:rsidR="00D229D5" w:rsidRPr="00AA7870" w:rsidRDefault="00D229D5" w:rsidP="00F81FFA">
            <w:pPr>
              <w:ind w:firstLine="0"/>
              <w:jc w:val="left"/>
              <w:rPr>
                <w:rFonts w:eastAsia="Times New Roman" w:cs="Times New Roman"/>
                <w:color w:val="000000"/>
                <w:sz w:val="20"/>
                <w:szCs w:val="20"/>
                <w:lang w:eastAsia="pt-BR"/>
              </w:rPr>
            </w:pPr>
            <w:r w:rsidRPr="00AA7870">
              <w:rPr>
                <w:rFonts w:eastAsia="Times New Roman" w:cs="Times New Roman"/>
                <w:color w:val="000000"/>
                <w:sz w:val="20"/>
                <w:szCs w:val="20"/>
                <w:lang w:eastAsia="pt-BR"/>
              </w:rPr>
              <w:t>Serrinha dos Pintos</w:t>
            </w:r>
          </w:p>
        </w:tc>
        <w:tc>
          <w:tcPr>
            <w:tcW w:w="680" w:type="dxa"/>
            <w:noWrap/>
            <w:vAlign w:val="center"/>
            <w:hideMark/>
          </w:tcPr>
          <w:p w14:paraId="58BD2F6B"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56</w:t>
            </w:r>
          </w:p>
        </w:tc>
        <w:tc>
          <w:tcPr>
            <w:tcW w:w="680" w:type="dxa"/>
            <w:noWrap/>
            <w:vAlign w:val="center"/>
            <w:hideMark/>
          </w:tcPr>
          <w:p w14:paraId="6CD10944"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67</w:t>
            </w:r>
          </w:p>
        </w:tc>
        <w:tc>
          <w:tcPr>
            <w:tcW w:w="680" w:type="dxa"/>
            <w:noWrap/>
            <w:vAlign w:val="center"/>
            <w:hideMark/>
          </w:tcPr>
          <w:p w14:paraId="2A5D5709"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65</w:t>
            </w:r>
          </w:p>
        </w:tc>
        <w:tc>
          <w:tcPr>
            <w:tcW w:w="680" w:type="dxa"/>
            <w:noWrap/>
            <w:vAlign w:val="center"/>
            <w:hideMark/>
          </w:tcPr>
          <w:p w14:paraId="59E0CC4F"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61</w:t>
            </w:r>
          </w:p>
        </w:tc>
        <w:tc>
          <w:tcPr>
            <w:tcW w:w="680" w:type="dxa"/>
            <w:noWrap/>
            <w:vAlign w:val="center"/>
            <w:hideMark/>
          </w:tcPr>
          <w:p w14:paraId="200ADCF3"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72</w:t>
            </w:r>
          </w:p>
        </w:tc>
        <w:tc>
          <w:tcPr>
            <w:tcW w:w="680" w:type="dxa"/>
            <w:noWrap/>
            <w:vAlign w:val="center"/>
            <w:hideMark/>
          </w:tcPr>
          <w:p w14:paraId="5BCB1F7B"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75</w:t>
            </w:r>
          </w:p>
        </w:tc>
        <w:tc>
          <w:tcPr>
            <w:tcW w:w="680" w:type="dxa"/>
            <w:noWrap/>
            <w:vAlign w:val="center"/>
            <w:hideMark/>
          </w:tcPr>
          <w:p w14:paraId="1A839D49"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89</w:t>
            </w:r>
          </w:p>
        </w:tc>
        <w:tc>
          <w:tcPr>
            <w:tcW w:w="680" w:type="dxa"/>
            <w:noWrap/>
            <w:vAlign w:val="center"/>
            <w:hideMark/>
          </w:tcPr>
          <w:p w14:paraId="4635A6B4"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79</w:t>
            </w:r>
          </w:p>
        </w:tc>
        <w:tc>
          <w:tcPr>
            <w:tcW w:w="680" w:type="dxa"/>
            <w:noWrap/>
            <w:vAlign w:val="center"/>
            <w:hideMark/>
          </w:tcPr>
          <w:p w14:paraId="13490F2D"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84</w:t>
            </w:r>
          </w:p>
        </w:tc>
        <w:tc>
          <w:tcPr>
            <w:tcW w:w="680" w:type="dxa"/>
            <w:noWrap/>
            <w:vAlign w:val="center"/>
            <w:hideMark/>
          </w:tcPr>
          <w:p w14:paraId="74D7E545"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79</w:t>
            </w:r>
          </w:p>
        </w:tc>
        <w:tc>
          <w:tcPr>
            <w:tcW w:w="680" w:type="dxa"/>
            <w:noWrap/>
            <w:vAlign w:val="center"/>
            <w:hideMark/>
          </w:tcPr>
          <w:p w14:paraId="1983838D"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77</w:t>
            </w:r>
          </w:p>
        </w:tc>
      </w:tr>
      <w:tr w:rsidR="002A7155" w:rsidRPr="00AA7870" w14:paraId="4CD7A1B0" w14:textId="77777777" w:rsidTr="00394BFE">
        <w:trPr>
          <w:trHeight w:val="227"/>
          <w:jc w:val="center"/>
        </w:trPr>
        <w:tc>
          <w:tcPr>
            <w:cnfStyle w:val="001000000000" w:firstRow="0" w:lastRow="0" w:firstColumn="1" w:lastColumn="0" w:oddVBand="0" w:evenVBand="0" w:oddHBand="0" w:evenHBand="0" w:firstRowFirstColumn="0" w:firstRowLastColumn="0" w:lastRowFirstColumn="0" w:lastRowLastColumn="0"/>
            <w:tcW w:w="1701" w:type="dxa"/>
            <w:shd w:val="clear" w:color="auto" w:fill="E7E6E6"/>
            <w:noWrap/>
            <w:vAlign w:val="center"/>
            <w:hideMark/>
          </w:tcPr>
          <w:p w14:paraId="5ADC6CF0" w14:textId="77777777" w:rsidR="00D229D5" w:rsidRPr="00AA7870" w:rsidRDefault="00D229D5" w:rsidP="00F81FFA">
            <w:pPr>
              <w:ind w:firstLine="0"/>
              <w:jc w:val="left"/>
              <w:rPr>
                <w:rFonts w:eastAsia="Times New Roman" w:cs="Times New Roman"/>
                <w:color w:val="000000"/>
                <w:sz w:val="20"/>
                <w:szCs w:val="20"/>
                <w:lang w:eastAsia="pt-BR"/>
              </w:rPr>
            </w:pPr>
            <w:proofErr w:type="spellStart"/>
            <w:r w:rsidRPr="00AA7870">
              <w:rPr>
                <w:rFonts w:eastAsia="Times New Roman" w:cs="Times New Roman"/>
                <w:color w:val="000000"/>
                <w:sz w:val="20"/>
                <w:szCs w:val="20"/>
                <w:lang w:eastAsia="pt-BR"/>
              </w:rPr>
              <w:t>Taboleiro</w:t>
            </w:r>
            <w:proofErr w:type="spellEnd"/>
            <w:r w:rsidRPr="00AA7870">
              <w:rPr>
                <w:rFonts w:eastAsia="Times New Roman" w:cs="Times New Roman"/>
                <w:color w:val="000000"/>
                <w:sz w:val="20"/>
                <w:szCs w:val="20"/>
                <w:lang w:eastAsia="pt-BR"/>
              </w:rPr>
              <w:t xml:space="preserve"> Grande</w:t>
            </w:r>
          </w:p>
        </w:tc>
        <w:tc>
          <w:tcPr>
            <w:tcW w:w="680" w:type="dxa"/>
            <w:noWrap/>
            <w:vAlign w:val="center"/>
            <w:hideMark/>
          </w:tcPr>
          <w:p w14:paraId="554C102C"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6</w:t>
            </w:r>
          </w:p>
        </w:tc>
        <w:tc>
          <w:tcPr>
            <w:tcW w:w="680" w:type="dxa"/>
            <w:noWrap/>
            <w:vAlign w:val="center"/>
            <w:hideMark/>
          </w:tcPr>
          <w:p w14:paraId="621551C8"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6</w:t>
            </w:r>
          </w:p>
        </w:tc>
        <w:tc>
          <w:tcPr>
            <w:tcW w:w="680" w:type="dxa"/>
            <w:noWrap/>
            <w:vAlign w:val="center"/>
            <w:hideMark/>
          </w:tcPr>
          <w:p w14:paraId="66EF51C7"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7</w:t>
            </w:r>
          </w:p>
        </w:tc>
        <w:tc>
          <w:tcPr>
            <w:tcW w:w="680" w:type="dxa"/>
            <w:noWrap/>
            <w:vAlign w:val="center"/>
            <w:hideMark/>
          </w:tcPr>
          <w:p w14:paraId="06211D42"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41</w:t>
            </w:r>
          </w:p>
        </w:tc>
        <w:tc>
          <w:tcPr>
            <w:tcW w:w="680" w:type="dxa"/>
            <w:noWrap/>
            <w:vAlign w:val="center"/>
            <w:hideMark/>
          </w:tcPr>
          <w:p w14:paraId="3F6C17E9"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50</w:t>
            </w:r>
          </w:p>
        </w:tc>
        <w:tc>
          <w:tcPr>
            <w:tcW w:w="680" w:type="dxa"/>
            <w:noWrap/>
            <w:vAlign w:val="center"/>
            <w:hideMark/>
          </w:tcPr>
          <w:p w14:paraId="30DE228F"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72</w:t>
            </w:r>
          </w:p>
        </w:tc>
        <w:tc>
          <w:tcPr>
            <w:tcW w:w="680" w:type="dxa"/>
            <w:noWrap/>
            <w:vAlign w:val="center"/>
            <w:hideMark/>
          </w:tcPr>
          <w:p w14:paraId="54E0846A"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58</w:t>
            </w:r>
          </w:p>
        </w:tc>
        <w:tc>
          <w:tcPr>
            <w:tcW w:w="680" w:type="dxa"/>
            <w:noWrap/>
            <w:vAlign w:val="center"/>
            <w:hideMark/>
          </w:tcPr>
          <w:p w14:paraId="4444C6C0"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72</w:t>
            </w:r>
          </w:p>
        </w:tc>
        <w:tc>
          <w:tcPr>
            <w:tcW w:w="680" w:type="dxa"/>
            <w:noWrap/>
            <w:vAlign w:val="center"/>
            <w:hideMark/>
          </w:tcPr>
          <w:p w14:paraId="1D899156"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62</w:t>
            </w:r>
          </w:p>
        </w:tc>
        <w:tc>
          <w:tcPr>
            <w:tcW w:w="680" w:type="dxa"/>
            <w:noWrap/>
            <w:vAlign w:val="center"/>
            <w:hideMark/>
          </w:tcPr>
          <w:p w14:paraId="41996510"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80</w:t>
            </w:r>
          </w:p>
        </w:tc>
        <w:tc>
          <w:tcPr>
            <w:tcW w:w="680" w:type="dxa"/>
            <w:noWrap/>
            <w:vAlign w:val="center"/>
            <w:hideMark/>
          </w:tcPr>
          <w:p w14:paraId="34C6E1F7"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55</w:t>
            </w:r>
          </w:p>
        </w:tc>
      </w:tr>
      <w:tr w:rsidR="002A7155" w:rsidRPr="00AA7870" w14:paraId="68EE00CB" w14:textId="77777777" w:rsidTr="00394BFE">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1701" w:type="dxa"/>
            <w:shd w:val="clear" w:color="auto" w:fill="E7E6E6"/>
            <w:noWrap/>
            <w:vAlign w:val="center"/>
            <w:hideMark/>
          </w:tcPr>
          <w:p w14:paraId="0762B86E" w14:textId="77777777" w:rsidR="00D229D5" w:rsidRPr="00AA7870" w:rsidRDefault="00D229D5" w:rsidP="00F81FFA">
            <w:pPr>
              <w:ind w:firstLine="0"/>
              <w:jc w:val="left"/>
              <w:rPr>
                <w:rFonts w:eastAsia="Times New Roman" w:cs="Times New Roman"/>
                <w:color w:val="000000"/>
                <w:sz w:val="20"/>
                <w:szCs w:val="20"/>
                <w:lang w:eastAsia="pt-BR"/>
              </w:rPr>
            </w:pPr>
            <w:r w:rsidRPr="00AA7870">
              <w:rPr>
                <w:rFonts w:eastAsia="Times New Roman" w:cs="Times New Roman"/>
                <w:color w:val="000000"/>
                <w:sz w:val="20"/>
                <w:szCs w:val="20"/>
                <w:lang w:eastAsia="pt-BR"/>
              </w:rPr>
              <w:t>Tenente Ananias</w:t>
            </w:r>
          </w:p>
        </w:tc>
        <w:tc>
          <w:tcPr>
            <w:tcW w:w="680" w:type="dxa"/>
            <w:noWrap/>
            <w:vAlign w:val="center"/>
            <w:hideMark/>
          </w:tcPr>
          <w:p w14:paraId="7149FF1E"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32</w:t>
            </w:r>
          </w:p>
        </w:tc>
        <w:tc>
          <w:tcPr>
            <w:tcW w:w="680" w:type="dxa"/>
            <w:noWrap/>
            <w:vAlign w:val="center"/>
            <w:hideMark/>
          </w:tcPr>
          <w:p w14:paraId="3ECD13B7"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34</w:t>
            </w:r>
          </w:p>
        </w:tc>
        <w:tc>
          <w:tcPr>
            <w:tcW w:w="680" w:type="dxa"/>
            <w:noWrap/>
            <w:vAlign w:val="center"/>
            <w:hideMark/>
          </w:tcPr>
          <w:p w14:paraId="5C7A2A05"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34</w:t>
            </w:r>
          </w:p>
        </w:tc>
        <w:tc>
          <w:tcPr>
            <w:tcW w:w="680" w:type="dxa"/>
            <w:noWrap/>
            <w:vAlign w:val="center"/>
            <w:hideMark/>
          </w:tcPr>
          <w:p w14:paraId="55AAFA26"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38</w:t>
            </w:r>
          </w:p>
        </w:tc>
        <w:tc>
          <w:tcPr>
            <w:tcW w:w="680" w:type="dxa"/>
            <w:noWrap/>
            <w:vAlign w:val="center"/>
            <w:hideMark/>
          </w:tcPr>
          <w:p w14:paraId="1B4B7912"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36</w:t>
            </w:r>
          </w:p>
        </w:tc>
        <w:tc>
          <w:tcPr>
            <w:tcW w:w="680" w:type="dxa"/>
            <w:noWrap/>
            <w:vAlign w:val="center"/>
            <w:hideMark/>
          </w:tcPr>
          <w:p w14:paraId="39706548"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51</w:t>
            </w:r>
          </w:p>
        </w:tc>
        <w:tc>
          <w:tcPr>
            <w:tcW w:w="680" w:type="dxa"/>
            <w:noWrap/>
            <w:vAlign w:val="center"/>
            <w:hideMark/>
          </w:tcPr>
          <w:p w14:paraId="27EA4869"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21</w:t>
            </w:r>
          </w:p>
        </w:tc>
        <w:tc>
          <w:tcPr>
            <w:tcW w:w="680" w:type="dxa"/>
            <w:noWrap/>
            <w:vAlign w:val="center"/>
            <w:hideMark/>
          </w:tcPr>
          <w:p w14:paraId="61E8A209"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22</w:t>
            </w:r>
          </w:p>
        </w:tc>
        <w:tc>
          <w:tcPr>
            <w:tcW w:w="680" w:type="dxa"/>
            <w:noWrap/>
            <w:vAlign w:val="center"/>
            <w:hideMark/>
          </w:tcPr>
          <w:p w14:paraId="349D0E75"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25</w:t>
            </w:r>
          </w:p>
        </w:tc>
        <w:tc>
          <w:tcPr>
            <w:tcW w:w="680" w:type="dxa"/>
            <w:noWrap/>
            <w:vAlign w:val="center"/>
            <w:hideMark/>
          </w:tcPr>
          <w:p w14:paraId="08407A85"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68</w:t>
            </w:r>
          </w:p>
        </w:tc>
        <w:tc>
          <w:tcPr>
            <w:tcW w:w="680" w:type="dxa"/>
            <w:noWrap/>
            <w:vAlign w:val="center"/>
            <w:hideMark/>
          </w:tcPr>
          <w:p w14:paraId="2CA8F5E4"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80</w:t>
            </w:r>
          </w:p>
        </w:tc>
      </w:tr>
      <w:tr w:rsidR="002A7155" w:rsidRPr="00AA7870" w14:paraId="3252AC1B" w14:textId="77777777" w:rsidTr="00394BFE">
        <w:trPr>
          <w:trHeight w:val="227"/>
          <w:jc w:val="center"/>
        </w:trPr>
        <w:tc>
          <w:tcPr>
            <w:cnfStyle w:val="001000000000" w:firstRow="0" w:lastRow="0" w:firstColumn="1" w:lastColumn="0" w:oddVBand="0" w:evenVBand="0" w:oddHBand="0" w:evenHBand="0" w:firstRowFirstColumn="0" w:firstRowLastColumn="0" w:lastRowFirstColumn="0" w:lastRowLastColumn="0"/>
            <w:tcW w:w="1701" w:type="dxa"/>
            <w:shd w:val="clear" w:color="auto" w:fill="E7E6E6"/>
            <w:noWrap/>
            <w:vAlign w:val="center"/>
            <w:hideMark/>
          </w:tcPr>
          <w:p w14:paraId="0DA16B34" w14:textId="77777777" w:rsidR="00D229D5" w:rsidRPr="00AA7870" w:rsidRDefault="00D229D5" w:rsidP="00F81FFA">
            <w:pPr>
              <w:ind w:firstLine="0"/>
              <w:jc w:val="left"/>
              <w:rPr>
                <w:rFonts w:eastAsia="Times New Roman" w:cs="Times New Roman"/>
                <w:color w:val="000000"/>
                <w:sz w:val="20"/>
                <w:szCs w:val="20"/>
                <w:lang w:eastAsia="pt-BR"/>
              </w:rPr>
            </w:pPr>
            <w:r w:rsidRPr="00AA7870">
              <w:rPr>
                <w:rFonts w:eastAsia="Times New Roman" w:cs="Times New Roman"/>
                <w:color w:val="000000"/>
                <w:sz w:val="20"/>
                <w:szCs w:val="20"/>
                <w:lang w:eastAsia="pt-BR"/>
              </w:rPr>
              <w:t>Umarizal</w:t>
            </w:r>
          </w:p>
        </w:tc>
        <w:tc>
          <w:tcPr>
            <w:tcW w:w="680" w:type="dxa"/>
            <w:noWrap/>
            <w:vAlign w:val="center"/>
            <w:hideMark/>
          </w:tcPr>
          <w:p w14:paraId="049A5C3F"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133</w:t>
            </w:r>
          </w:p>
        </w:tc>
        <w:tc>
          <w:tcPr>
            <w:tcW w:w="680" w:type="dxa"/>
            <w:noWrap/>
            <w:vAlign w:val="center"/>
            <w:hideMark/>
          </w:tcPr>
          <w:p w14:paraId="30D192C3"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145</w:t>
            </w:r>
          </w:p>
        </w:tc>
        <w:tc>
          <w:tcPr>
            <w:tcW w:w="680" w:type="dxa"/>
            <w:noWrap/>
            <w:vAlign w:val="center"/>
            <w:hideMark/>
          </w:tcPr>
          <w:p w14:paraId="72F80D51"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149</w:t>
            </w:r>
          </w:p>
        </w:tc>
        <w:tc>
          <w:tcPr>
            <w:tcW w:w="680" w:type="dxa"/>
            <w:noWrap/>
            <w:vAlign w:val="center"/>
            <w:hideMark/>
          </w:tcPr>
          <w:p w14:paraId="3123CB65"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139</w:t>
            </w:r>
          </w:p>
        </w:tc>
        <w:tc>
          <w:tcPr>
            <w:tcW w:w="680" w:type="dxa"/>
            <w:noWrap/>
            <w:vAlign w:val="center"/>
            <w:hideMark/>
          </w:tcPr>
          <w:p w14:paraId="453EBBFB"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205</w:t>
            </w:r>
          </w:p>
        </w:tc>
        <w:tc>
          <w:tcPr>
            <w:tcW w:w="680" w:type="dxa"/>
            <w:noWrap/>
            <w:vAlign w:val="center"/>
            <w:hideMark/>
          </w:tcPr>
          <w:p w14:paraId="12BE614E"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219</w:t>
            </w:r>
          </w:p>
        </w:tc>
        <w:tc>
          <w:tcPr>
            <w:tcW w:w="680" w:type="dxa"/>
            <w:noWrap/>
            <w:vAlign w:val="center"/>
            <w:hideMark/>
          </w:tcPr>
          <w:p w14:paraId="2CA7AE00"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196</w:t>
            </w:r>
          </w:p>
        </w:tc>
        <w:tc>
          <w:tcPr>
            <w:tcW w:w="680" w:type="dxa"/>
            <w:noWrap/>
            <w:vAlign w:val="center"/>
            <w:hideMark/>
          </w:tcPr>
          <w:p w14:paraId="37CB0679"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164</w:t>
            </w:r>
          </w:p>
        </w:tc>
        <w:tc>
          <w:tcPr>
            <w:tcW w:w="680" w:type="dxa"/>
            <w:noWrap/>
            <w:vAlign w:val="center"/>
            <w:hideMark/>
          </w:tcPr>
          <w:p w14:paraId="02C42CF2"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166</w:t>
            </w:r>
          </w:p>
        </w:tc>
        <w:tc>
          <w:tcPr>
            <w:tcW w:w="680" w:type="dxa"/>
            <w:noWrap/>
            <w:vAlign w:val="center"/>
            <w:hideMark/>
          </w:tcPr>
          <w:p w14:paraId="3AFD035A"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162</w:t>
            </w:r>
          </w:p>
        </w:tc>
        <w:tc>
          <w:tcPr>
            <w:tcW w:w="680" w:type="dxa"/>
            <w:noWrap/>
            <w:vAlign w:val="center"/>
            <w:hideMark/>
          </w:tcPr>
          <w:p w14:paraId="17765975"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182</w:t>
            </w:r>
          </w:p>
        </w:tc>
      </w:tr>
      <w:tr w:rsidR="002A7155" w:rsidRPr="00AA7870" w14:paraId="00920157" w14:textId="77777777" w:rsidTr="00394BFE">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1701" w:type="dxa"/>
            <w:shd w:val="clear" w:color="auto" w:fill="E7E6E6"/>
            <w:noWrap/>
            <w:vAlign w:val="center"/>
            <w:hideMark/>
          </w:tcPr>
          <w:p w14:paraId="28A1500B" w14:textId="77777777" w:rsidR="00D229D5" w:rsidRPr="00AA7870" w:rsidRDefault="00D229D5" w:rsidP="00F81FFA">
            <w:pPr>
              <w:ind w:firstLine="0"/>
              <w:jc w:val="left"/>
              <w:rPr>
                <w:rFonts w:eastAsia="Times New Roman" w:cs="Times New Roman"/>
                <w:color w:val="000000"/>
                <w:sz w:val="20"/>
                <w:szCs w:val="20"/>
                <w:lang w:eastAsia="pt-BR"/>
              </w:rPr>
            </w:pPr>
            <w:r w:rsidRPr="00AA7870">
              <w:rPr>
                <w:rFonts w:eastAsia="Times New Roman" w:cs="Times New Roman"/>
                <w:color w:val="000000"/>
                <w:sz w:val="20"/>
                <w:szCs w:val="20"/>
                <w:lang w:eastAsia="pt-BR"/>
              </w:rPr>
              <w:t>Venha-Ver</w:t>
            </w:r>
          </w:p>
        </w:tc>
        <w:tc>
          <w:tcPr>
            <w:tcW w:w="680" w:type="dxa"/>
            <w:noWrap/>
            <w:vAlign w:val="center"/>
            <w:hideMark/>
          </w:tcPr>
          <w:p w14:paraId="4F886D5E"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9</w:t>
            </w:r>
          </w:p>
        </w:tc>
        <w:tc>
          <w:tcPr>
            <w:tcW w:w="680" w:type="dxa"/>
            <w:noWrap/>
            <w:vAlign w:val="center"/>
            <w:hideMark/>
          </w:tcPr>
          <w:p w14:paraId="3FD891E7"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9</w:t>
            </w:r>
          </w:p>
        </w:tc>
        <w:tc>
          <w:tcPr>
            <w:tcW w:w="680" w:type="dxa"/>
            <w:noWrap/>
            <w:vAlign w:val="center"/>
            <w:hideMark/>
          </w:tcPr>
          <w:p w14:paraId="72623431"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8</w:t>
            </w:r>
          </w:p>
        </w:tc>
        <w:tc>
          <w:tcPr>
            <w:tcW w:w="680" w:type="dxa"/>
            <w:noWrap/>
            <w:vAlign w:val="center"/>
            <w:hideMark/>
          </w:tcPr>
          <w:p w14:paraId="3C791D82"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10</w:t>
            </w:r>
          </w:p>
        </w:tc>
        <w:tc>
          <w:tcPr>
            <w:tcW w:w="680" w:type="dxa"/>
            <w:noWrap/>
            <w:vAlign w:val="center"/>
            <w:hideMark/>
          </w:tcPr>
          <w:p w14:paraId="0D6DD8AD"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8</w:t>
            </w:r>
          </w:p>
        </w:tc>
        <w:tc>
          <w:tcPr>
            <w:tcW w:w="680" w:type="dxa"/>
            <w:noWrap/>
            <w:vAlign w:val="center"/>
            <w:hideMark/>
          </w:tcPr>
          <w:p w14:paraId="4A1E0D29"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10</w:t>
            </w:r>
          </w:p>
        </w:tc>
        <w:tc>
          <w:tcPr>
            <w:tcW w:w="680" w:type="dxa"/>
            <w:noWrap/>
            <w:vAlign w:val="center"/>
            <w:hideMark/>
          </w:tcPr>
          <w:p w14:paraId="7DEBAD17"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26</w:t>
            </w:r>
          </w:p>
        </w:tc>
        <w:tc>
          <w:tcPr>
            <w:tcW w:w="680" w:type="dxa"/>
            <w:noWrap/>
            <w:vAlign w:val="center"/>
            <w:hideMark/>
          </w:tcPr>
          <w:p w14:paraId="555C4B55"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104</w:t>
            </w:r>
          </w:p>
        </w:tc>
        <w:tc>
          <w:tcPr>
            <w:tcW w:w="680" w:type="dxa"/>
            <w:noWrap/>
            <w:vAlign w:val="center"/>
            <w:hideMark/>
          </w:tcPr>
          <w:p w14:paraId="50C2DF02"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105</w:t>
            </w:r>
          </w:p>
        </w:tc>
        <w:tc>
          <w:tcPr>
            <w:tcW w:w="680" w:type="dxa"/>
            <w:noWrap/>
            <w:vAlign w:val="center"/>
            <w:hideMark/>
          </w:tcPr>
          <w:p w14:paraId="5EF2357A"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96</w:t>
            </w:r>
          </w:p>
        </w:tc>
        <w:tc>
          <w:tcPr>
            <w:tcW w:w="680" w:type="dxa"/>
            <w:noWrap/>
            <w:vAlign w:val="center"/>
            <w:hideMark/>
          </w:tcPr>
          <w:p w14:paraId="0CFA7CCA" w14:textId="77777777"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105</w:t>
            </w:r>
          </w:p>
        </w:tc>
      </w:tr>
      <w:tr w:rsidR="002A7155" w:rsidRPr="00AA7870" w14:paraId="51DBBF78" w14:textId="77777777" w:rsidTr="00394BFE">
        <w:trPr>
          <w:trHeight w:val="227"/>
          <w:jc w:val="center"/>
        </w:trPr>
        <w:tc>
          <w:tcPr>
            <w:cnfStyle w:val="001000000000" w:firstRow="0" w:lastRow="0" w:firstColumn="1" w:lastColumn="0" w:oddVBand="0" w:evenVBand="0" w:oddHBand="0" w:evenHBand="0" w:firstRowFirstColumn="0" w:firstRowLastColumn="0" w:lastRowFirstColumn="0" w:lastRowLastColumn="0"/>
            <w:tcW w:w="1701" w:type="dxa"/>
            <w:shd w:val="clear" w:color="auto" w:fill="E7E6E6"/>
            <w:noWrap/>
            <w:vAlign w:val="center"/>
            <w:hideMark/>
          </w:tcPr>
          <w:p w14:paraId="7C4A23AB" w14:textId="77777777" w:rsidR="00D229D5" w:rsidRPr="00AA7870" w:rsidRDefault="00D229D5" w:rsidP="00F81FFA">
            <w:pPr>
              <w:ind w:firstLine="0"/>
              <w:jc w:val="left"/>
              <w:rPr>
                <w:rFonts w:eastAsia="Times New Roman" w:cs="Times New Roman"/>
                <w:color w:val="000000"/>
                <w:sz w:val="20"/>
                <w:szCs w:val="20"/>
                <w:lang w:eastAsia="pt-BR"/>
              </w:rPr>
            </w:pPr>
            <w:r w:rsidRPr="00AA7870">
              <w:rPr>
                <w:rFonts w:eastAsia="Times New Roman" w:cs="Times New Roman"/>
                <w:color w:val="000000"/>
                <w:sz w:val="20"/>
                <w:szCs w:val="20"/>
                <w:lang w:eastAsia="pt-BR"/>
              </w:rPr>
              <w:t>Viçosa</w:t>
            </w:r>
          </w:p>
        </w:tc>
        <w:tc>
          <w:tcPr>
            <w:tcW w:w="680" w:type="dxa"/>
            <w:noWrap/>
            <w:vAlign w:val="center"/>
            <w:hideMark/>
          </w:tcPr>
          <w:p w14:paraId="434758C0"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12</w:t>
            </w:r>
          </w:p>
        </w:tc>
        <w:tc>
          <w:tcPr>
            <w:tcW w:w="680" w:type="dxa"/>
            <w:noWrap/>
            <w:vAlign w:val="center"/>
            <w:hideMark/>
          </w:tcPr>
          <w:p w14:paraId="232485E8"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10</w:t>
            </w:r>
          </w:p>
        </w:tc>
        <w:tc>
          <w:tcPr>
            <w:tcW w:w="680" w:type="dxa"/>
            <w:noWrap/>
            <w:vAlign w:val="center"/>
            <w:hideMark/>
          </w:tcPr>
          <w:p w14:paraId="4B31EC0C"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10</w:t>
            </w:r>
          </w:p>
        </w:tc>
        <w:tc>
          <w:tcPr>
            <w:tcW w:w="680" w:type="dxa"/>
            <w:noWrap/>
            <w:vAlign w:val="center"/>
            <w:hideMark/>
          </w:tcPr>
          <w:p w14:paraId="55396F3C"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11</w:t>
            </w:r>
          </w:p>
        </w:tc>
        <w:tc>
          <w:tcPr>
            <w:tcW w:w="680" w:type="dxa"/>
            <w:noWrap/>
            <w:vAlign w:val="center"/>
            <w:hideMark/>
          </w:tcPr>
          <w:p w14:paraId="176D39B3"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11</w:t>
            </w:r>
          </w:p>
        </w:tc>
        <w:tc>
          <w:tcPr>
            <w:tcW w:w="680" w:type="dxa"/>
            <w:noWrap/>
            <w:vAlign w:val="center"/>
            <w:hideMark/>
          </w:tcPr>
          <w:p w14:paraId="544B46E4"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34</w:t>
            </w:r>
          </w:p>
        </w:tc>
        <w:tc>
          <w:tcPr>
            <w:tcW w:w="680" w:type="dxa"/>
            <w:noWrap/>
            <w:vAlign w:val="center"/>
            <w:hideMark/>
          </w:tcPr>
          <w:p w14:paraId="66EB81E0"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27</w:t>
            </w:r>
          </w:p>
        </w:tc>
        <w:tc>
          <w:tcPr>
            <w:tcW w:w="680" w:type="dxa"/>
            <w:noWrap/>
            <w:vAlign w:val="center"/>
            <w:hideMark/>
          </w:tcPr>
          <w:p w14:paraId="73E26189"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44</w:t>
            </w:r>
          </w:p>
        </w:tc>
        <w:tc>
          <w:tcPr>
            <w:tcW w:w="680" w:type="dxa"/>
            <w:noWrap/>
            <w:vAlign w:val="center"/>
            <w:hideMark/>
          </w:tcPr>
          <w:p w14:paraId="4EC4CBF1"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44</w:t>
            </w:r>
          </w:p>
        </w:tc>
        <w:tc>
          <w:tcPr>
            <w:tcW w:w="680" w:type="dxa"/>
            <w:noWrap/>
            <w:vAlign w:val="center"/>
            <w:hideMark/>
          </w:tcPr>
          <w:p w14:paraId="6ED0AA19"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44</w:t>
            </w:r>
          </w:p>
        </w:tc>
        <w:tc>
          <w:tcPr>
            <w:tcW w:w="680" w:type="dxa"/>
            <w:noWrap/>
            <w:vAlign w:val="center"/>
            <w:hideMark/>
          </w:tcPr>
          <w:p w14:paraId="561A8135" w14:textId="77777777" w:rsidR="00D229D5" w:rsidRPr="00AA7870" w:rsidRDefault="00D229D5" w:rsidP="008D12A4">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41</w:t>
            </w:r>
          </w:p>
        </w:tc>
      </w:tr>
      <w:tr w:rsidR="002A7155" w:rsidRPr="00AA7870" w14:paraId="5B80EECD" w14:textId="77777777" w:rsidTr="00394BFE">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1701" w:type="dxa"/>
            <w:shd w:val="clear" w:color="auto" w:fill="E7E6E6"/>
            <w:noWrap/>
            <w:vAlign w:val="center"/>
            <w:hideMark/>
          </w:tcPr>
          <w:p w14:paraId="764D4A0A" w14:textId="77777777" w:rsidR="00D229D5" w:rsidRPr="00AA7870" w:rsidRDefault="00D229D5" w:rsidP="00F81FFA">
            <w:pPr>
              <w:ind w:firstLine="0"/>
              <w:jc w:val="left"/>
              <w:rPr>
                <w:rFonts w:eastAsia="Times New Roman" w:cs="Times New Roman"/>
                <w:color w:val="000000"/>
                <w:sz w:val="20"/>
                <w:szCs w:val="20"/>
                <w:lang w:eastAsia="pt-BR"/>
              </w:rPr>
            </w:pPr>
            <w:r w:rsidRPr="00AA7870">
              <w:rPr>
                <w:rFonts w:eastAsia="Times New Roman" w:cs="Times New Roman"/>
                <w:color w:val="000000"/>
                <w:sz w:val="20"/>
                <w:szCs w:val="20"/>
                <w:lang w:eastAsia="pt-BR"/>
              </w:rPr>
              <w:t>TOTAL</w:t>
            </w:r>
          </w:p>
        </w:tc>
        <w:tc>
          <w:tcPr>
            <w:tcW w:w="680" w:type="dxa"/>
            <w:noWrap/>
            <w:vAlign w:val="center"/>
            <w:hideMark/>
          </w:tcPr>
          <w:p w14:paraId="0E1E4D9C" w14:textId="4B5244D5"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2</w:t>
            </w:r>
            <w:r w:rsidR="00AA7870" w:rsidRPr="00AA7870">
              <w:rPr>
                <w:rFonts w:eastAsia="Times New Roman" w:cs="Times New Roman"/>
                <w:color w:val="000000"/>
                <w:sz w:val="20"/>
                <w:szCs w:val="20"/>
                <w:lang w:eastAsia="pt-BR"/>
              </w:rPr>
              <w:t>.</w:t>
            </w:r>
            <w:r w:rsidRPr="00AA7870">
              <w:rPr>
                <w:rFonts w:eastAsia="Times New Roman" w:cs="Times New Roman"/>
                <w:color w:val="000000"/>
                <w:sz w:val="20"/>
                <w:szCs w:val="20"/>
                <w:lang w:eastAsia="pt-BR"/>
              </w:rPr>
              <w:t>317</w:t>
            </w:r>
          </w:p>
        </w:tc>
        <w:tc>
          <w:tcPr>
            <w:tcW w:w="680" w:type="dxa"/>
            <w:noWrap/>
            <w:vAlign w:val="center"/>
            <w:hideMark/>
          </w:tcPr>
          <w:p w14:paraId="3B940368" w14:textId="2E278342"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2</w:t>
            </w:r>
            <w:r w:rsidR="00AA7870" w:rsidRPr="00AA7870">
              <w:rPr>
                <w:rFonts w:eastAsia="Times New Roman" w:cs="Times New Roman"/>
                <w:color w:val="000000"/>
                <w:sz w:val="20"/>
                <w:szCs w:val="20"/>
                <w:lang w:eastAsia="pt-BR"/>
              </w:rPr>
              <w:t>.</w:t>
            </w:r>
            <w:r w:rsidRPr="00AA7870">
              <w:rPr>
                <w:rFonts w:eastAsia="Times New Roman" w:cs="Times New Roman"/>
                <w:color w:val="000000"/>
                <w:sz w:val="20"/>
                <w:szCs w:val="20"/>
                <w:lang w:eastAsia="pt-BR"/>
              </w:rPr>
              <w:t>664</w:t>
            </w:r>
          </w:p>
        </w:tc>
        <w:tc>
          <w:tcPr>
            <w:tcW w:w="680" w:type="dxa"/>
            <w:noWrap/>
            <w:vAlign w:val="center"/>
            <w:hideMark/>
          </w:tcPr>
          <w:p w14:paraId="38538D4A" w14:textId="3CE359B0"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2</w:t>
            </w:r>
            <w:r w:rsidR="00AA7870" w:rsidRPr="00AA7870">
              <w:rPr>
                <w:rFonts w:eastAsia="Times New Roman" w:cs="Times New Roman"/>
                <w:color w:val="000000"/>
                <w:sz w:val="20"/>
                <w:szCs w:val="20"/>
                <w:lang w:eastAsia="pt-BR"/>
              </w:rPr>
              <w:t>.</w:t>
            </w:r>
            <w:r w:rsidRPr="00AA7870">
              <w:rPr>
                <w:rFonts w:eastAsia="Times New Roman" w:cs="Times New Roman"/>
                <w:color w:val="000000"/>
                <w:sz w:val="20"/>
                <w:szCs w:val="20"/>
                <w:lang w:eastAsia="pt-BR"/>
              </w:rPr>
              <w:t>860</w:t>
            </w:r>
          </w:p>
        </w:tc>
        <w:tc>
          <w:tcPr>
            <w:tcW w:w="680" w:type="dxa"/>
            <w:noWrap/>
            <w:vAlign w:val="center"/>
            <w:hideMark/>
          </w:tcPr>
          <w:p w14:paraId="786027EC" w14:textId="78F47F30"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2</w:t>
            </w:r>
            <w:r w:rsidR="00AA7870" w:rsidRPr="00AA7870">
              <w:rPr>
                <w:rFonts w:eastAsia="Times New Roman" w:cs="Times New Roman"/>
                <w:color w:val="000000"/>
                <w:sz w:val="20"/>
                <w:szCs w:val="20"/>
                <w:lang w:eastAsia="pt-BR"/>
              </w:rPr>
              <w:t>.</w:t>
            </w:r>
            <w:r w:rsidRPr="00AA7870">
              <w:rPr>
                <w:rFonts w:eastAsia="Times New Roman" w:cs="Times New Roman"/>
                <w:color w:val="000000"/>
                <w:sz w:val="20"/>
                <w:szCs w:val="20"/>
                <w:lang w:eastAsia="pt-BR"/>
              </w:rPr>
              <w:t>840</w:t>
            </w:r>
          </w:p>
        </w:tc>
        <w:tc>
          <w:tcPr>
            <w:tcW w:w="680" w:type="dxa"/>
            <w:noWrap/>
            <w:vAlign w:val="center"/>
            <w:hideMark/>
          </w:tcPr>
          <w:p w14:paraId="1BE872FC" w14:textId="56C054DD"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3</w:t>
            </w:r>
            <w:r w:rsidR="00AA7870" w:rsidRPr="00AA7870">
              <w:rPr>
                <w:rFonts w:eastAsia="Times New Roman" w:cs="Times New Roman"/>
                <w:color w:val="000000"/>
                <w:sz w:val="20"/>
                <w:szCs w:val="20"/>
                <w:lang w:eastAsia="pt-BR"/>
              </w:rPr>
              <w:t>.</w:t>
            </w:r>
            <w:r w:rsidRPr="00AA7870">
              <w:rPr>
                <w:rFonts w:eastAsia="Times New Roman" w:cs="Times New Roman"/>
                <w:color w:val="000000"/>
                <w:sz w:val="20"/>
                <w:szCs w:val="20"/>
                <w:lang w:eastAsia="pt-BR"/>
              </w:rPr>
              <w:t>409</w:t>
            </w:r>
          </w:p>
        </w:tc>
        <w:tc>
          <w:tcPr>
            <w:tcW w:w="680" w:type="dxa"/>
            <w:noWrap/>
            <w:vAlign w:val="center"/>
            <w:hideMark/>
          </w:tcPr>
          <w:p w14:paraId="3F8FF6E7" w14:textId="2B848903" w:rsidR="00D229D5" w:rsidRPr="00AA7870" w:rsidRDefault="00D229D5" w:rsidP="00AA7870">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3</w:t>
            </w:r>
            <w:r w:rsidR="00AA7870" w:rsidRPr="00AA7870">
              <w:rPr>
                <w:rFonts w:eastAsia="Times New Roman" w:cs="Times New Roman"/>
                <w:color w:val="000000"/>
                <w:sz w:val="20"/>
                <w:szCs w:val="20"/>
                <w:lang w:eastAsia="pt-BR"/>
              </w:rPr>
              <w:t>.</w:t>
            </w:r>
            <w:r w:rsidRPr="00AA7870">
              <w:rPr>
                <w:rFonts w:eastAsia="Times New Roman" w:cs="Times New Roman"/>
                <w:color w:val="000000"/>
                <w:sz w:val="20"/>
                <w:szCs w:val="20"/>
                <w:lang w:eastAsia="pt-BR"/>
              </w:rPr>
              <w:t>620</w:t>
            </w:r>
          </w:p>
        </w:tc>
        <w:tc>
          <w:tcPr>
            <w:tcW w:w="680" w:type="dxa"/>
            <w:noWrap/>
            <w:vAlign w:val="center"/>
            <w:hideMark/>
          </w:tcPr>
          <w:p w14:paraId="10FFCF17" w14:textId="483BB8A9"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3</w:t>
            </w:r>
            <w:r w:rsidR="002A7155" w:rsidRPr="00AA7870">
              <w:rPr>
                <w:rFonts w:eastAsia="Times New Roman" w:cs="Times New Roman"/>
                <w:color w:val="000000"/>
                <w:sz w:val="20"/>
                <w:szCs w:val="20"/>
                <w:lang w:eastAsia="pt-BR"/>
              </w:rPr>
              <w:t>.</w:t>
            </w:r>
            <w:r w:rsidRPr="00AA7870">
              <w:rPr>
                <w:rFonts w:eastAsia="Times New Roman" w:cs="Times New Roman"/>
                <w:color w:val="000000"/>
                <w:sz w:val="20"/>
                <w:szCs w:val="20"/>
                <w:lang w:eastAsia="pt-BR"/>
              </w:rPr>
              <w:t>623</w:t>
            </w:r>
          </w:p>
        </w:tc>
        <w:tc>
          <w:tcPr>
            <w:tcW w:w="680" w:type="dxa"/>
            <w:noWrap/>
            <w:vAlign w:val="center"/>
            <w:hideMark/>
          </w:tcPr>
          <w:p w14:paraId="40B870A9" w14:textId="39CAB00C"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3</w:t>
            </w:r>
            <w:r w:rsidR="002A7155" w:rsidRPr="00AA7870">
              <w:rPr>
                <w:rFonts w:eastAsia="Times New Roman" w:cs="Times New Roman"/>
                <w:color w:val="000000"/>
                <w:sz w:val="20"/>
                <w:szCs w:val="20"/>
                <w:lang w:eastAsia="pt-BR"/>
              </w:rPr>
              <w:t>.</w:t>
            </w:r>
            <w:r w:rsidRPr="00AA7870">
              <w:rPr>
                <w:rFonts w:eastAsia="Times New Roman" w:cs="Times New Roman"/>
                <w:color w:val="000000"/>
                <w:sz w:val="20"/>
                <w:szCs w:val="20"/>
                <w:lang w:eastAsia="pt-BR"/>
              </w:rPr>
              <w:t>522</w:t>
            </w:r>
          </w:p>
        </w:tc>
        <w:tc>
          <w:tcPr>
            <w:tcW w:w="680" w:type="dxa"/>
            <w:noWrap/>
            <w:vAlign w:val="center"/>
            <w:hideMark/>
          </w:tcPr>
          <w:p w14:paraId="7EC6CBEC" w14:textId="36280EC0"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4</w:t>
            </w:r>
            <w:r w:rsidR="002A7155" w:rsidRPr="00AA7870">
              <w:rPr>
                <w:rFonts w:eastAsia="Times New Roman" w:cs="Times New Roman"/>
                <w:color w:val="000000"/>
                <w:sz w:val="20"/>
                <w:szCs w:val="20"/>
                <w:lang w:eastAsia="pt-BR"/>
              </w:rPr>
              <w:t>.</w:t>
            </w:r>
            <w:r w:rsidRPr="00AA7870">
              <w:rPr>
                <w:rFonts w:eastAsia="Times New Roman" w:cs="Times New Roman"/>
                <w:color w:val="000000"/>
                <w:sz w:val="20"/>
                <w:szCs w:val="20"/>
                <w:lang w:eastAsia="pt-BR"/>
              </w:rPr>
              <w:t>177</w:t>
            </w:r>
          </w:p>
        </w:tc>
        <w:tc>
          <w:tcPr>
            <w:tcW w:w="680" w:type="dxa"/>
            <w:noWrap/>
            <w:vAlign w:val="center"/>
            <w:hideMark/>
          </w:tcPr>
          <w:p w14:paraId="2B8A1658" w14:textId="2FD07D19"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4</w:t>
            </w:r>
            <w:r w:rsidR="002A7155" w:rsidRPr="00AA7870">
              <w:rPr>
                <w:rFonts w:eastAsia="Times New Roman" w:cs="Times New Roman"/>
                <w:color w:val="000000"/>
                <w:sz w:val="20"/>
                <w:szCs w:val="20"/>
                <w:lang w:eastAsia="pt-BR"/>
              </w:rPr>
              <w:t>.</w:t>
            </w:r>
            <w:r w:rsidRPr="00AA7870">
              <w:rPr>
                <w:rFonts w:eastAsia="Times New Roman" w:cs="Times New Roman"/>
                <w:color w:val="000000"/>
                <w:sz w:val="20"/>
                <w:szCs w:val="20"/>
                <w:lang w:eastAsia="pt-BR"/>
              </w:rPr>
              <w:t>628</w:t>
            </w:r>
          </w:p>
        </w:tc>
        <w:tc>
          <w:tcPr>
            <w:tcW w:w="680" w:type="dxa"/>
            <w:noWrap/>
            <w:vAlign w:val="center"/>
            <w:hideMark/>
          </w:tcPr>
          <w:p w14:paraId="6B880050" w14:textId="6C5BFF85" w:rsidR="00D229D5" w:rsidRPr="00AA7870" w:rsidRDefault="00D229D5" w:rsidP="008D12A4">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pt-BR"/>
              </w:rPr>
            </w:pPr>
            <w:r w:rsidRPr="00AA7870">
              <w:rPr>
                <w:rFonts w:eastAsia="Times New Roman" w:cs="Times New Roman"/>
                <w:color w:val="000000"/>
                <w:sz w:val="20"/>
                <w:szCs w:val="20"/>
                <w:lang w:eastAsia="pt-BR"/>
              </w:rPr>
              <w:t>4</w:t>
            </w:r>
            <w:r w:rsidR="002A7155" w:rsidRPr="00AA7870">
              <w:rPr>
                <w:rFonts w:eastAsia="Times New Roman" w:cs="Times New Roman"/>
                <w:color w:val="000000"/>
                <w:sz w:val="20"/>
                <w:szCs w:val="20"/>
                <w:lang w:eastAsia="pt-BR"/>
              </w:rPr>
              <w:t>.</w:t>
            </w:r>
            <w:r w:rsidRPr="00AA7870">
              <w:rPr>
                <w:rFonts w:eastAsia="Times New Roman" w:cs="Times New Roman"/>
                <w:color w:val="000000"/>
                <w:sz w:val="20"/>
                <w:szCs w:val="20"/>
                <w:lang w:eastAsia="pt-BR"/>
              </w:rPr>
              <w:t>715</w:t>
            </w:r>
          </w:p>
        </w:tc>
      </w:tr>
    </w:tbl>
    <w:p w14:paraId="28CE7BD9" w14:textId="77777777" w:rsidR="002A7155" w:rsidRPr="002A7155" w:rsidRDefault="002A7155" w:rsidP="002A7155">
      <w:pPr>
        <w:ind w:firstLine="0"/>
        <w:rPr>
          <w:rFonts w:cs="Times New Roman"/>
          <w:sz w:val="22"/>
        </w:rPr>
      </w:pPr>
      <w:r w:rsidRPr="002A7155">
        <w:rPr>
          <w:rFonts w:cs="Times New Roman"/>
          <w:b/>
          <w:bCs/>
          <w:sz w:val="22"/>
        </w:rPr>
        <w:t>Fonte</w:t>
      </w:r>
      <w:r w:rsidRPr="002A7155">
        <w:rPr>
          <w:rFonts w:cs="Times New Roman"/>
          <w:sz w:val="22"/>
        </w:rPr>
        <w:t>: RAIS (2021). Organizado pelos autores.</w:t>
      </w:r>
    </w:p>
    <w:p w14:paraId="2996E62A" w14:textId="49EE143C" w:rsidR="00D229D5" w:rsidRDefault="00D229D5">
      <w:pPr>
        <w:ind w:firstLine="708"/>
        <w:rPr>
          <w:rFonts w:cs="Times New Roman"/>
          <w:szCs w:val="24"/>
        </w:rPr>
      </w:pPr>
    </w:p>
    <w:p w14:paraId="6D5E3082" w14:textId="69A5246F" w:rsidR="00400F05" w:rsidRDefault="008C6ABA" w:rsidP="002A7155">
      <w:pPr>
        <w:ind w:firstLine="708"/>
        <w:rPr>
          <w:rFonts w:cs="Times New Roman"/>
          <w:szCs w:val="24"/>
        </w:rPr>
      </w:pPr>
      <w:r>
        <w:rPr>
          <w:rFonts w:cs="Times New Roman"/>
          <w:szCs w:val="24"/>
        </w:rPr>
        <w:t xml:space="preserve">Os dados da </w:t>
      </w:r>
      <w:r w:rsidR="00400F05">
        <w:rPr>
          <w:rFonts w:cs="Times New Roman"/>
          <w:szCs w:val="24"/>
        </w:rPr>
        <w:t xml:space="preserve">tabela 2 deixam ver que vários municípios da R.G.I de Pau dos Ferros, apesar de apresentarem um aumento no número de ocupados com ensino superior completo, possuem uma quantidade muito pequena desses trabalhadores </w:t>
      </w:r>
      <w:r w:rsidR="00576695">
        <w:rPr>
          <w:rFonts w:cs="Times New Roman"/>
          <w:szCs w:val="24"/>
        </w:rPr>
        <w:t xml:space="preserve">tal é o caso de </w:t>
      </w:r>
      <w:r w:rsidR="00400F05">
        <w:rPr>
          <w:rFonts w:cs="Times New Roman"/>
          <w:szCs w:val="24"/>
        </w:rPr>
        <w:t>Água Nova, Almino Afonso e João Dia</w:t>
      </w:r>
      <w:r w:rsidR="00576695">
        <w:rPr>
          <w:rFonts w:cs="Times New Roman"/>
          <w:szCs w:val="24"/>
        </w:rPr>
        <w:t>s</w:t>
      </w:r>
      <w:r w:rsidR="00400F05">
        <w:rPr>
          <w:rFonts w:cs="Times New Roman"/>
          <w:szCs w:val="24"/>
        </w:rPr>
        <w:t>, para ficar com esses três. No entanto, cabe frisar que as populações desses municípios também são pequenas, como a maioria dos demais que compõe a região.</w:t>
      </w:r>
      <w:r w:rsidR="00576695">
        <w:rPr>
          <w:rFonts w:cs="Times New Roman"/>
          <w:szCs w:val="24"/>
        </w:rPr>
        <w:t xml:space="preserve"> De acordo com estimativa do IBGE as populações desses municípios em 2021 eram, respectivamente, </w:t>
      </w:r>
      <w:r w:rsidR="00576695" w:rsidRPr="00576695">
        <w:rPr>
          <w:rFonts w:cs="Times New Roman"/>
          <w:szCs w:val="24"/>
        </w:rPr>
        <w:t>3.293</w:t>
      </w:r>
      <w:r w:rsidR="00576695">
        <w:rPr>
          <w:rFonts w:cs="Times New Roman"/>
          <w:szCs w:val="24"/>
        </w:rPr>
        <w:t xml:space="preserve">, </w:t>
      </w:r>
      <w:r w:rsidR="00576695" w:rsidRPr="00576695">
        <w:rPr>
          <w:rFonts w:cs="Times New Roman"/>
          <w:szCs w:val="24"/>
        </w:rPr>
        <w:t>4.685</w:t>
      </w:r>
      <w:r w:rsidR="004A7D47">
        <w:rPr>
          <w:rFonts w:cs="Times New Roman"/>
          <w:szCs w:val="24"/>
        </w:rPr>
        <w:t xml:space="preserve"> e </w:t>
      </w:r>
      <w:r w:rsidR="004A7D47" w:rsidRPr="004A7D47">
        <w:rPr>
          <w:rFonts w:cs="Times New Roman"/>
          <w:szCs w:val="24"/>
        </w:rPr>
        <w:t>2.653</w:t>
      </w:r>
      <w:r w:rsidR="004A7D47">
        <w:rPr>
          <w:rFonts w:cs="Times New Roman"/>
          <w:szCs w:val="24"/>
        </w:rPr>
        <w:t xml:space="preserve"> pessoas. Ou seja, por mais que o número de profissionais formais com níveis de escolaridade mais alto seja relativamente pequeno, deve-se levar em conta que dentro da dimensão econômica desses municípios eles desempenham um papel importante </w:t>
      </w:r>
      <w:r w:rsidR="00DF6D32">
        <w:rPr>
          <w:rFonts w:cs="Times New Roman"/>
          <w:szCs w:val="24"/>
        </w:rPr>
        <w:t>na</w:t>
      </w:r>
      <w:r w:rsidR="004A7D47">
        <w:rPr>
          <w:rFonts w:cs="Times New Roman"/>
          <w:szCs w:val="24"/>
        </w:rPr>
        <w:t xml:space="preserve"> dinâmica social e econômica dos territórios. </w:t>
      </w:r>
    </w:p>
    <w:p w14:paraId="6A1339BB" w14:textId="4FA2373B" w:rsidR="002A7155" w:rsidRPr="002A7155" w:rsidRDefault="00DF6D32" w:rsidP="002A7155">
      <w:pPr>
        <w:ind w:firstLine="708"/>
        <w:rPr>
          <w:rFonts w:cs="Times New Roman"/>
          <w:szCs w:val="24"/>
        </w:rPr>
      </w:pPr>
      <w:r>
        <w:rPr>
          <w:rFonts w:cs="Times New Roman"/>
          <w:szCs w:val="24"/>
        </w:rPr>
        <w:t>Interessante notar que p</w:t>
      </w:r>
      <w:r w:rsidR="002A7155" w:rsidRPr="002A7155">
        <w:rPr>
          <w:rFonts w:cs="Times New Roman"/>
          <w:szCs w:val="24"/>
        </w:rPr>
        <w:t xml:space="preserve">elo fato de a região aqui estudada ser composta em sua grande maioria por municípios de pequeno porte, o aumento de profissionais qualificados ganha contornos ainda mais relevância nesses territórios. Como destacado na literatura, profissionais mais escolarizados, contribuem para o aumento da produtividade da economia e em âmbito individual, facilita o acesso a melhores oportunidades de emprego e consequentemente a </w:t>
      </w:r>
      <w:r w:rsidRPr="002A7155">
        <w:rPr>
          <w:rFonts w:cs="Times New Roman"/>
          <w:szCs w:val="24"/>
        </w:rPr>
        <w:t>maiores rendimentos</w:t>
      </w:r>
      <w:r w:rsidR="002A7155" w:rsidRPr="002A7155">
        <w:rPr>
          <w:rFonts w:cs="Times New Roman"/>
          <w:szCs w:val="24"/>
        </w:rPr>
        <w:t xml:space="preserve">. </w:t>
      </w:r>
    </w:p>
    <w:p w14:paraId="7E9AB630" w14:textId="1ED97EAC" w:rsidR="002A7155" w:rsidRDefault="002A7155" w:rsidP="002A7155">
      <w:pPr>
        <w:ind w:firstLine="708"/>
        <w:rPr>
          <w:rFonts w:cs="Times New Roman"/>
          <w:szCs w:val="24"/>
        </w:rPr>
      </w:pPr>
      <w:r w:rsidRPr="002A7155">
        <w:rPr>
          <w:rFonts w:cs="Times New Roman"/>
          <w:szCs w:val="24"/>
        </w:rPr>
        <w:t>A tabela 3, traz dados sobre como se dá a remuneração, em salário</w:t>
      </w:r>
      <w:r w:rsidR="00DF6D32">
        <w:rPr>
          <w:rFonts w:cs="Times New Roman"/>
          <w:szCs w:val="24"/>
        </w:rPr>
        <w:t>s</w:t>
      </w:r>
      <w:r w:rsidRPr="002A7155">
        <w:rPr>
          <w:rFonts w:cs="Times New Roman"/>
          <w:szCs w:val="24"/>
        </w:rPr>
        <w:t xml:space="preserve"> mínimos, dos trabalhadores formais por nível de escolaridade. Para todos os níveis de escolaridade observado</w:t>
      </w:r>
      <w:r w:rsidR="00AA7870">
        <w:rPr>
          <w:rFonts w:cs="Times New Roman"/>
          <w:szCs w:val="24"/>
        </w:rPr>
        <w:t>s</w:t>
      </w:r>
      <w:r w:rsidRPr="002A7155">
        <w:rPr>
          <w:rFonts w:cs="Times New Roman"/>
          <w:szCs w:val="24"/>
        </w:rPr>
        <w:t xml:space="preserve"> (exceto para o superior completo) a remuneração de até 1,50 salários mínimo</w:t>
      </w:r>
      <w:r w:rsidR="00DF6D32">
        <w:rPr>
          <w:rFonts w:cs="Times New Roman"/>
          <w:szCs w:val="24"/>
        </w:rPr>
        <w:t>s</w:t>
      </w:r>
      <w:r w:rsidRPr="002A7155">
        <w:rPr>
          <w:rFonts w:cs="Times New Roman"/>
          <w:szCs w:val="24"/>
        </w:rPr>
        <w:t xml:space="preserve"> é onde estão inseridos a </w:t>
      </w:r>
      <w:r w:rsidR="00AA7870">
        <w:rPr>
          <w:rFonts w:cs="Times New Roman"/>
          <w:szCs w:val="24"/>
        </w:rPr>
        <w:t>maior</w:t>
      </w:r>
      <w:r w:rsidRPr="002A7155">
        <w:rPr>
          <w:rFonts w:cs="Times New Roman"/>
          <w:szCs w:val="24"/>
        </w:rPr>
        <w:t xml:space="preserve"> parte dos ocupados formais, com destaque p</w:t>
      </w:r>
      <w:r w:rsidR="00DF6D32">
        <w:rPr>
          <w:rFonts w:cs="Times New Roman"/>
          <w:szCs w:val="24"/>
        </w:rPr>
        <w:t>a</w:t>
      </w:r>
      <w:r w:rsidRPr="002A7155">
        <w:rPr>
          <w:rFonts w:cs="Times New Roman"/>
          <w:szCs w:val="24"/>
        </w:rPr>
        <w:t xml:space="preserve">ra os que </w:t>
      </w:r>
      <w:r w:rsidR="00AA7870">
        <w:rPr>
          <w:rFonts w:cs="Times New Roman"/>
          <w:szCs w:val="24"/>
        </w:rPr>
        <w:t>possuem</w:t>
      </w:r>
      <w:r w:rsidRPr="002A7155">
        <w:rPr>
          <w:rFonts w:cs="Times New Roman"/>
          <w:szCs w:val="24"/>
        </w:rPr>
        <w:t xml:space="preserve"> o</w:t>
      </w:r>
      <w:r w:rsidR="002F2256">
        <w:rPr>
          <w:rFonts w:cs="Times New Roman"/>
          <w:szCs w:val="24"/>
        </w:rPr>
        <w:t xml:space="preserve"> ensino </w:t>
      </w:r>
      <w:r w:rsidRPr="002A7155">
        <w:rPr>
          <w:rFonts w:cs="Times New Roman"/>
          <w:szCs w:val="24"/>
        </w:rPr>
        <w:t>médio completo. Na faixa de 1,51 até 3,00 salários, há uma redução significativa da quantidade de trabalhadores que possuem formação abaixo do ensino superior completo. Entre os que foram remunerados com 3,01 a 5,00 salários, o destaque fica entre os ocupados com ensino superior completo, o mesmo acontece para a faixa de 5,01 a 10,0 salários. Nesse contexto, indo de encontro a literatura, observa-se para a R.G.I. de Pau dos Ferros que</w:t>
      </w:r>
      <w:r w:rsidR="00040304">
        <w:rPr>
          <w:rFonts w:cs="Times New Roman"/>
          <w:szCs w:val="24"/>
        </w:rPr>
        <w:t xml:space="preserve"> </w:t>
      </w:r>
      <w:r w:rsidR="00DF6D32">
        <w:rPr>
          <w:rFonts w:cs="Times New Roman"/>
          <w:szCs w:val="24"/>
        </w:rPr>
        <w:t xml:space="preserve">são </w:t>
      </w:r>
      <w:r w:rsidR="00040304">
        <w:rPr>
          <w:rFonts w:cs="Times New Roman"/>
          <w:szCs w:val="24"/>
        </w:rPr>
        <w:t>os trabalhadores com</w:t>
      </w:r>
      <w:r w:rsidRPr="002A7155">
        <w:rPr>
          <w:rFonts w:cs="Times New Roman"/>
          <w:szCs w:val="24"/>
        </w:rPr>
        <w:t xml:space="preserve"> níveis mais altos de escolaridade </w:t>
      </w:r>
      <w:r w:rsidR="00040304">
        <w:rPr>
          <w:rFonts w:cs="Times New Roman"/>
          <w:szCs w:val="24"/>
        </w:rPr>
        <w:t xml:space="preserve">que são melhor </w:t>
      </w:r>
      <w:r w:rsidRPr="002A7155">
        <w:rPr>
          <w:rFonts w:cs="Times New Roman"/>
          <w:szCs w:val="24"/>
        </w:rPr>
        <w:t>remunera</w:t>
      </w:r>
      <w:r w:rsidR="00040304">
        <w:rPr>
          <w:rFonts w:cs="Times New Roman"/>
          <w:szCs w:val="24"/>
        </w:rPr>
        <w:t>dos.</w:t>
      </w:r>
    </w:p>
    <w:p w14:paraId="39D61FAA" w14:textId="77777777" w:rsidR="002A7155" w:rsidRPr="002A7155" w:rsidRDefault="002A7155" w:rsidP="002A7155">
      <w:pPr>
        <w:ind w:firstLine="708"/>
        <w:rPr>
          <w:rFonts w:cs="Times New Roman"/>
          <w:szCs w:val="24"/>
        </w:rPr>
      </w:pPr>
    </w:p>
    <w:p w14:paraId="30D8AC0E" w14:textId="30E147B4" w:rsidR="002A7155" w:rsidRPr="002A7155" w:rsidRDefault="002A7155" w:rsidP="00040304">
      <w:pPr>
        <w:pStyle w:val="Legenda"/>
        <w:keepNext/>
        <w:spacing w:after="0"/>
        <w:ind w:firstLine="0"/>
        <w:rPr>
          <w:i w:val="0"/>
          <w:iCs w:val="0"/>
          <w:color w:val="000000" w:themeColor="text1"/>
          <w:sz w:val="22"/>
          <w:szCs w:val="22"/>
        </w:rPr>
      </w:pPr>
      <w:r w:rsidRPr="002A7155">
        <w:rPr>
          <w:b/>
          <w:bCs/>
          <w:i w:val="0"/>
          <w:iCs w:val="0"/>
          <w:color w:val="000000" w:themeColor="text1"/>
          <w:sz w:val="22"/>
          <w:szCs w:val="22"/>
        </w:rPr>
        <w:t xml:space="preserve">Tabela </w:t>
      </w:r>
      <w:r w:rsidRPr="002A7155">
        <w:rPr>
          <w:b/>
          <w:bCs/>
          <w:i w:val="0"/>
          <w:iCs w:val="0"/>
          <w:color w:val="000000" w:themeColor="text1"/>
          <w:sz w:val="22"/>
          <w:szCs w:val="22"/>
        </w:rPr>
        <w:fldChar w:fldCharType="begin"/>
      </w:r>
      <w:r w:rsidRPr="002A7155">
        <w:rPr>
          <w:b/>
          <w:bCs/>
          <w:i w:val="0"/>
          <w:iCs w:val="0"/>
          <w:color w:val="000000" w:themeColor="text1"/>
          <w:sz w:val="22"/>
          <w:szCs w:val="22"/>
        </w:rPr>
        <w:instrText xml:space="preserve"> SEQ Tabela \* ARABIC </w:instrText>
      </w:r>
      <w:r w:rsidRPr="002A7155">
        <w:rPr>
          <w:b/>
          <w:bCs/>
          <w:i w:val="0"/>
          <w:iCs w:val="0"/>
          <w:color w:val="000000" w:themeColor="text1"/>
          <w:sz w:val="22"/>
          <w:szCs w:val="22"/>
        </w:rPr>
        <w:fldChar w:fldCharType="separate"/>
      </w:r>
      <w:r>
        <w:rPr>
          <w:b/>
          <w:bCs/>
          <w:i w:val="0"/>
          <w:iCs w:val="0"/>
          <w:noProof/>
          <w:color w:val="000000" w:themeColor="text1"/>
          <w:sz w:val="22"/>
          <w:szCs w:val="22"/>
        </w:rPr>
        <w:t>3</w:t>
      </w:r>
      <w:r w:rsidRPr="002A7155">
        <w:rPr>
          <w:b/>
          <w:bCs/>
          <w:i w:val="0"/>
          <w:iCs w:val="0"/>
          <w:color w:val="000000" w:themeColor="text1"/>
          <w:sz w:val="22"/>
          <w:szCs w:val="22"/>
        </w:rPr>
        <w:fldChar w:fldCharType="end"/>
      </w:r>
      <w:r w:rsidRPr="002A7155">
        <w:rPr>
          <w:i w:val="0"/>
          <w:iCs w:val="0"/>
          <w:color w:val="000000" w:themeColor="text1"/>
          <w:sz w:val="22"/>
          <w:szCs w:val="22"/>
        </w:rPr>
        <w:t>: Remuneração em salários mínimos, na R.G.I de Pau dos Ferros, por nível de escolaridade, 2019.</w:t>
      </w:r>
    </w:p>
    <w:tbl>
      <w:tblPr>
        <w:tblStyle w:val="SimplesTabela23"/>
        <w:tblW w:w="9071" w:type="dxa"/>
        <w:jc w:val="center"/>
        <w:tblLook w:val="04A0" w:firstRow="1" w:lastRow="0" w:firstColumn="1" w:lastColumn="0" w:noHBand="0" w:noVBand="1"/>
      </w:tblPr>
      <w:tblGrid>
        <w:gridCol w:w="2763"/>
        <w:gridCol w:w="1018"/>
        <w:gridCol w:w="1245"/>
        <w:gridCol w:w="1302"/>
        <w:gridCol w:w="1302"/>
        <w:gridCol w:w="1441"/>
      </w:tblGrid>
      <w:tr w:rsidR="002A7155" w:rsidRPr="00040304" w14:paraId="2777041C" w14:textId="77777777" w:rsidTr="002A7155">
        <w:trPr>
          <w:cnfStyle w:val="100000000000" w:firstRow="1" w:lastRow="0" w:firstColumn="0" w:lastColumn="0" w:oddVBand="0" w:evenVBand="0" w:oddHBand="0" w:evenHBand="0" w:firstRowFirstColumn="0" w:firstRowLastColumn="0" w:lastRowFirstColumn="0" w:lastRowLastColumn="0"/>
          <w:trHeight w:val="9"/>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E7E6E6"/>
            <w:noWrap/>
            <w:vAlign w:val="center"/>
            <w:hideMark/>
          </w:tcPr>
          <w:p w14:paraId="47DE9C94" w14:textId="77777777" w:rsidR="002A7155" w:rsidRPr="00040304" w:rsidRDefault="002A7155" w:rsidP="002A7155">
            <w:pPr>
              <w:ind w:firstLine="0"/>
              <w:jc w:val="center"/>
              <w:rPr>
                <w:rFonts w:eastAsia="Times New Roman" w:cs="Times New Roman"/>
                <w:color w:val="000000"/>
                <w:sz w:val="22"/>
                <w:lang w:eastAsia="pt-BR"/>
              </w:rPr>
            </w:pPr>
          </w:p>
        </w:tc>
        <w:tc>
          <w:tcPr>
            <w:tcW w:w="0" w:type="auto"/>
            <w:shd w:val="clear" w:color="auto" w:fill="E7E6E6"/>
            <w:noWrap/>
            <w:vAlign w:val="center"/>
            <w:hideMark/>
          </w:tcPr>
          <w:p w14:paraId="4229ACB6" w14:textId="77777777" w:rsidR="002A7155" w:rsidRPr="00040304" w:rsidRDefault="002A7155" w:rsidP="002A7155">
            <w:pPr>
              <w:ind w:firstLine="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2"/>
                <w:lang w:eastAsia="pt-BR"/>
              </w:rPr>
            </w:pPr>
            <w:r w:rsidRPr="00040304">
              <w:rPr>
                <w:rFonts w:eastAsia="Times New Roman" w:cs="Times New Roman"/>
                <w:color w:val="000000"/>
                <w:sz w:val="22"/>
                <w:lang w:eastAsia="pt-BR"/>
              </w:rPr>
              <w:t>Até 1,50</w:t>
            </w:r>
          </w:p>
        </w:tc>
        <w:tc>
          <w:tcPr>
            <w:tcW w:w="0" w:type="auto"/>
            <w:shd w:val="clear" w:color="auto" w:fill="E7E6E6"/>
            <w:noWrap/>
            <w:vAlign w:val="center"/>
            <w:hideMark/>
          </w:tcPr>
          <w:p w14:paraId="53D39EE1" w14:textId="34DE034F" w:rsidR="002A7155" w:rsidRPr="00040304" w:rsidRDefault="002A7155" w:rsidP="002A7155">
            <w:pPr>
              <w:ind w:firstLine="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2"/>
                <w:lang w:eastAsia="pt-BR"/>
              </w:rPr>
            </w:pPr>
            <w:r w:rsidRPr="00040304">
              <w:rPr>
                <w:rFonts w:eastAsia="Times New Roman" w:cs="Times New Roman"/>
                <w:color w:val="000000"/>
                <w:sz w:val="22"/>
                <w:lang w:eastAsia="pt-BR"/>
              </w:rPr>
              <w:t>1,51 a 3,00</w:t>
            </w:r>
          </w:p>
        </w:tc>
        <w:tc>
          <w:tcPr>
            <w:tcW w:w="0" w:type="auto"/>
            <w:shd w:val="clear" w:color="auto" w:fill="E7E6E6"/>
            <w:noWrap/>
            <w:vAlign w:val="center"/>
            <w:hideMark/>
          </w:tcPr>
          <w:p w14:paraId="7882F2A1" w14:textId="43D51569" w:rsidR="002A7155" w:rsidRPr="00040304" w:rsidRDefault="002A7155" w:rsidP="002A7155">
            <w:pPr>
              <w:ind w:firstLine="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2"/>
                <w:lang w:eastAsia="pt-BR"/>
              </w:rPr>
            </w:pPr>
            <w:r w:rsidRPr="00040304">
              <w:rPr>
                <w:rFonts w:eastAsia="Times New Roman" w:cs="Times New Roman"/>
                <w:color w:val="000000"/>
                <w:sz w:val="22"/>
                <w:lang w:eastAsia="pt-BR"/>
              </w:rPr>
              <w:t xml:space="preserve"> 3,01 a 5,00</w:t>
            </w:r>
          </w:p>
        </w:tc>
        <w:tc>
          <w:tcPr>
            <w:tcW w:w="0" w:type="auto"/>
            <w:shd w:val="clear" w:color="auto" w:fill="E7E6E6"/>
            <w:noWrap/>
            <w:vAlign w:val="center"/>
            <w:hideMark/>
          </w:tcPr>
          <w:p w14:paraId="52A302F9" w14:textId="6F5640AB" w:rsidR="002A7155" w:rsidRPr="00040304" w:rsidRDefault="002A7155" w:rsidP="002A7155">
            <w:pPr>
              <w:ind w:firstLine="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2"/>
                <w:lang w:eastAsia="pt-BR"/>
              </w:rPr>
            </w:pPr>
            <w:r w:rsidRPr="00040304">
              <w:rPr>
                <w:rFonts w:eastAsia="Times New Roman" w:cs="Times New Roman"/>
                <w:color w:val="000000"/>
                <w:sz w:val="22"/>
                <w:lang w:eastAsia="pt-BR"/>
              </w:rPr>
              <w:t xml:space="preserve"> 5,01 a 10,0</w:t>
            </w:r>
          </w:p>
        </w:tc>
        <w:tc>
          <w:tcPr>
            <w:tcW w:w="0" w:type="auto"/>
            <w:shd w:val="clear" w:color="auto" w:fill="E7E6E6"/>
            <w:noWrap/>
            <w:vAlign w:val="center"/>
            <w:hideMark/>
          </w:tcPr>
          <w:p w14:paraId="52B5E74B" w14:textId="77777777" w:rsidR="002A7155" w:rsidRPr="00040304" w:rsidRDefault="002A7155" w:rsidP="002A7155">
            <w:pPr>
              <w:ind w:firstLine="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2"/>
                <w:lang w:eastAsia="pt-BR"/>
              </w:rPr>
            </w:pPr>
            <w:r w:rsidRPr="00040304">
              <w:rPr>
                <w:rFonts w:eastAsia="Times New Roman" w:cs="Times New Roman"/>
                <w:color w:val="000000"/>
                <w:sz w:val="22"/>
                <w:lang w:eastAsia="pt-BR"/>
              </w:rPr>
              <w:t>Mais de 10,1</w:t>
            </w:r>
          </w:p>
        </w:tc>
      </w:tr>
      <w:tr w:rsidR="002A7155" w:rsidRPr="00040304" w14:paraId="4BFF6022" w14:textId="77777777" w:rsidTr="002A7155">
        <w:trPr>
          <w:cnfStyle w:val="000000100000" w:firstRow="0" w:lastRow="0" w:firstColumn="0" w:lastColumn="0" w:oddVBand="0" w:evenVBand="0" w:oddHBand="1" w:evenHBand="0" w:firstRowFirstColumn="0" w:firstRowLastColumn="0" w:lastRowFirstColumn="0" w:lastRowLastColumn="0"/>
          <w:trHeight w:val="9"/>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E7E6E6"/>
            <w:noWrap/>
            <w:vAlign w:val="center"/>
          </w:tcPr>
          <w:p w14:paraId="1BE5742D" w14:textId="77777777" w:rsidR="002A7155" w:rsidRPr="00040304" w:rsidRDefault="002A7155" w:rsidP="002A7155">
            <w:pPr>
              <w:ind w:firstLine="0"/>
              <w:jc w:val="center"/>
              <w:rPr>
                <w:rFonts w:eastAsia="Times New Roman" w:cs="Times New Roman"/>
                <w:color w:val="000000"/>
                <w:sz w:val="22"/>
                <w:lang w:eastAsia="pt-BR"/>
              </w:rPr>
            </w:pPr>
            <w:r w:rsidRPr="00040304">
              <w:rPr>
                <w:rFonts w:eastAsia="Times New Roman" w:cs="Times New Roman"/>
                <w:color w:val="000000"/>
                <w:sz w:val="22"/>
                <w:lang w:eastAsia="pt-BR"/>
              </w:rPr>
              <w:t>Analfabeto</w:t>
            </w:r>
          </w:p>
        </w:tc>
        <w:tc>
          <w:tcPr>
            <w:tcW w:w="0" w:type="auto"/>
            <w:noWrap/>
            <w:vAlign w:val="center"/>
          </w:tcPr>
          <w:p w14:paraId="4CA69932" w14:textId="77777777" w:rsidR="002A7155" w:rsidRPr="00040304" w:rsidRDefault="002A7155" w:rsidP="002A7155">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pt-BR"/>
              </w:rPr>
            </w:pPr>
            <w:r w:rsidRPr="00040304">
              <w:rPr>
                <w:rFonts w:eastAsia="Times New Roman" w:cs="Times New Roman"/>
                <w:color w:val="000000"/>
                <w:sz w:val="22"/>
                <w:lang w:eastAsia="pt-BR"/>
              </w:rPr>
              <w:t>66</w:t>
            </w:r>
          </w:p>
        </w:tc>
        <w:tc>
          <w:tcPr>
            <w:tcW w:w="0" w:type="auto"/>
            <w:noWrap/>
            <w:vAlign w:val="center"/>
          </w:tcPr>
          <w:p w14:paraId="2E4FEB82" w14:textId="77777777" w:rsidR="002A7155" w:rsidRPr="00040304" w:rsidRDefault="002A7155" w:rsidP="002A7155">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pt-BR"/>
              </w:rPr>
            </w:pPr>
            <w:r w:rsidRPr="00040304">
              <w:rPr>
                <w:rFonts w:eastAsia="Times New Roman" w:cs="Times New Roman"/>
                <w:color w:val="000000"/>
                <w:sz w:val="22"/>
                <w:lang w:eastAsia="pt-BR"/>
              </w:rPr>
              <w:t>14</w:t>
            </w:r>
          </w:p>
        </w:tc>
        <w:tc>
          <w:tcPr>
            <w:tcW w:w="0" w:type="auto"/>
            <w:noWrap/>
            <w:vAlign w:val="center"/>
          </w:tcPr>
          <w:p w14:paraId="4B0A939F" w14:textId="77777777" w:rsidR="002A7155" w:rsidRPr="00040304" w:rsidRDefault="002A7155" w:rsidP="002A7155">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pt-BR"/>
              </w:rPr>
            </w:pPr>
            <w:r w:rsidRPr="00040304">
              <w:rPr>
                <w:rFonts w:eastAsia="Times New Roman" w:cs="Times New Roman"/>
                <w:color w:val="000000"/>
                <w:sz w:val="22"/>
                <w:lang w:eastAsia="pt-BR"/>
              </w:rPr>
              <w:t>0</w:t>
            </w:r>
          </w:p>
        </w:tc>
        <w:tc>
          <w:tcPr>
            <w:tcW w:w="0" w:type="auto"/>
            <w:noWrap/>
            <w:vAlign w:val="center"/>
          </w:tcPr>
          <w:p w14:paraId="6FCE19D8" w14:textId="77777777" w:rsidR="002A7155" w:rsidRPr="00040304" w:rsidRDefault="002A7155" w:rsidP="002A7155">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pt-BR"/>
              </w:rPr>
            </w:pPr>
            <w:r w:rsidRPr="00040304">
              <w:rPr>
                <w:rFonts w:eastAsia="Times New Roman" w:cs="Times New Roman"/>
                <w:color w:val="000000"/>
                <w:sz w:val="22"/>
                <w:lang w:eastAsia="pt-BR"/>
              </w:rPr>
              <w:t>0</w:t>
            </w:r>
          </w:p>
        </w:tc>
        <w:tc>
          <w:tcPr>
            <w:tcW w:w="0" w:type="auto"/>
            <w:noWrap/>
            <w:vAlign w:val="center"/>
          </w:tcPr>
          <w:p w14:paraId="50C26090" w14:textId="77777777" w:rsidR="002A7155" w:rsidRPr="00040304" w:rsidRDefault="002A7155" w:rsidP="002A7155">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pt-BR"/>
              </w:rPr>
            </w:pPr>
            <w:r w:rsidRPr="00040304">
              <w:rPr>
                <w:rFonts w:eastAsia="Times New Roman" w:cs="Times New Roman"/>
                <w:color w:val="000000"/>
                <w:sz w:val="22"/>
                <w:lang w:eastAsia="pt-BR"/>
              </w:rPr>
              <w:t>0</w:t>
            </w:r>
          </w:p>
        </w:tc>
      </w:tr>
      <w:tr w:rsidR="002A7155" w:rsidRPr="00040304" w14:paraId="1031BD27" w14:textId="77777777" w:rsidTr="002A7155">
        <w:trPr>
          <w:trHeight w:val="9"/>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E7E6E6"/>
            <w:noWrap/>
            <w:vAlign w:val="center"/>
          </w:tcPr>
          <w:p w14:paraId="1F17E0CE" w14:textId="77777777" w:rsidR="002A7155" w:rsidRPr="00040304" w:rsidRDefault="002A7155" w:rsidP="002A7155">
            <w:pPr>
              <w:ind w:firstLine="0"/>
              <w:jc w:val="center"/>
              <w:rPr>
                <w:rFonts w:eastAsia="Times New Roman" w:cs="Times New Roman"/>
                <w:color w:val="000000"/>
                <w:sz w:val="22"/>
                <w:lang w:eastAsia="pt-BR"/>
              </w:rPr>
            </w:pPr>
            <w:r w:rsidRPr="00040304">
              <w:rPr>
                <w:rFonts w:eastAsia="Times New Roman" w:cs="Times New Roman"/>
                <w:color w:val="000000"/>
                <w:sz w:val="22"/>
                <w:lang w:eastAsia="pt-BR"/>
              </w:rPr>
              <w:t>Até 5ª Incompleto</w:t>
            </w:r>
          </w:p>
        </w:tc>
        <w:tc>
          <w:tcPr>
            <w:tcW w:w="0" w:type="auto"/>
            <w:noWrap/>
            <w:vAlign w:val="center"/>
          </w:tcPr>
          <w:p w14:paraId="7217FA40" w14:textId="77777777" w:rsidR="002A7155" w:rsidRPr="00040304" w:rsidRDefault="002A7155" w:rsidP="002A7155">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pt-BR"/>
              </w:rPr>
            </w:pPr>
            <w:r w:rsidRPr="00040304">
              <w:rPr>
                <w:rFonts w:eastAsia="Times New Roman" w:cs="Times New Roman"/>
                <w:color w:val="000000"/>
                <w:sz w:val="22"/>
                <w:lang w:eastAsia="pt-BR"/>
              </w:rPr>
              <w:t>397</w:t>
            </w:r>
          </w:p>
        </w:tc>
        <w:tc>
          <w:tcPr>
            <w:tcW w:w="0" w:type="auto"/>
            <w:noWrap/>
            <w:vAlign w:val="center"/>
          </w:tcPr>
          <w:p w14:paraId="1CE86B07" w14:textId="77777777" w:rsidR="002A7155" w:rsidRPr="00040304" w:rsidRDefault="002A7155" w:rsidP="002A7155">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pt-BR"/>
              </w:rPr>
            </w:pPr>
            <w:r w:rsidRPr="00040304">
              <w:rPr>
                <w:rFonts w:eastAsia="Times New Roman" w:cs="Times New Roman"/>
                <w:color w:val="000000"/>
                <w:sz w:val="22"/>
                <w:lang w:eastAsia="pt-BR"/>
              </w:rPr>
              <w:t>85</w:t>
            </w:r>
          </w:p>
        </w:tc>
        <w:tc>
          <w:tcPr>
            <w:tcW w:w="0" w:type="auto"/>
            <w:noWrap/>
            <w:vAlign w:val="center"/>
          </w:tcPr>
          <w:p w14:paraId="1B5EB619" w14:textId="77777777" w:rsidR="002A7155" w:rsidRPr="00040304" w:rsidRDefault="002A7155" w:rsidP="002A7155">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pt-BR"/>
              </w:rPr>
            </w:pPr>
            <w:r w:rsidRPr="00040304">
              <w:rPr>
                <w:rFonts w:eastAsia="Times New Roman" w:cs="Times New Roman"/>
                <w:color w:val="000000"/>
                <w:sz w:val="22"/>
                <w:lang w:eastAsia="pt-BR"/>
              </w:rPr>
              <w:t>2</w:t>
            </w:r>
          </w:p>
        </w:tc>
        <w:tc>
          <w:tcPr>
            <w:tcW w:w="0" w:type="auto"/>
            <w:noWrap/>
            <w:vAlign w:val="center"/>
          </w:tcPr>
          <w:p w14:paraId="1B7CACA9" w14:textId="77777777" w:rsidR="002A7155" w:rsidRPr="00040304" w:rsidRDefault="002A7155" w:rsidP="002A7155">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pt-BR"/>
              </w:rPr>
            </w:pPr>
            <w:r w:rsidRPr="00040304">
              <w:rPr>
                <w:rFonts w:eastAsia="Times New Roman" w:cs="Times New Roman"/>
                <w:color w:val="000000"/>
                <w:sz w:val="22"/>
                <w:lang w:eastAsia="pt-BR"/>
              </w:rPr>
              <w:t>0</w:t>
            </w:r>
          </w:p>
        </w:tc>
        <w:tc>
          <w:tcPr>
            <w:tcW w:w="0" w:type="auto"/>
            <w:noWrap/>
            <w:vAlign w:val="center"/>
          </w:tcPr>
          <w:p w14:paraId="18F87F20" w14:textId="77777777" w:rsidR="002A7155" w:rsidRPr="00040304" w:rsidRDefault="002A7155" w:rsidP="002A7155">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pt-BR"/>
              </w:rPr>
            </w:pPr>
            <w:r w:rsidRPr="00040304">
              <w:rPr>
                <w:rFonts w:eastAsia="Times New Roman" w:cs="Times New Roman"/>
                <w:color w:val="000000"/>
                <w:sz w:val="22"/>
                <w:lang w:eastAsia="pt-BR"/>
              </w:rPr>
              <w:t>0</w:t>
            </w:r>
          </w:p>
        </w:tc>
      </w:tr>
      <w:tr w:rsidR="002A7155" w:rsidRPr="00040304" w14:paraId="0F2358C8" w14:textId="77777777" w:rsidTr="002A7155">
        <w:trPr>
          <w:cnfStyle w:val="000000100000" w:firstRow="0" w:lastRow="0" w:firstColumn="0" w:lastColumn="0" w:oddVBand="0" w:evenVBand="0" w:oddHBand="1" w:evenHBand="0" w:firstRowFirstColumn="0" w:firstRowLastColumn="0" w:lastRowFirstColumn="0" w:lastRowLastColumn="0"/>
          <w:trHeight w:val="9"/>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E7E6E6"/>
            <w:noWrap/>
            <w:vAlign w:val="center"/>
            <w:hideMark/>
          </w:tcPr>
          <w:p w14:paraId="5F32426E" w14:textId="77777777" w:rsidR="002A7155" w:rsidRPr="00040304" w:rsidRDefault="002A7155" w:rsidP="002A7155">
            <w:pPr>
              <w:ind w:firstLine="0"/>
              <w:jc w:val="center"/>
              <w:rPr>
                <w:rFonts w:eastAsia="Times New Roman" w:cs="Times New Roman"/>
                <w:color w:val="000000"/>
                <w:sz w:val="22"/>
                <w:lang w:eastAsia="pt-BR"/>
              </w:rPr>
            </w:pPr>
            <w:r w:rsidRPr="00040304">
              <w:rPr>
                <w:rFonts w:eastAsia="Times New Roman" w:cs="Times New Roman"/>
                <w:color w:val="000000"/>
                <w:sz w:val="22"/>
                <w:lang w:eastAsia="pt-BR"/>
              </w:rPr>
              <w:t>5ª Completo Fundamental</w:t>
            </w:r>
          </w:p>
        </w:tc>
        <w:tc>
          <w:tcPr>
            <w:tcW w:w="0" w:type="auto"/>
            <w:noWrap/>
            <w:vAlign w:val="center"/>
            <w:hideMark/>
          </w:tcPr>
          <w:p w14:paraId="262B57D2" w14:textId="77777777" w:rsidR="002A7155" w:rsidRPr="00040304" w:rsidRDefault="002A7155" w:rsidP="002A7155">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pt-BR"/>
              </w:rPr>
            </w:pPr>
            <w:r w:rsidRPr="00040304">
              <w:rPr>
                <w:rFonts w:eastAsia="Times New Roman" w:cs="Times New Roman"/>
                <w:color w:val="000000"/>
                <w:sz w:val="22"/>
                <w:lang w:eastAsia="pt-BR"/>
              </w:rPr>
              <w:t>251</w:t>
            </w:r>
          </w:p>
        </w:tc>
        <w:tc>
          <w:tcPr>
            <w:tcW w:w="0" w:type="auto"/>
            <w:noWrap/>
            <w:vAlign w:val="center"/>
            <w:hideMark/>
          </w:tcPr>
          <w:p w14:paraId="67D4CF4E" w14:textId="77777777" w:rsidR="002A7155" w:rsidRPr="00040304" w:rsidRDefault="002A7155" w:rsidP="002A7155">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pt-BR"/>
              </w:rPr>
            </w:pPr>
            <w:r w:rsidRPr="00040304">
              <w:rPr>
                <w:rFonts w:eastAsia="Times New Roman" w:cs="Times New Roman"/>
                <w:color w:val="000000"/>
                <w:sz w:val="22"/>
                <w:lang w:eastAsia="pt-BR"/>
              </w:rPr>
              <w:t>62</w:t>
            </w:r>
          </w:p>
        </w:tc>
        <w:tc>
          <w:tcPr>
            <w:tcW w:w="0" w:type="auto"/>
            <w:noWrap/>
            <w:vAlign w:val="center"/>
            <w:hideMark/>
          </w:tcPr>
          <w:p w14:paraId="6A21D021" w14:textId="77777777" w:rsidR="002A7155" w:rsidRPr="00040304" w:rsidRDefault="002A7155" w:rsidP="002A7155">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pt-BR"/>
              </w:rPr>
            </w:pPr>
            <w:r w:rsidRPr="00040304">
              <w:rPr>
                <w:rFonts w:eastAsia="Times New Roman" w:cs="Times New Roman"/>
                <w:color w:val="000000"/>
                <w:sz w:val="22"/>
                <w:lang w:eastAsia="pt-BR"/>
              </w:rPr>
              <w:t>0</w:t>
            </w:r>
          </w:p>
        </w:tc>
        <w:tc>
          <w:tcPr>
            <w:tcW w:w="0" w:type="auto"/>
            <w:noWrap/>
            <w:vAlign w:val="center"/>
            <w:hideMark/>
          </w:tcPr>
          <w:p w14:paraId="2E3A784D" w14:textId="77777777" w:rsidR="002A7155" w:rsidRPr="00040304" w:rsidRDefault="002A7155" w:rsidP="002A7155">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pt-BR"/>
              </w:rPr>
            </w:pPr>
            <w:r w:rsidRPr="00040304">
              <w:rPr>
                <w:rFonts w:eastAsia="Times New Roman" w:cs="Times New Roman"/>
                <w:color w:val="000000"/>
                <w:sz w:val="22"/>
                <w:lang w:eastAsia="pt-BR"/>
              </w:rPr>
              <w:t>0</w:t>
            </w:r>
          </w:p>
        </w:tc>
        <w:tc>
          <w:tcPr>
            <w:tcW w:w="0" w:type="auto"/>
            <w:noWrap/>
            <w:vAlign w:val="center"/>
            <w:hideMark/>
          </w:tcPr>
          <w:p w14:paraId="1425F48C" w14:textId="77777777" w:rsidR="002A7155" w:rsidRPr="00040304" w:rsidRDefault="002A7155" w:rsidP="002A7155">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pt-BR"/>
              </w:rPr>
            </w:pPr>
            <w:r w:rsidRPr="00040304">
              <w:rPr>
                <w:rFonts w:eastAsia="Times New Roman" w:cs="Times New Roman"/>
                <w:color w:val="000000"/>
                <w:sz w:val="22"/>
                <w:lang w:eastAsia="pt-BR"/>
              </w:rPr>
              <w:t>0</w:t>
            </w:r>
          </w:p>
        </w:tc>
      </w:tr>
      <w:tr w:rsidR="002A7155" w:rsidRPr="00040304" w14:paraId="2D20F012" w14:textId="77777777" w:rsidTr="002A7155">
        <w:trPr>
          <w:trHeight w:val="9"/>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E7E6E6"/>
            <w:noWrap/>
            <w:vAlign w:val="center"/>
            <w:hideMark/>
          </w:tcPr>
          <w:p w14:paraId="5A11B3CA" w14:textId="77777777" w:rsidR="002A7155" w:rsidRPr="00040304" w:rsidRDefault="002A7155" w:rsidP="002A7155">
            <w:pPr>
              <w:ind w:firstLine="0"/>
              <w:jc w:val="center"/>
              <w:rPr>
                <w:rFonts w:eastAsia="Times New Roman" w:cs="Times New Roman"/>
                <w:color w:val="000000"/>
                <w:sz w:val="22"/>
                <w:lang w:eastAsia="pt-BR"/>
              </w:rPr>
            </w:pPr>
            <w:r w:rsidRPr="00040304">
              <w:rPr>
                <w:rFonts w:eastAsia="Times New Roman" w:cs="Times New Roman"/>
                <w:color w:val="000000"/>
                <w:sz w:val="22"/>
                <w:lang w:eastAsia="pt-BR"/>
              </w:rPr>
              <w:t>6ª a 9ª Fundamental</w:t>
            </w:r>
          </w:p>
        </w:tc>
        <w:tc>
          <w:tcPr>
            <w:tcW w:w="0" w:type="auto"/>
            <w:noWrap/>
            <w:vAlign w:val="center"/>
            <w:hideMark/>
          </w:tcPr>
          <w:p w14:paraId="742B42FE" w14:textId="77777777" w:rsidR="002A7155" w:rsidRPr="00040304" w:rsidRDefault="002A7155" w:rsidP="002A7155">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pt-BR"/>
              </w:rPr>
            </w:pPr>
            <w:r w:rsidRPr="00040304">
              <w:rPr>
                <w:rFonts w:eastAsia="Times New Roman" w:cs="Times New Roman"/>
                <w:color w:val="000000"/>
                <w:sz w:val="22"/>
                <w:lang w:eastAsia="pt-BR"/>
              </w:rPr>
              <w:t>445</w:t>
            </w:r>
          </w:p>
        </w:tc>
        <w:tc>
          <w:tcPr>
            <w:tcW w:w="0" w:type="auto"/>
            <w:noWrap/>
            <w:vAlign w:val="center"/>
            <w:hideMark/>
          </w:tcPr>
          <w:p w14:paraId="3AB5F8B8" w14:textId="77777777" w:rsidR="002A7155" w:rsidRPr="00040304" w:rsidRDefault="002A7155" w:rsidP="002A7155">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pt-BR"/>
              </w:rPr>
            </w:pPr>
            <w:r w:rsidRPr="00040304">
              <w:rPr>
                <w:rFonts w:eastAsia="Times New Roman" w:cs="Times New Roman"/>
                <w:color w:val="000000"/>
                <w:sz w:val="22"/>
                <w:lang w:eastAsia="pt-BR"/>
              </w:rPr>
              <w:t>80</w:t>
            </w:r>
          </w:p>
        </w:tc>
        <w:tc>
          <w:tcPr>
            <w:tcW w:w="0" w:type="auto"/>
            <w:noWrap/>
            <w:vAlign w:val="center"/>
            <w:hideMark/>
          </w:tcPr>
          <w:p w14:paraId="72137ACA" w14:textId="77777777" w:rsidR="002A7155" w:rsidRPr="00040304" w:rsidRDefault="002A7155" w:rsidP="002A7155">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pt-BR"/>
              </w:rPr>
            </w:pPr>
            <w:r w:rsidRPr="00040304">
              <w:rPr>
                <w:rFonts w:eastAsia="Times New Roman" w:cs="Times New Roman"/>
                <w:color w:val="000000"/>
                <w:sz w:val="22"/>
                <w:lang w:eastAsia="pt-BR"/>
              </w:rPr>
              <w:t>3</w:t>
            </w:r>
          </w:p>
        </w:tc>
        <w:tc>
          <w:tcPr>
            <w:tcW w:w="0" w:type="auto"/>
            <w:noWrap/>
            <w:vAlign w:val="center"/>
            <w:hideMark/>
          </w:tcPr>
          <w:p w14:paraId="705A9051" w14:textId="77777777" w:rsidR="002A7155" w:rsidRPr="00040304" w:rsidRDefault="002A7155" w:rsidP="002A7155">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pt-BR"/>
              </w:rPr>
            </w:pPr>
            <w:r w:rsidRPr="00040304">
              <w:rPr>
                <w:rFonts w:eastAsia="Times New Roman" w:cs="Times New Roman"/>
                <w:color w:val="000000"/>
                <w:sz w:val="22"/>
                <w:lang w:eastAsia="pt-BR"/>
              </w:rPr>
              <w:t>2</w:t>
            </w:r>
          </w:p>
        </w:tc>
        <w:tc>
          <w:tcPr>
            <w:tcW w:w="0" w:type="auto"/>
            <w:noWrap/>
            <w:vAlign w:val="center"/>
            <w:hideMark/>
          </w:tcPr>
          <w:p w14:paraId="5D5F53DB" w14:textId="77777777" w:rsidR="002A7155" w:rsidRPr="00040304" w:rsidRDefault="002A7155" w:rsidP="002A7155">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pt-BR"/>
              </w:rPr>
            </w:pPr>
            <w:r w:rsidRPr="00040304">
              <w:rPr>
                <w:rFonts w:eastAsia="Times New Roman" w:cs="Times New Roman"/>
                <w:color w:val="000000"/>
                <w:sz w:val="22"/>
                <w:lang w:eastAsia="pt-BR"/>
              </w:rPr>
              <w:t>0</w:t>
            </w:r>
          </w:p>
        </w:tc>
      </w:tr>
      <w:tr w:rsidR="002A7155" w:rsidRPr="00040304" w14:paraId="53D42710" w14:textId="77777777" w:rsidTr="002A7155">
        <w:trPr>
          <w:cnfStyle w:val="000000100000" w:firstRow="0" w:lastRow="0" w:firstColumn="0" w:lastColumn="0" w:oddVBand="0" w:evenVBand="0" w:oddHBand="1" w:evenHBand="0" w:firstRowFirstColumn="0" w:firstRowLastColumn="0" w:lastRowFirstColumn="0" w:lastRowLastColumn="0"/>
          <w:trHeight w:val="9"/>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E7E6E6"/>
            <w:noWrap/>
            <w:vAlign w:val="center"/>
            <w:hideMark/>
          </w:tcPr>
          <w:p w14:paraId="63A6B183" w14:textId="77777777" w:rsidR="002A7155" w:rsidRPr="00040304" w:rsidRDefault="002A7155" w:rsidP="002A7155">
            <w:pPr>
              <w:ind w:firstLine="0"/>
              <w:jc w:val="center"/>
              <w:rPr>
                <w:rFonts w:eastAsia="Times New Roman" w:cs="Times New Roman"/>
                <w:color w:val="000000"/>
                <w:sz w:val="22"/>
                <w:lang w:eastAsia="pt-BR"/>
              </w:rPr>
            </w:pPr>
            <w:r w:rsidRPr="00040304">
              <w:rPr>
                <w:rFonts w:eastAsia="Times New Roman" w:cs="Times New Roman"/>
                <w:color w:val="000000"/>
                <w:sz w:val="22"/>
                <w:lang w:eastAsia="pt-BR"/>
              </w:rPr>
              <w:t>Fundamental Completo</w:t>
            </w:r>
          </w:p>
        </w:tc>
        <w:tc>
          <w:tcPr>
            <w:tcW w:w="0" w:type="auto"/>
            <w:noWrap/>
            <w:vAlign w:val="center"/>
            <w:hideMark/>
          </w:tcPr>
          <w:p w14:paraId="0CF4D9AA" w14:textId="77777777" w:rsidR="002A7155" w:rsidRPr="00040304" w:rsidRDefault="002A7155" w:rsidP="002A7155">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pt-BR"/>
              </w:rPr>
            </w:pPr>
            <w:r w:rsidRPr="00040304">
              <w:rPr>
                <w:rFonts w:eastAsia="Times New Roman" w:cs="Times New Roman"/>
                <w:color w:val="000000"/>
                <w:sz w:val="22"/>
                <w:lang w:eastAsia="pt-BR"/>
              </w:rPr>
              <w:t>834</w:t>
            </w:r>
          </w:p>
        </w:tc>
        <w:tc>
          <w:tcPr>
            <w:tcW w:w="0" w:type="auto"/>
            <w:noWrap/>
            <w:vAlign w:val="center"/>
            <w:hideMark/>
          </w:tcPr>
          <w:p w14:paraId="284F17E4" w14:textId="77777777" w:rsidR="002A7155" w:rsidRPr="00040304" w:rsidRDefault="002A7155" w:rsidP="002A7155">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pt-BR"/>
              </w:rPr>
            </w:pPr>
            <w:r w:rsidRPr="00040304">
              <w:rPr>
                <w:rFonts w:eastAsia="Times New Roman" w:cs="Times New Roman"/>
                <w:color w:val="000000"/>
                <w:sz w:val="22"/>
                <w:lang w:eastAsia="pt-BR"/>
              </w:rPr>
              <w:t>136</w:t>
            </w:r>
          </w:p>
        </w:tc>
        <w:tc>
          <w:tcPr>
            <w:tcW w:w="0" w:type="auto"/>
            <w:noWrap/>
            <w:vAlign w:val="center"/>
            <w:hideMark/>
          </w:tcPr>
          <w:p w14:paraId="7D544417" w14:textId="77777777" w:rsidR="002A7155" w:rsidRPr="00040304" w:rsidRDefault="002A7155" w:rsidP="002A7155">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pt-BR"/>
              </w:rPr>
            </w:pPr>
            <w:r w:rsidRPr="00040304">
              <w:rPr>
                <w:rFonts w:eastAsia="Times New Roman" w:cs="Times New Roman"/>
                <w:color w:val="000000"/>
                <w:sz w:val="22"/>
                <w:lang w:eastAsia="pt-BR"/>
              </w:rPr>
              <w:t>20</w:t>
            </w:r>
          </w:p>
        </w:tc>
        <w:tc>
          <w:tcPr>
            <w:tcW w:w="0" w:type="auto"/>
            <w:noWrap/>
            <w:vAlign w:val="center"/>
            <w:hideMark/>
          </w:tcPr>
          <w:p w14:paraId="24C52463" w14:textId="77777777" w:rsidR="002A7155" w:rsidRPr="00040304" w:rsidRDefault="002A7155" w:rsidP="002A7155">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pt-BR"/>
              </w:rPr>
            </w:pPr>
            <w:r w:rsidRPr="00040304">
              <w:rPr>
                <w:rFonts w:eastAsia="Times New Roman" w:cs="Times New Roman"/>
                <w:color w:val="000000"/>
                <w:sz w:val="22"/>
                <w:lang w:eastAsia="pt-BR"/>
              </w:rPr>
              <w:t>8</w:t>
            </w:r>
          </w:p>
        </w:tc>
        <w:tc>
          <w:tcPr>
            <w:tcW w:w="0" w:type="auto"/>
            <w:noWrap/>
            <w:vAlign w:val="center"/>
            <w:hideMark/>
          </w:tcPr>
          <w:p w14:paraId="3A11B186" w14:textId="77777777" w:rsidR="002A7155" w:rsidRPr="00040304" w:rsidRDefault="002A7155" w:rsidP="002A7155">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pt-BR"/>
              </w:rPr>
            </w:pPr>
            <w:r w:rsidRPr="00040304">
              <w:rPr>
                <w:rFonts w:eastAsia="Times New Roman" w:cs="Times New Roman"/>
                <w:color w:val="000000"/>
                <w:sz w:val="22"/>
                <w:lang w:eastAsia="pt-BR"/>
              </w:rPr>
              <w:t>0</w:t>
            </w:r>
          </w:p>
        </w:tc>
      </w:tr>
      <w:tr w:rsidR="002A7155" w:rsidRPr="00040304" w14:paraId="3C7FB24F" w14:textId="77777777" w:rsidTr="002A7155">
        <w:trPr>
          <w:trHeight w:val="9"/>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E7E6E6"/>
            <w:noWrap/>
            <w:vAlign w:val="center"/>
          </w:tcPr>
          <w:p w14:paraId="0CEB724C" w14:textId="77777777" w:rsidR="002A7155" w:rsidRPr="00040304" w:rsidRDefault="002A7155" w:rsidP="002A7155">
            <w:pPr>
              <w:ind w:firstLine="0"/>
              <w:jc w:val="center"/>
              <w:rPr>
                <w:rFonts w:eastAsia="Times New Roman" w:cs="Times New Roman"/>
                <w:color w:val="000000"/>
                <w:sz w:val="22"/>
                <w:lang w:eastAsia="pt-BR"/>
              </w:rPr>
            </w:pPr>
            <w:r w:rsidRPr="00040304">
              <w:rPr>
                <w:rFonts w:eastAsia="Times New Roman" w:cs="Times New Roman"/>
                <w:color w:val="000000"/>
                <w:sz w:val="22"/>
                <w:lang w:eastAsia="pt-BR"/>
              </w:rPr>
              <w:t>Médio Incompleto</w:t>
            </w:r>
          </w:p>
        </w:tc>
        <w:tc>
          <w:tcPr>
            <w:tcW w:w="0" w:type="auto"/>
            <w:noWrap/>
            <w:vAlign w:val="center"/>
          </w:tcPr>
          <w:p w14:paraId="3F8C8D26" w14:textId="77777777" w:rsidR="002A7155" w:rsidRPr="00040304" w:rsidRDefault="002A7155" w:rsidP="002A7155">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pt-BR"/>
              </w:rPr>
            </w:pPr>
            <w:r w:rsidRPr="00040304">
              <w:rPr>
                <w:rFonts w:eastAsia="Times New Roman" w:cs="Times New Roman"/>
                <w:color w:val="000000"/>
                <w:sz w:val="22"/>
                <w:lang w:eastAsia="pt-BR"/>
              </w:rPr>
              <w:t>439</w:t>
            </w:r>
          </w:p>
        </w:tc>
        <w:tc>
          <w:tcPr>
            <w:tcW w:w="0" w:type="auto"/>
            <w:noWrap/>
            <w:vAlign w:val="center"/>
          </w:tcPr>
          <w:p w14:paraId="0E0FC5D9" w14:textId="77777777" w:rsidR="002A7155" w:rsidRPr="00040304" w:rsidRDefault="002A7155" w:rsidP="002A7155">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pt-BR"/>
              </w:rPr>
            </w:pPr>
            <w:r w:rsidRPr="00040304">
              <w:rPr>
                <w:rFonts w:eastAsia="Times New Roman" w:cs="Times New Roman"/>
                <w:color w:val="000000"/>
                <w:sz w:val="22"/>
                <w:lang w:eastAsia="pt-BR"/>
              </w:rPr>
              <w:t>90</w:t>
            </w:r>
          </w:p>
        </w:tc>
        <w:tc>
          <w:tcPr>
            <w:tcW w:w="0" w:type="auto"/>
            <w:noWrap/>
            <w:vAlign w:val="center"/>
          </w:tcPr>
          <w:p w14:paraId="0E25BD8C" w14:textId="77777777" w:rsidR="002A7155" w:rsidRPr="00040304" w:rsidRDefault="002A7155" w:rsidP="002A7155">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pt-BR"/>
              </w:rPr>
            </w:pPr>
            <w:r w:rsidRPr="00040304">
              <w:rPr>
                <w:rFonts w:eastAsia="Times New Roman" w:cs="Times New Roman"/>
                <w:color w:val="000000"/>
                <w:sz w:val="22"/>
                <w:lang w:eastAsia="pt-BR"/>
              </w:rPr>
              <w:t>10</w:t>
            </w:r>
          </w:p>
        </w:tc>
        <w:tc>
          <w:tcPr>
            <w:tcW w:w="0" w:type="auto"/>
            <w:noWrap/>
            <w:vAlign w:val="center"/>
          </w:tcPr>
          <w:p w14:paraId="58E561AD" w14:textId="77777777" w:rsidR="002A7155" w:rsidRPr="00040304" w:rsidRDefault="002A7155" w:rsidP="002A7155">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pt-BR"/>
              </w:rPr>
            </w:pPr>
            <w:r w:rsidRPr="00040304">
              <w:rPr>
                <w:rFonts w:eastAsia="Times New Roman" w:cs="Times New Roman"/>
                <w:color w:val="000000"/>
                <w:sz w:val="22"/>
                <w:lang w:eastAsia="pt-BR"/>
              </w:rPr>
              <w:t>2</w:t>
            </w:r>
          </w:p>
        </w:tc>
        <w:tc>
          <w:tcPr>
            <w:tcW w:w="0" w:type="auto"/>
            <w:noWrap/>
            <w:vAlign w:val="center"/>
          </w:tcPr>
          <w:p w14:paraId="72E0FE10" w14:textId="77777777" w:rsidR="002A7155" w:rsidRPr="00040304" w:rsidRDefault="002A7155" w:rsidP="002A7155">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pt-BR"/>
              </w:rPr>
            </w:pPr>
            <w:r w:rsidRPr="00040304">
              <w:rPr>
                <w:rFonts w:eastAsia="Times New Roman" w:cs="Times New Roman"/>
                <w:color w:val="000000"/>
                <w:sz w:val="22"/>
                <w:lang w:eastAsia="pt-BR"/>
              </w:rPr>
              <w:t>0</w:t>
            </w:r>
          </w:p>
        </w:tc>
      </w:tr>
      <w:tr w:rsidR="002A7155" w:rsidRPr="00040304" w14:paraId="78BAE34C" w14:textId="77777777" w:rsidTr="002A7155">
        <w:trPr>
          <w:cnfStyle w:val="000000100000" w:firstRow="0" w:lastRow="0" w:firstColumn="0" w:lastColumn="0" w:oddVBand="0" w:evenVBand="0" w:oddHBand="1" w:evenHBand="0" w:firstRowFirstColumn="0" w:firstRowLastColumn="0" w:lastRowFirstColumn="0" w:lastRowLastColumn="0"/>
          <w:trHeight w:val="9"/>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E7E6E6"/>
            <w:noWrap/>
            <w:vAlign w:val="center"/>
            <w:hideMark/>
          </w:tcPr>
          <w:p w14:paraId="09E85C57" w14:textId="77777777" w:rsidR="002A7155" w:rsidRPr="00040304" w:rsidRDefault="002A7155" w:rsidP="002A7155">
            <w:pPr>
              <w:ind w:firstLine="0"/>
              <w:jc w:val="center"/>
              <w:rPr>
                <w:rFonts w:eastAsia="Times New Roman" w:cs="Times New Roman"/>
                <w:color w:val="000000"/>
                <w:sz w:val="22"/>
                <w:lang w:eastAsia="pt-BR"/>
              </w:rPr>
            </w:pPr>
            <w:r w:rsidRPr="00040304">
              <w:rPr>
                <w:rFonts w:eastAsia="Times New Roman" w:cs="Times New Roman"/>
                <w:color w:val="000000"/>
                <w:sz w:val="22"/>
                <w:lang w:eastAsia="pt-BR"/>
              </w:rPr>
              <w:t>Médio Completo</w:t>
            </w:r>
          </w:p>
        </w:tc>
        <w:tc>
          <w:tcPr>
            <w:tcW w:w="0" w:type="auto"/>
            <w:noWrap/>
            <w:vAlign w:val="center"/>
            <w:hideMark/>
          </w:tcPr>
          <w:p w14:paraId="322B2EB4" w14:textId="77777777" w:rsidR="002A7155" w:rsidRPr="00040304" w:rsidRDefault="002A7155" w:rsidP="002A7155">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pt-BR"/>
              </w:rPr>
            </w:pPr>
            <w:r w:rsidRPr="00040304">
              <w:rPr>
                <w:rFonts w:eastAsia="Times New Roman" w:cs="Times New Roman"/>
                <w:color w:val="000000"/>
                <w:sz w:val="22"/>
                <w:lang w:eastAsia="pt-BR"/>
              </w:rPr>
              <w:t>6859</w:t>
            </w:r>
          </w:p>
        </w:tc>
        <w:tc>
          <w:tcPr>
            <w:tcW w:w="0" w:type="auto"/>
            <w:noWrap/>
            <w:vAlign w:val="center"/>
            <w:hideMark/>
          </w:tcPr>
          <w:p w14:paraId="3DAB729A" w14:textId="77777777" w:rsidR="002A7155" w:rsidRPr="00040304" w:rsidRDefault="002A7155" w:rsidP="002A7155">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pt-BR"/>
              </w:rPr>
            </w:pPr>
            <w:r w:rsidRPr="00040304">
              <w:rPr>
                <w:rFonts w:eastAsia="Times New Roman" w:cs="Times New Roman"/>
                <w:color w:val="000000"/>
                <w:sz w:val="22"/>
                <w:lang w:eastAsia="pt-BR"/>
              </w:rPr>
              <w:t>1514</w:t>
            </w:r>
          </w:p>
        </w:tc>
        <w:tc>
          <w:tcPr>
            <w:tcW w:w="0" w:type="auto"/>
            <w:noWrap/>
            <w:vAlign w:val="center"/>
            <w:hideMark/>
          </w:tcPr>
          <w:p w14:paraId="75585529" w14:textId="77777777" w:rsidR="002A7155" w:rsidRPr="00040304" w:rsidRDefault="002A7155" w:rsidP="002A7155">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pt-BR"/>
              </w:rPr>
            </w:pPr>
            <w:r w:rsidRPr="00040304">
              <w:rPr>
                <w:rFonts w:eastAsia="Times New Roman" w:cs="Times New Roman"/>
                <w:color w:val="000000"/>
                <w:sz w:val="22"/>
                <w:lang w:eastAsia="pt-BR"/>
              </w:rPr>
              <w:t>246</w:t>
            </w:r>
          </w:p>
        </w:tc>
        <w:tc>
          <w:tcPr>
            <w:tcW w:w="0" w:type="auto"/>
            <w:noWrap/>
            <w:vAlign w:val="center"/>
            <w:hideMark/>
          </w:tcPr>
          <w:p w14:paraId="58C7F037" w14:textId="77777777" w:rsidR="002A7155" w:rsidRPr="00040304" w:rsidRDefault="002A7155" w:rsidP="002A7155">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pt-BR"/>
              </w:rPr>
            </w:pPr>
            <w:r w:rsidRPr="00040304">
              <w:rPr>
                <w:rFonts w:eastAsia="Times New Roman" w:cs="Times New Roman"/>
                <w:color w:val="000000"/>
                <w:sz w:val="22"/>
                <w:lang w:eastAsia="pt-BR"/>
              </w:rPr>
              <w:t>47</w:t>
            </w:r>
          </w:p>
        </w:tc>
        <w:tc>
          <w:tcPr>
            <w:tcW w:w="0" w:type="auto"/>
            <w:noWrap/>
            <w:vAlign w:val="center"/>
            <w:hideMark/>
          </w:tcPr>
          <w:p w14:paraId="09576498" w14:textId="77777777" w:rsidR="002A7155" w:rsidRPr="00040304" w:rsidRDefault="002A7155" w:rsidP="002A7155">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pt-BR"/>
              </w:rPr>
            </w:pPr>
            <w:r w:rsidRPr="00040304">
              <w:rPr>
                <w:rFonts w:eastAsia="Times New Roman" w:cs="Times New Roman"/>
                <w:color w:val="000000"/>
                <w:sz w:val="22"/>
                <w:lang w:eastAsia="pt-BR"/>
              </w:rPr>
              <w:t>5</w:t>
            </w:r>
          </w:p>
        </w:tc>
      </w:tr>
      <w:tr w:rsidR="002A7155" w:rsidRPr="00040304" w14:paraId="2C4914C5" w14:textId="77777777" w:rsidTr="002A7155">
        <w:trPr>
          <w:trHeight w:val="9"/>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E7E6E6"/>
            <w:noWrap/>
            <w:vAlign w:val="center"/>
            <w:hideMark/>
          </w:tcPr>
          <w:p w14:paraId="34AED0C6" w14:textId="77777777" w:rsidR="002A7155" w:rsidRPr="00040304" w:rsidRDefault="002A7155" w:rsidP="002A7155">
            <w:pPr>
              <w:ind w:firstLine="0"/>
              <w:jc w:val="center"/>
              <w:rPr>
                <w:rFonts w:eastAsia="Times New Roman" w:cs="Times New Roman"/>
                <w:color w:val="000000"/>
                <w:sz w:val="22"/>
                <w:lang w:eastAsia="pt-BR"/>
              </w:rPr>
            </w:pPr>
            <w:r w:rsidRPr="00040304">
              <w:rPr>
                <w:rFonts w:eastAsia="Times New Roman" w:cs="Times New Roman"/>
                <w:color w:val="000000"/>
                <w:sz w:val="22"/>
                <w:lang w:eastAsia="pt-BR"/>
              </w:rPr>
              <w:t>Superior Incompleto</w:t>
            </w:r>
          </w:p>
        </w:tc>
        <w:tc>
          <w:tcPr>
            <w:tcW w:w="0" w:type="auto"/>
            <w:noWrap/>
            <w:vAlign w:val="center"/>
            <w:hideMark/>
          </w:tcPr>
          <w:p w14:paraId="318C00A4" w14:textId="77777777" w:rsidR="002A7155" w:rsidRPr="00040304" w:rsidRDefault="002A7155" w:rsidP="002A7155">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pt-BR"/>
              </w:rPr>
            </w:pPr>
            <w:r w:rsidRPr="00040304">
              <w:rPr>
                <w:rFonts w:eastAsia="Times New Roman" w:cs="Times New Roman"/>
                <w:color w:val="000000"/>
                <w:sz w:val="22"/>
                <w:lang w:eastAsia="pt-BR"/>
              </w:rPr>
              <w:t>290</w:t>
            </w:r>
          </w:p>
        </w:tc>
        <w:tc>
          <w:tcPr>
            <w:tcW w:w="0" w:type="auto"/>
            <w:noWrap/>
            <w:vAlign w:val="center"/>
            <w:hideMark/>
          </w:tcPr>
          <w:p w14:paraId="63015CB5" w14:textId="77777777" w:rsidR="002A7155" w:rsidRPr="00040304" w:rsidRDefault="002A7155" w:rsidP="002A7155">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pt-BR"/>
              </w:rPr>
            </w:pPr>
            <w:r w:rsidRPr="00040304">
              <w:rPr>
                <w:rFonts w:eastAsia="Times New Roman" w:cs="Times New Roman"/>
                <w:color w:val="000000"/>
                <w:sz w:val="22"/>
                <w:lang w:eastAsia="pt-BR"/>
              </w:rPr>
              <w:t>121</w:t>
            </w:r>
          </w:p>
        </w:tc>
        <w:tc>
          <w:tcPr>
            <w:tcW w:w="0" w:type="auto"/>
            <w:noWrap/>
            <w:vAlign w:val="center"/>
            <w:hideMark/>
          </w:tcPr>
          <w:p w14:paraId="464E7062" w14:textId="77777777" w:rsidR="002A7155" w:rsidRPr="00040304" w:rsidRDefault="002A7155" w:rsidP="002A7155">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pt-BR"/>
              </w:rPr>
            </w:pPr>
            <w:r w:rsidRPr="00040304">
              <w:rPr>
                <w:rFonts w:eastAsia="Times New Roman" w:cs="Times New Roman"/>
                <w:color w:val="000000"/>
                <w:sz w:val="22"/>
                <w:lang w:eastAsia="pt-BR"/>
              </w:rPr>
              <w:t>30</w:t>
            </w:r>
          </w:p>
        </w:tc>
        <w:tc>
          <w:tcPr>
            <w:tcW w:w="0" w:type="auto"/>
            <w:noWrap/>
            <w:vAlign w:val="center"/>
            <w:hideMark/>
          </w:tcPr>
          <w:p w14:paraId="4A3A3744" w14:textId="77777777" w:rsidR="002A7155" w:rsidRPr="00040304" w:rsidRDefault="002A7155" w:rsidP="002A7155">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pt-BR"/>
              </w:rPr>
            </w:pPr>
            <w:r w:rsidRPr="00040304">
              <w:rPr>
                <w:rFonts w:eastAsia="Times New Roman" w:cs="Times New Roman"/>
                <w:color w:val="000000"/>
                <w:sz w:val="22"/>
                <w:lang w:eastAsia="pt-BR"/>
              </w:rPr>
              <w:t>20</w:t>
            </w:r>
          </w:p>
        </w:tc>
        <w:tc>
          <w:tcPr>
            <w:tcW w:w="0" w:type="auto"/>
            <w:noWrap/>
            <w:vAlign w:val="center"/>
            <w:hideMark/>
          </w:tcPr>
          <w:p w14:paraId="36671979" w14:textId="77777777" w:rsidR="002A7155" w:rsidRPr="00040304" w:rsidRDefault="002A7155" w:rsidP="002A7155">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pt-BR"/>
              </w:rPr>
            </w:pPr>
            <w:r w:rsidRPr="00040304">
              <w:rPr>
                <w:rFonts w:eastAsia="Times New Roman" w:cs="Times New Roman"/>
                <w:color w:val="000000"/>
                <w:sz w:val="22"/>
                <w:lang w:eastAsia="pt-BR"/>
              </w:rPr>
              <w:t>4</w:t>
            </w:r>
          </w:p>
        </w:tc>
      </w:tr>
      <w:tr w:rsidR="002A7155" w:rsidRPr="00040304" w14:paraId="245C4F11" w14:textId="77777777" w:rsidTr="002A7155">
        <w:trPr>
          <w:cnfStyle w:val="000000100000" w:firstRow="0" w:lastRow="0" w:firstColumn="0" w:lastColumn="0" w:oddVBand="0" w:evenVBand="0" w:oddHBand="1" w:evenHBand="0" w:firstRowFirstColumn="0" w:firstRowLastColumn="0" w:lastRowFirstColumn="0" w:lastRowLastColumn="0"/>
          <w:trHeight w:val="9"/>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E7E6E6"/>
            <w:noWrap/>
            <w:vAlign w:val="center"/>
          </w:tcPr>
          <w:p w14:paraId="0AAE8CEE" w14:textId="77777777" w:rsidR="002A7155" w:rsidRPr="00040304" w:rsidRDefault="002A7155" w:rsidP="002A7155">
            <w:pPr>
              <w:ind w:firstLine="0"/>
              <w:jc w:val="center"/>
              <w:rPr>
                <w:rFonts w:eastAsia="Times New Roman" w:cs="Times New Roman"/>
                <w:color w:val="000000"/>
                <w:sz w:val="22"/>
                <w:lang w:eastAsia="pt-BR"/>
              </w:rPr>
            </w:pPr>
            <w:r w:rsidRPr="00040304">
              <w:rPr>
                <w:rFonts w:eastAsia="Times New Roman" w:cs="Times New Roman"/>
                <w:color w:val="000000"/>
                <w:sz w:val="22"/>
                <w:lang w:eastAsia="pt-BR"/>
              </w:rPr>
              <w:t>Superior Completo</w:t>
            </w:r>
          </w:p>
        </w:tc>
        <w:tc>
          <w:tcPr>
            <w:tcW w:w="0" w:type="auto"/>
            <w:noWrap/>
            <w:vAlign w:val="center"/>
          </w:tcPr>
          <w:p w14:paraId="65614540" w14:textId="77777777" w:rsidR="002A7155" w:rsidRPr="00040304" w:rsidRDefault="002A7155" w:rsidP="002A7155">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pt-BR"/>
              </w:rPr>
            </w:pPr>
            <w:r w:rsidRPr="00040304">
              <w:rPr>
                <w:rFonts w:eastAsia="Times New Roman" w:cs="Times New Roman"/>
                <w:color w:val="000000"/>
                <w:sz w:val="22"/>
                <w:lang w:eastAsia="pt-BR"/>
              </w:rPr>
              <w:t>1371</w:t>
            </w:r>
          </w:p>
        </w:tc>
        <w:tc>
          <w:tcPr>
            <w:tcW w:w="0" w:type="auto"/>
            <w:noWrap/>
            <w:vAlign w:val="center"/>
          </w:tcPr>
          <w:p w14:paraId="5FAA8A54" w14:textId="77777777" w:rsidR="002A7155" w:rsidRPr="00040304" w:rsidRDefault="002A7155" w:rsidP="002A7155">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pt-BR"/>
              </w:rPr>
            </w:pPr>
            <w:r w:rsidRPr="00040304">
              <w:rPr>
                <w:rFonts w:eastAsia="Times New Roman" w:cs="Times New Roman"/>
                <w:color w:val="000000"/>
                <w:sz w:val="22"/>
                <w:lang w:eastAsia="pt-BR"/>
              </w:rPr>
              <w:t>1683</w:t>
            </w:r>
          </w:p>
        </w:tc>
        <w:tc>
          <w:tcPr>
            <w:tcW w:w="0" w:type="auto"/>
            <w:noWrap/>
            <w:vAlign w:val="center"/>
          </w:tcPr>
          <w:p w14:paraId="2C89AFCE" w14:textId="77777777" w:rsidR="002A7155" w:rsidRPr="00040304" w:rsidRDefault="002A7155" w:rsidP="002A7155">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pt-BR"/>
              </w:rPr>
            </w:pPr>
            <w:r w:rsidRPr="00040304">
              <w:rPr>
                <w:rFonts w:eastAsia="Times New Roman" w:cs="Times New Roman"/>
                <w:color w:val="000000"/>
                <w:sz w:val="22"/>
                <w:lang w:eastAsia="pt-BR"/>
              </w:rPr>
              <w:t>1274</w:t>
            </w:r>
          </w:p>
        </w:tc>
        <w:tc>
          <w:tcPr>
            <w:tcW w:w="0" w:type="auto"/>
            <w:noWrap/>
            <w:vAlign w:val="center"/>
          </w:tcPr>
          <w:p w14:paraId="392A2BE8" w14:textId="77777777" w:rsidR="002A7155" w:rsidRPr="00040304" w:rsidRDefault="002A7155" w:rsidP="002A7155">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pt-BR"/>
              </w:rPr>
            </w:pPr>
            <w:r w:rsidRPr="00040304">
              <w:rPr>
                <w:rFonts w:eastAsia="Times New Roman" w:cs="Times New Roman"/>
                <w:color w:val="000000"/>
                <w:sz w:val="22"/>
                <w:lang w:eastAsia="pt-BR"/>
              </w:rPr>
              <w:t>295</w:t>
            </w:r>
          </w:p>
        </w:tc>
        <w:tc>
          <w:tcPr>
            <w:tcW w:w="0" w:type="auto"/>
            <w:noWrap/>
            <w:vAlign w:val="center"/>
          </w:tcPr>
          <w:p w14:paraId="21E3345B" w14:textId="77777777" w:rsidR="002A7155" w:rsidRPr="00040304" w:rsidRDefault="002A7155" w:rsidP="002A7155">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pt-BR"/>
              </w:rPr>
            </w:pPr>
            <w:r w:rsidRPr="00040304">
              <w:rPr>
                <w:rFonts w:eastAsia="Times New Roman" w:cs="Times New Roman"/>
                <w:color w:val="000000"/>
                <w:sz w:val="22"/>
                <w:lang w:eastAsia="pt-BR"/>
              </w:rPr>
              <w:t>67</w:t>
            </w:r>
          </w:p>
        </w:tc>
      </w:tr>
    </w:tbl>
    <w:p w14:paraId="65F362E7" w14:textId="2A3B5ACA" w:rsidR="002A7155" w:rsidRDefault="002A7155" w:rsidP="002A7155">
      <w:pPr>
        <w:ind w:firstLine="0"/>
        <w:rPr>
          <w:rFonts w:cs="Times New Roman"/>
          <w:sz w:val="22"/>
        </w:rPr>
      </w:pPr>
      <w:r w:rsidRPr="002A7155">
        <w:rPr>
          <w:rFonts w:cs="Times New Roman"/>
          <w:b/>
          <w:bCs/>
          <w:sz w:val="22"/>
        </w:rPr>
        <w:t>Fonte:</w:t>
      </w:r>
      <w:r w:rsidRPr="002A7155">
        <w:rPr>
          <w:rFonts w:cs="Times New Roman"/>
          <w:sz w:val="22"/>
        </w:rPr>
        <w:t xml:space="preserve"> RAIS (2021). Organizado pelos autores.</w:t>
      </w:r>
    </w:p>
    <w:p w14:paraId="4216B56C" w14:textId="18DD60A2" w:rsidR="002A7155" w:rsidRDefault="002A7155" w:rsidP="002A7155"/>
    <w:p w14:paraId="2EC2E124" w14:textId="77777777" w:rsidR="006245D9" w:rsidRDefault="00362FF8" w:rsidP="002A7155">
      <w:r w:rsidRPr="00362FF8">
        <w:t xml:space="preserve">Ao observar mais detalhadamente as faixas de remuneração mais elevadas depreende-se com o fato de que 80% dos trabalhadores que receberam entre 5,01 a 10,0 ou acima de 10,1 </w:t>
      </w:r>
      <w:r w:rsidRPr="00362FF8">
        <w:lastRenderedPageBreak/>
        <w:t>salários mínimos são aqueles que concluíram a graduação, ou pós-graduação. Se analisar somente os que foram remunerados acima de 10,1 salários mínimos os trabalhadores que possuem ensino superior correspondem a 88%. Dessa maneira, pode-se inferir que entre as transformações que o acesso à educação superior pode provocar em uma região está uma mudança na distribuição intrarregional de renda a favor daqueles que se inserem no mercado de trabalho com um nível de escolaridade mais elevado.</w:t>
      </w:r>
    </w:p>
    <w:p w14:paraId="43B0AF27" w14:textId="01DFECAD" w:rsidR="002A7155" w:rsidRPr="002A7155" w:rsidRDefault="00040304" w:rsidP="002A7155">
      <w:r>
        <w:t>No que tange as atividades econômicas onde estão alocados os trabalhadores formais da R.G.I de Pau dos Ferros,</w:t>
      </w:r>
      <w:r w:rsidR="00920A70">
        <w:t xml:space="preserve"> tabela 4,</w:t>
      </w:r>
      <w:r>
        <w:t xml:space="preserve"> observa-se que dos</w:t>
      </w:r>
      <w:r w:rsidR="002A7155" w:rsidRPr="002A7155">
        <w:t xml:space="preserve"> 4.715 trabalhadores </w:t>
      </w:r>
      <w:r w:rsidR="00920A70">
        <w:t>empregados</w:t>
      </w:r>
      <w:r w:rsidR="002A7155" w:rsidRPr="002A7155">
        <w:t xml:space="preserve"> em 2019, 84% estavam </w:t>
      </w:r>
      <w:r w:rsidR="00920A70">
        <w:t>alocados</w:t>
      </w:r>
      <w:r w:rsidR="002A7155" w:rsidRPr="002A7155">
        <w:t xml:space="preserve"> na Administração pública, defesa e seguridade social. Outros setores aparecem em menor proporção, sendo eles: Comércio, reparação de veículos automotores e motocicletas; Educação e Atividades financeiras, de seguros e serviços relacionados. Esse perfil de empregabilidade, com forte concentração de trabalhadores </w:t>
      </w:r>
      <w:r w:rsidR="00920A70">
        <w:t>n</w:t>
      </w:r>
      <w:r w:rsidR="002A7155" w:rsidRPr="002A7155">
        <w:t xml:space="preserve">a </w:t>
      </w:r>
      <w:r w:rsidR="00920A70">
        <w:t>A</w:t>
      </w:r>
      <w:r w:rsidR="002A7155" w:rsidRPr="002A7155">
        <w:t xml:space="preserve">dministração pública deve-se ao que Barreto Filho </w:t>
      </w:r>
      <w:r w:rsidR="002A7155" w:rsidRPr="002A7155">
        <w:fldChar w:fldCharType="begin" w:fldLock="1"/>
      </w:r>
      <w:r w:rsidR="002A7155" w:rsidRPr="002A7155">
        <w:instrText>ADDIN CSL_CITATION {"citationItems":[{"id":"ITEM-1","itemData":{"abstract":"A observação do cenário socioeconômico do Alto Oeste Potiguar ainda causa inquietude e indica a necessidade premente de aprofundar o debate sobre os caminhos percorridos pelas classes sociais, bem como, sobre as condicionalidades econômicas e as dinâmicas que moldaram o quadro atual. O Alto Oeste Potiguar é composto por 37 municípios do Rio Grande do Norte, todos no Semiárido, população total de 242.006 habitantes, com 67% vivendo na área urbana. A análise da estrutura econômica e da dinâmica urbana do Alto Oeste Potiguar, condicionada pelas forças orientadoras do processo de acumulação, pelo ambiente extrarregional e pelo contexto socioespacial, enseja uma perspectiva analítica diferenciada acerca da heterogeneidade e complexidade existentes, inclusive, fornecendo elementos para sustentar a regionalização congregando os 37 municípios. A ocupação da área pelos conquistadores ocorreu pela expansão da pecuária, articulando-se à atividade canavieira do litoral, em que a posse das maiores e melhores terras garantiu distinção social aos proprietários. Foi a partir de tal conformação inicial que os povoados e vilas foram criados, cuidando a seara mercantil de ampliar, gradativamente, a funcionalidade de algumas vilas, diferenciando-as, especialmente, em favor de Pau dos Ferros/RN. A polarização, ainda que de um entorno pobre e dependente de transferências de recursos públicos, expressa-se na captura de investimentos privados (serviços especializados) e públicos (saúde, educação, obras de infraestrutura), estabelecendo-se as condições objetivas para que as forças orientadoras do processo de acumulação capitalista operem sem maiores embaraços no espaço analisado neste trabalho. As engrenagens movidas a partir da concessão das terras, passando pela pecuária, cotonicultura e expansão do comércio, azeitadas pela atuação do Estado, legaram uma estrutura econômica que acomoda os interesses da elite regional e condiciona a dinâmica urbana das 37 cidades.","author":[{"dropping-particle":"","family":"BARRETO FILHO","given":"BOANERGES DE FREITAS","non-dropping-particle":"","parse-names":false,"suffix":""}],"id":"ITEM-1","issued":{"date-parts":[["2018"]]},"number-of-pages":"216","publisher":"Planejamento e Dinâmicas Territoriais no Semiárido. Universidade do Estado do Rio Grande do Norte","title":"Alto Oeste Potiguar (1700-2017): Estrutura Econômica, Dinâmica Urbana e Regionalização","type":"thesis"},"suppress-author":1,"uris":["http://www.mendeley.com/documents/?uuid=42e02f14-0cef-40cb-9a9a-72320620a5a5"]}],"mendeley":{"formattedCitation":"(2018)","plainTextFormattedCitation":"(2018)","previouslyFormattedCitation":"(2018)"},"properties":{"noteIndex":0},"schema":"https://github.com/citation-style-language/schema/raw/master/csl-citation.json"}</w:instrText>
      </w:r>
      <w:r w:rsidR="002A7155" w:rsidRPr="002A7155">
        <w:fldChar w:fldCharType="separate"/>
      </w:r>
      <w:r w:rsidR="002A7155" w:rsidRPr="002A7155">
        <w:t>(2018)</w:t>
      </w:r>
      <w:r w:rsidR="002A7155" w:rsidRPr="002A7155">
        <w:fldChar w:fldCharType="end"/>
      </w:r>
      <w:r w:rsidR="002A7155" w:rsidRPr="002A7155">
        <w:t xml:space="preserve"> definiu como sendo a atual caracterização econômica da região com a proeminência do setor de serviços e hipertrofia do </w:t>
      </w:r>
      <w:r w:rsidR="006245D9">
        <w:t>p</w:t>
      </w:r>
      <w:r w:rsidR="002A7155" w:rsidRPr="002A7155">
        <w:t>oder</w:t>
      </w:r>
      <w:r w:rsidR="006245D9">
        <w:t xml:space="preserve"> p</w:t>
      </w:r>
      <w:r w:rsidR="002A7155" w:rsidRPr="002A7155">
        <w:t>úblico.</w:t>
      </w:r>
    </w:p>
    <w:p w14:paraId="78B17230" w14:textId="77777777" w:rsidR="002A7155" w:rsidRPr="002A7155" w:rsidRDefault="002A7155" w:rsidP="002A7155"/>
    <w:p w14:paraId="6BA2CD9F" w14:textId="172B77BB" w:rsidR="002A7155" w:rsidRPr="002A7155" w:rsidRDefault="002A7155" w:rsidP="00920A70">
      <w:pPr>
        <w:pStyle w:val="Legenda"/>
        <w:keepNext/>
        <w:spacing w:after="0"/>
        <w:ind w:firstLine="0"/>
        <w:rPr>
          <w:i w:val="0"/>
          <w:iCs w:val="0"/>
          <w:color w:val="000000" w:themeColor="text1"/>
          <w:sz w:val="22"/>
          <w:szCs w:val="22"/>
        </w:rPr>
      </w:pPr>
      <w:r w:rsidRPr="002A7155">
        <w:rPr>
          <w:b/>
          <w:bCs/>
          <w:i w:val="0"/>
          <w:iCs w:val="0"/>
          <w:color w:val="000000" w:themeColor="text1"/>
          <w:sz w:val="22"/>
          <w:szCs w:val="22"/>
        </w:rPr>
        <w:t xml:space="preserve">Tabela </w:t>
      </w:r>
      <w:r w:rsidRPr="002A7155">
        <w:rPr>
          <w:b/>
          <w:bCs/>
          <w:i w:val="0"/>
          <w:iCs w:val="0"/>
          <w:color w:val="000000" w:themeColor="text1"/>
          <w:sz w:val="22"/>
          <w:szCs w:val="22"/>
        </w:rPr>
        <w:fldChar w:fldCharType="begin"/>
      </w:r>
      <w:r w:rsidRPr="002A7155">
        <w:rPr>
          <w:b/>
          <w:bCs/>
          <w:i w:val="0"/>
          <w:iCs w:val="0"/>
          <w:color w:val="000000" w:themeColor="text1"/>
          <w:sz w:val="22"/>
          <w:szCs w:val="22"/>
        </w:rPr>
        <w:instrText xml:space="preserve"> SEQ Tabela \* ARABIC </w:instrText>
      </w:r>
      <w:r w:rsidRPr="002A7155">
        <w:rPr>
          <w:b/>
          <w:bCs/>
          <w:i w:val="0"/>
          <w:iCs w:val="0"/>
          <w:color w:val="000000" w:themeColor="text1"/>
          <w:sz w:val="22"/>
          <w:szCs w:val="22"/>
        </w:rPr>
        <w:fldChar w:fldCharType="separate"/>
      </w:r>
      <w:r w:rsidRPr="002A7155">
        <w:rPr>
          <w:b/>
          <w:bCs/>
          <w:i w:val="0"/>
          <w:iCs w:val="0"/>
          <w:noProof/>
          <w:color w:val="000000" w:themeColor="text1"/>
          <w:sz w:val="22"/>
          <w:szCs w:val="22"/>
        </w:rPr>
        <w:t>4</w:t>
      </w:r>
      <w:r w:rsidRPr="002A7155">
        <w:rPr>
          <w:b/>
          <w:bCs/>
          <w:i w:val="0"/>
          <w:iCs w:val="0"/>
          <w:color w:val="000000" w:themeColor="text1"/>
          <w:sz w:val="22"/>
          <w:szCs w:val="22"/>
        </w:rPr>
        <w:fldChar w:fldCharType="end"/>
      </w:r>
      <w:r w:rsidRPr="002A7155">
        <w:rPr>
          <w:i w:val="0"/>
          <w:iCs w:val="0"/>
          <w:color w:val="000000" w:themeColor="text1"/>
          <w:sz w:val="22"/>
          <w:szCs w:val="22"/>
        </w:rPr>
        <w:t>: Trabalhadores formais com ensino superior completo, na R.G.I. de Pau dos Ferros, por atividade econômica segundo CNAE 2.0, 2019.</w:t>
      </w:r>
    </w:p>
    <w:tbl>
      <w:tblPr>
        <w:tblStyle w:val="SimplesTabela24"/>
        <w:tblW w:w="9262" w:type="dxa"/>
        <w:jc w:val="center"/>
        <w:tblLook w:val="04A0" w:firstRow="1" w:lastRow="0" w:firstColumn="1" w:lastColumn="0" w:noHBand="0" w:noVBand="1"/>
      </w:tblPr>
      <w:tblGrid>
        <w:gridCol w:w="7645"/>
        <w:gridCol w:w="1617"/>
      </w:tblGrid>
      <w:tr w:rsidR="002A7155" w:rsidRPr="006245D9" w14:paraId="3DB00C8F" w14:textId="77777777" w:rsidTr="00595110">
        <w:trPr>
          <w:cnfStyle w:val="100000000000" w:firstRow="1" w:lastRow="0" w:firstColumn="0" w:lastColumn="0" w:oddVBand="0" w:evenVBand="0" w:oddHBand="0"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7645" w:type="dxa"/>
            <w:shd w:val="clear" w:color="auto" w:fill="E7E6E6"/>
            <w:noWrap/>
            <w:hideMark/>
          </w:tcPr>
          <w:p w14:paraId="3556B99B" w14:textId="77777777" w:rsidR="002A7155" w:rsidRPr="006245D9" w:rsidRDefault="002A7155" w:rsidP="002A7155">
            <w:pPr>
              <w:ind w:firstLine="0"/>
              <w:jc w:val="left"/>
              <w:rPr>
                <w:rFonts w:eastAsia="Times New Roman" w:cs="Times New Roman"/>
                <w:color w:val="000000"/>
                <w:sz w:val="22"/>
                <w:lang w:eastAsia="pt-BR"/>
              </w:rPr>
            </w:pPr>
            <w:r w:rsidRPr="006245D9">
              <w:rPr>
                <w:rFonts w:eastAsia="Times New Roman" w:cs="Times New Roman"/>
                <w:color w:val="000000"/>
                <w:sz w:val="22"/>
                <w:lang w:eastAsia="pt-BR"/>
              </w:rPr>
              <w:t>ATIVIDADE ECONÔMICA</w:t>
            </w:r>
          </w:p>
        </w:tc>
        <w:tc>
          <w:tcPr>
            <w:tcW w:w="1617" w:type="dxa"/>
            <w:shd w:val="clear" w:color="auto" w:fill="E7E6E6"/>
            <w:noWrap/>
            <w:vAlign w:val="center"/>
            <w:hideMark/>
          </w:tcPr>
          <w:p w14:paraId="5B1B343E" w14:textId="77777777" w:rsidR="002A7155" w:rsidRPr="006245D9" w:rsidRDefault="002A7155" w:rsidP="00920A70">
            <w:pPr>
              <w:ind w:firstLine="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2"/>
                <w:lang w:eastAsia="pt-BR"/>
              </w:rPr>
            </w:pPr>
            <w:r w:rsidRPr="006245D9">
              <w:rPr>
                <w:rFonts w:eastAsia="Times New Roman" w:cs="Times New Roman"/>
                <w:color w:val="000000"/>
                <w:sz w:val="22"/>
                <w:lang w:eastAsia="pt-BR"/>
              </w:rPr>
              <w:t>VÍNCULOS</w:t>
            </w:r>
          </w:p>
        </w:tc>
      </w:tr>
      <w:tr w:rsidR="002A7155" w:rsidRPr="006245D9" w14:paraId="0A7E98C6" w14:textId="77777777" w:rsidTr="00595110">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7645" w:type="dxa"/>
            <w:noWrap/>
            <w:hideMark/>
          </w:tcPr>
          <w:p w14:paraId="25DEA237" w14:textId="77777777" w:rsidR="002A7155" w:rsidRPr="006245D9" w:rsidRDefault="002A7155" w:rsidP="002A7155">
            <w:pPr>
              <w:ind w:firstLine="0"/>
              <w:jc w:val="left"/>
              <w:rPr>
                <w:rFonts w:eastAsia="Times New Roman" w:cs="Times New Roman"/>
                <w:b w:val="0"/>
                <w:bCs w:val="0"/>
                <w:color w:val="000000"/>
                <w:sz w:val="22"/>
                <w:lang w:eastAsia="pt-BR"/>
              </w:rPr>
            </w:pPr>
            <w:r w:rsidRPr="006245D9">
              <w:rPr>
                <w:rFonts w:eastAsia="Times New Roman" w:cs="Times New Roman"/>
                <w:b w:val="0"/>
                <w:bCs w:val="0"/>
                <w:color w:val="000000"/>
                <w:sz w:val="22"/>
                <w:lang w:eastAsia="pt-BR"/>
              </w:rPr>
              <w:t>Administração pública, defesa e seguridade social</w:t>
            </w:r>
          </w:p>
        </w:tc>
        <w:tc>
          <w:tcPr>
            <w:tcW w:w="1617" w:type="dxa"/>
            <w:noWrap/>
            <w:vAlign w:val="center"/>
            <w:hideMark/>
          </w:tcPr>
          <w:p w14:paraId="6901F0C5" w14:textId="2732FCCA" w:rsidR="002A7155" w:rsidRPr="006245D9" w:rsidRDefault="002A7155" w:rsidP="00920A70">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pt-BR"/>
              </w:rPr>
            </w:pPr>
            <w:r w:rsidRPr="006245D9">
              <w:rPr>
                <w:rFonts w:eastAsia="Times New Roman" w:cs="Times New Roman"/>
                <w:color w:val="000000"/>
                <w:sz w:val="22"/>
                <w:lang w:eastAsia="pt-BR"/>
              </w:rPr>
              <w:t>3</w:t>
            </w:r>
            <w:r w:rsidR="00920A70" w:rsidRPr="006245D9">
              <w:rPr>
                <w:rFonts w:eastAsia="Times New Roman" w:cs="Times New Roman"/>
                <w:color w:val="000000"/>
                <w:sz w:val="22"/>
                <w:lang w:eastAsia="pt-BR"/>
              </w:rPr>
              <w:t>.</w:t>
            </w:r>
            <w:r w:rsidRPr="006245D9">
              <w:rPr>
                <w:rFonts w:eastAsia="Times New Roman" w:cs="Times New Roman"/>
                <w:color w:val="000000"/>
                <w:sz w:val="22"/>
                <w:lang w:eastAsia="pt-BR"/>
              </w:rPr>
              <w:t>969</w:t>
            </w:r>
          </w:p>
        </w:tc>
      </w:tr>
      <w:tr w:rsidR="002A7155" w:rsidRPr="006245D9" w14:paraId="19AA71FB" w14:textId="77777777" w:rsidTr="00595110">
        <w:trPr>
          <w:trHeight w:val="283"/>
          <w:jc w:val="center"/>
        </w:trPr>
        <w:tc>
          <w:tcPr>
            <w:cnfStyle w:val="001000000000" w:firstRow="0" w:lastRow="0" w:firstColumn="1" w:lastColumn="0" w:oddVBand="0" w:evenVBand="0" w:oddHBand="0" w:evenHBand="0" w:firstRowFirstColumn="0" w:firstRowLastColumn="0" w:lastRowFirstColumn="0" w:lastRowLastColumn="0"/>
            <w:tcW w:w="7645" w:type="dxa"/>
            <w:noWrap/>
            <w:hideMark/>
          </w:tcPr>
          <w:p w14:paraId="35B7AA4A" w14:textId="77777777" w:rsidR="002A7155" w:rsidRPr="006245D9" w:rsidRDefault="002A7155" w:rsidP="002A7155">
            <w:pPr>
              <w:ind w:firstLine="0"/>
              <w:jc w:val="left"/>
              <w:rPr>
                <w:rFonts w:eastAsia="Times New Roman" w:cs="Times New Roman"/>
                <w:b w:val="0"/>
                <w:bCs w:val="0"/>
                <w:color w:val="000000"/>
                <w:sz w:val="22"/>
                <w:lang w:eastAsia="pt-BR"/>
              </w:rPr>
            </w:pPr>
            <w:r w:rsidRPr="006245D9">
              <w:rPr>
                <w:rFonts w:eastAsia="Times New Roman" w:cs="Times New Roman"/>
                <w:b w:val="0"/>
                <w:bCs w:val="0"/>
                <w:color w:val="000000"/>
                <w:sz w:val="22"/>
                <w:lang w:eastAsia="pt-BR"/>
              </w:rPr>
              <w:t>Água, esgoto, atividades de gestão de resíduos e descontaminação</w:t>
            </w:r>
          </w:p>
        </w:tc>
        <w:tc>
          <w:tcPr>
            <w:tcW w:w="1617" w:type="dxa"/>
            <w:noWrap/>
            <w:vAlign w:val="center"/>
            <w:hideMark/>
          </w:tcPr>
          <w:p w14:paraId="620CA1DC" w14:textId="77777777" w:rsidR="002A7155" w:rsidRPr="006245D9" w:rsidRDefault="002A7155" w:rsidP="00920A70">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pt-BR"/>
              </w:rPr>
            </w:pPr>
            <w:r w:rsidRPr="006245D9">
              <w:rPr>
                <w:rFonts w:eastAsia="Times New Roman" w:cs="Times New Roman"/>
                <w:color w:val="000000"/>
                <w:sz w:val="22"/>
                <w:lang w:eastAsia="pt-BR"/>
              </w:rPr>
              <w:t>28</w:t>
            </w:r>
          </w:p>
        </w:tc>
      </w:tr>
      <w:tr w:rsidR="002A7155" w:rsidRPr="006245D9" w14:paraId="00DD5CB7" w14:textId="77777777" w:rsidTr="00595110">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7645" w:type="dxa"/>
            <w:noWrap/>
            <w:hideMark/>
          </w:tcPr>
          <w:p w14:paraId="3AE363BB" w14:textId="77777777" w:rsidR="002A7155" w:rsidRPr="006245D9" w:rsidRDefault="002A7155" w:rsidP="002A7155">
            <w:pPr>
              <w:ind w:firstLine="0"/>
              <w:jc w:val="left"/>
              <w:rPr>
                <w:rFonts w:eastAsia="Times New Roman" w:cs="Times New Roman"/>
                <w:b w:val="0"/>
                <w:bCs w:val="0"/>
                <w:color w:val="000000"/>
                <w:sz w:val="22"/>
                <w:lang w:eastAsia="pt-BR"/>
              </w:rPr>
            </w:pPr>
            <w:r w:rsidRPr="006245D9">
              <w:rPr>
                <w:rFonts w:eastAsia="Times New Roman" w:cs="Times New Roman"/>
                <w:b w:val="0"/>
                <w:bCs w:val="0"/>
                <w:color w:val="000000"/>
                <w:sz w:val="22"/>
                <w:lang w:eastAsia="pt-BR"/>
              </w:rPr>
              <w:t>Alojamento e alimentação</w:t>
            </w:r>
          </w:p>
        </w:tc>
        <w:tc>
          <w:tcPr>
            <w:tcW w:w="1617" w:type="dxa"/>
            <w:noWrap/>
            <w:vAlign w:val="center"/>
            <w:hideMark/>
          </w:tcPr>
          <w:p w14:paraId="4075C397" w14:textId="77777777" w:rsidR="002A7155" w:rsidRPr="006245D9" w:rsidRDefault="002A7155" w:rsidP="00920A70">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pt-BR"/>
              </w:rPr>
            </w:pPr>
            <w:r w:rsidRPr="006245D9">
              <w:rPr>
                <w:rFonts w:eastAsia="Times New Roman" w:cs="Times New Roman"/>
                <w:color w:val="000000"/>
                <w:sz w:val="22"/>
                <w:lang w:eastAsia="pt-BR"/>
              </w:rPr>
              <w:t>10</w:t>
            </w:r>
          </w:p>
        </w:tc>
      </w:tr>
      <w:tr w:rsidR="002A7155" w:rsidRPr="006245D9" w14:paraId="54DAFD59" w14:textId="77777777" w:rsidTr="00595110">
        <w:trPr>
          <w:trHeight w:val="283"/>
          <w:jc w:val="center"/>
        </w:trPr>
        <w:tc>
          <w:tcPr>
            <w:cnfStyle w:val="001000000000" w:firstRow="0" w:lastRow="0" w:firstColumn="1" w:lastColumn="0" w:oddVBand="0" w:evenVBand="0" w:oddHBand="0" w:evenHBand="0" w:firstRowFirstColumn="0" w:firstRowLastColumn="0" w:lastRowFirstColumn="0" w:lastRowLastColumn="0"/>
            <w:tcW w:w="7645" w:type="dxa"/>
            <w:noWrap/>
            <w:hideMark/>
          </w:tcPr>
          <w:p w14:paraId="473A7853" w14:textId="77777777" w:rsidR="002A7155" w:rsidRPr="006245D9" w:rsidRDefault="002A7155" w:rsidP="002A7155">
            <w:pPr>
              <w:ind w:firstLine="0"/>
              <w:jc w:val="left"/>
              <w:rPr>
                <w:rFonts w:eastAsia="Times New Roman" w:cs="Times New Roman"/>
                <w:b w:val="0"/>
                <w:bCs w:val="0"/>
                <w:color w:val="000000"/>
                <w:sz w:val="22"/>
                <w:lang w:eastAsia="pt-BR"/>
              </w:rPr>
            </w:pPr>
            <w:r w:rsidRPr="006245D9">
              <w:rPr>
                <w:rFonts w:eastAsia="Times New Roman" w:cs="Times New Roman"/>
                <w:b w:val="0"/>
                <w:bCs w:val="0"/>
                <w:color w:val="000000"/>
                <w:sz w:val="22"/>
                <w:lang w:eastAsia="pt-BR"/>
              </w:rPr>
              <w:t>Artes, cultura, esporte e recreação</w:t>
            </w:r>
          </w:p>
        </w:tc>
        <w:tc>
          <w:tcPr>
            <w:tcW w:w="1617" w:type="dxa"/>
            <w:noWrap/>
            <w:vAlign w:val="center"/>
            <w:hideMark/>
          </w:tcPr>
          <w:p w14:paraId="2926E990" w14:textId="77777777" w:rsidR="002A7155" w:rsidRPr="006245D9" w:rsidRDefault="002A7155" w:rsidP="00920A70">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pt-BR"/>
              </w:rPr>
            </w:pPr>
            <w:r w:rsidRPr="006245D9">
              <w:rPr>
                <w:rFonts w:eastAsia="Times New Roman" w:cs="Times New Roman"/>
                <w:color w:val="000000"/>
                <w:sz w:val="22"/>
                <w:lang w:eastAsia="pt-BR"/>
              </w:rPr>
              <w:t>1</w:t>
            </w:r>
          </w:p>
        </w:tc>
      </w:tr>
      <w:tr w:rsidR="002A7155" w:rsidRPr="006245D9" w14:paraId="02D0E883" w14:textId="77777777" w:rsidTr="00595110">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7645" w:type="dxa"/>
            <w:noWrap/>
            <w:hideMark/>
          </w:tcPr>
          <w:p w14:paraId="70361679" w14:textId="77777777" w:rsidR="002A7155" w:rsidRPr="006245D9" w:rsidRDefault="002A7155" w:rsidP="002A7155">
            <w:pPr>
              <w:ind w:firstLine="0"/>
              <w:jc w:val="left"/>
              <w:rPr>
                <w:rFonts w:eastAsia="Times New Roman" w:cs="Times New Roman"/>
                <w:b w:val="0"/>
                <w:bCs w:val="0"/>
                <w:color w:val="000000"/>
                <w:sz w:val="22"/>
                <w:lang w:eastAsia="pt-BR"/>
              </w:rPr>
            </w:pPr>
            <w:r w:rsidRPr="006245D9">
              <w:rPr>
                <w:rFonts w:eastAsia="Times New Roman" w:cs="Times New Roman"/>
                <w:b w:val="0"/>
                <w:bCs w:val="0"/>
                <w:color w:val="000000"/>
                <w:sz w:val="22"/>
                <w:lang w:eastAsia="pt-BR"/>
              </w:rPr>
              <w:t>Atividades administrativas e serviços complementares</w:t>
            </w:r>
          </w:p>
        </w:tc>
        <w:tc>
          <w:tcPr>
            <w:tcW w:w="1617" w:type="dxa"/>
            <w:noWrap/>
            <w:vAlign w:val="center"/>
            <w:hideMark/>
          </w:tcPr>
          <w:p w14:paraId="6609034F" w14:textId="77777777" w:rsidR="002A7155" w:rsidRPr="006245D9" w:rsidRDefault="002A7155" w:rsidP="00920A70">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pt-BR"/>
              </w:rPr>
            </w:pPr>
            <w:r w:rsidRPr="006245D9">
              <w:rPr>
                <w:rFonts w:eastAsia="Times New Roman" w:cs="Times New Roman"/>
                <w:color w:val="000000"/>
                <w:sz w:val="22"/>
                <w:lang w:eastAsia="pt-BR"/>
              </w:rPr>
              <w:t>33</w:t>
            </w:r>
          </w:p>
        </w:tc>
      </w:tr>
      <w:tr w:rsidR="002A7155" w:rsidRPr="006245D9" w14:paraId="1A0CE185" w14:textId="77777777" w:rsidTr="00595110">
        <w:trPr>
          <w:trHeight w:val="283"/>
          <w:jc w:val="center"/>
        </w:trPr>
        <w:tc>
          <w:tcPr>
            <w:cnfStyle w:val="001000000000" w:firstRow="0" w:lastRow="0" w:firstColumn="1" w:lastColumn="0" w:oddVBand="0" w:evenVBand="0" w:oddHBand="0" w:evenHBand="0" w:firstRowFirstColumn="0" w:firstRowLastColumn="0" w:lastRowFirstColumn="0" w:lastRowLastColumn="0"/>
            <w:tcW w:w="7645" w:type="dxa"/>
            <w:noWrap/>
            <w:hideMark/>
          </w:tcPr>
          <w:p w14:paraId="237491E7" w14:textId="77777777" w:rsidR="002A7155" w:rsidRPr="006245D9" w:rsidRDefault="002A7155" w:rsidP="002A7155">
            <w:pPr>
              <w:ind w:firstLine="0"/>
              <w:jc w:val="left"/>
              <w:rPr>
                <w:rFonts w:eastAsia="Times New Roman" w:cs="Times New Roman"/>
                <w:b w:val="0"/>
                <w:bCs w:val="0"/>
                <w:color w:val="000000"/>
                <w:sz w:val="22"/>
                <w:lang w:eastAsia="pt-BR"/>
              </w:rPr>
            </w:pPr>
            <w:r w:rsidRPr="006245D9">
              <w:rPr>
                <w:rFonts w:eastAsia="Times New Roman" w:cs="Times New Roman"/>
                <w:b w:val="0"/>
                <w:bCs w:val="0"/>
                <w:color w:val="000000"/>
                <w:sz w:val="22"/>
                <w:lang w:eastAsia="pt-BR"/>
              </w:rPr>
              <w:t>Atividades financeiras, de seguros e serviços relacionados</w:t>
            </w:r>
          </w:p>
        </w:tc>
        <w:tc>
          <w:tcPr>
            <w:tcW w:w="1617" w:type="dxa"/>
            <w:noWrap/>
            <w:vAlign w:val="center"/>
            <w:hideMark/>
          </w:tcPr>
          <w:p w14:paraId="4A0E1A1F" w14:textId="77777777" w:rsidR="002A7155" w:rsidRPr="006245D9" w:rsidRDefault="002A7155" w:rsidP="00920A70">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pt-BR"/>
              </w:rPr>
            </w:pPr>
            <w:r w:rsidRPr="006245D9">
              <w:rPr>
                <w:rFonts w:eastAsia="Times New Roman" w:cs="Times New Roman"/>
                <w:color w:val="000000"/>
                <w:sz w:val="22"/>
                <w:lang w:eastAsia="pt-BR"/>
              </w:rPr>
              <w:t>105</w:t>
            </w:r>
          </w:p>
        </w:tc>
      </w:tr>
      <w:tr w:rsidR="002A7155" w:rsidRPr="006245D9" w14:paraId="37371702" w14:textId="77777777" w:rsidTr="00595110">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7645" w:type="dxa"/>
            <w:noWrap/>
            <w:hideMark/>
          </w:tcPr>
          <w:p w14:paraId="7B345F03" w14:textId="77777777" w:rsidR="002A7155" w:rsidRPr="006245D9" w:rsidRDefault="002A7155" w:rsidP="002A7155">
            <w:pPr>
              <w:ind w:firstLine="0"/>
              <w:jc w:val="left"/>
              <w:rPr>
                <w:rFonts w:eastAsia="Times New Roman" w:cs="Times New Roman"/>
                <w:b w:val="0"/>
                <w:bCs w:val="0"/>
                <w:color w:val="000000"/>
                <w:sz w:val="22"/>
                <w:lang w:eastAsia="pt-BR"/>
              </w:rPr>
            </w:pPr>
            <w:r w:rsidRPr="006245D9">
              <w:rPr>
                <w:rFonts w:eastAsia="Times New Roman" w:cs="Times New Roman"/>
                <w:b w:val="0"/>
                <w:bCs w:val="0"/>
                <w:color w:val="000000"/>
                <w:sz w:val="22"/>
                <w:lang w:eastAsia="pt-BR"/>
              </w:rPr>
              <w:t>Atividades imobiliárias</w:t>
            </w:r>
          </w:p>
        </w:tc>
        <w:tc>
          <w:tcPr>
            <w:tcW w:w="1617" w:type="dxa"/>
            <w:noWrap/>
            <w:vAlign w:val="center"/>
            <w:hideMark/>
          </w:tcPr>
          <w:p w14:paraId="232E0308" w14:textId="77777777" w:rsidR="002A7155" w:rsidRPr="006245D9" w:rsidRDefault="002A7155" w:rsidP="00920A70">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pt-BR"/>
              </w:rPr>
            </w:pPr>
            <w:r w:rsidRPr="006245D9">
              <w:rPr>
                <w:rFonts w:eastAsia="Times New Roman" w:cs="Times New Roman"/>
                <w:color w:val="000000"/>
                <w:sz w:val="22"/>
                <w:lang w:eastAsia="pt-BR"/>
              </w:rPr>
              <w:t>4</w:t>
            </w:r>
          </w:p>
        </w:tc>
      </w:tr>
      <w:tr w:rsidR="002A7155" w:rsidRPr="006245D9" w14:paraId="37EDE3DC" w14:textId="77777777" w:rsidTr="00595110">
        <w:trPr>
          <w:trHeight w:val="283"/>
          <w:jc w:val="center"/>
        </w:trPr>
        <w:tc>
          <w:tcPr>
            <w:cnfStyle w:val="001000000000" w:firstRow="0" w:lastRow="0" w:firstColumn="1" w:lastColumn="0" w:oddVBand="0" w:evenVBand="0" w:oddHBand="0" w:evenHBand="0" w:firstRowFirstColumn="0" w:firstRowLastColumn="0" w:lastRowFirstColumn="0" w:lastRowLastColumn="0"/>
            <w:tcW w:w="7645" w:type="dxa"/>
            <w:noWrap/>
            <w:hideMark/>
          </w:tcPr>
          <w:p w14:paraId="577A7E0B" w14:textId="77777777" w:rsidR="002A7155" w:rsidRPr="006245D9" w:rsidRDefault="002A7155" w:rsidP="002A7155">
            <w:pPr>
              <w:ind w:firstLine="0"/>
              <w:jc w:val="left"/>
              <w:rPr>
                <w:rFonts w:eastAsia="Times New Roman" w:cs="Times New Roman"/>
                <w:b w:val="0"/>
                <w:bCs w:val="0"/>
                <w:color w:val="000000"/>
                <w:sz w:val="22"/>
                <w:lang w:eastAsia="pt-BR"/>
              </w:rPr>
            </w:pPr>
            <w:r w:rsidRPr="006245D9">
              <w:rPr>
                <w:rFonts w:eastAsia="Times New Roman" w:cs="Times New Roman"/>
                <w:b w:val="0"/>
                <w:bCs w:val="0"/>
                <w:color w:val="000000"/>
                <w:sz w:val="22"/>
                <w:lang w:eastAsia="pt-BR"/>
              </w:rPr>
              <w:t>Atividades profissionais, científicas e técnicas</w:t>
            </w:r>
          </w:p>
        </w:tc>
        <w:tc>
          <w:tcPr>
            <w:tcW w:w="1617" w:type="dxa"/>
            <w:noWrap/>
            <w:vAlign w:val="center"/>
            <w:hideMark/>
          </w:tcPr>
          <w:p w14:paraId="11424F6E" w14:textId="77777777" w:rsidR="002A7155" w:rsidRPr="006245D9" w:rsidRDefault="002A7155" w:rsidP="00920A70">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pt-BR"/>
              </w:rPr>
            </w:pPr>
            <w:r w:rsidRPr="006245D9">
              <w:rPr>
                <w:rFonts w:eastAsia="Times New Roman" w:cs="Times New Roman"/>
                <w:color w:val="000000"/>
                <w:sz w:val="22"/>
                <w:lang w:eastAsia="pt-BR"/>
              </w:rPr>
              <w:t>35</w:t>
            </w:r>
          </w:p>
        </w:tc>
      </w:tr>
      <w:tr w:rsidR="002A7155" w:rsidRPr="006245D9" w14:paraId="67B41BA3" w14:textId="77777777" w:rsidTr="00595110">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7645" w:type="dxa"/>
            <w:noWrap/>
            <w:hideMark/>
          </w:tcPr>
          <w:p w14:paraId="3C4B51E7" w14:textId="77777777" w:rsidR="002A7155" w:rsidRPr="006245D9" w:rsidRDefault="002A7155" w:rsidP="002A7155">
            <w:pPr>
              <w:ind w:firstLine="0"/>
              <w:jc w:val="left"/>
              <w:rPr>
                <w:rFonts w:eastAsia="Times New Roman" w:cs="Times New Roman"/>
                <w:b w:val="0"/>
                <w:bCs w:val="0"/>
                <w:color w:val="000000"/>
                <w:sz w:val="22"/>
                <w:lang w:eastAsia="pt-BR"/>
              </w:rPr>
            </w:pPr>
            <w:r w:rsidRPr="006245D9">
              <w:rPr>
                <w:rFonts w:eastAsia="Times New Roman" w:cs="Times New Roman"/>
                <w:b w:val="0"/>
                <w:bCs w:val="0"/>
                <w:color w:val="000000"/>
                <w:sz w:val="22"/>
                <w:lang w:eastAsia="pt-BR"/>
              </w:rPr>
              <w:t>Comércio, reparação de veículos automotores e motocicletas</w:t>
            </w:r>
          </w:p>
        </w:tc>
        <w:tc>
          <w:tcPr>
            <w:tcW w:w="1617" w:type="dxa"/>
            <w:noWrap/>
            <w:vAlign w:val="center"/>
            <w:hideMark/>
          </w:tcPr>
          <w:p w14:paraId="3091E2BC" w14:textId="77777777" w:rsidR="002A7155" w:rsidRPr="006245D9" w:rsidRDefault="002A7155" w:rsidP="00920A70">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pt-BR"/>
              </w:rPr>
            </w:pPr>
            <w:r w:rsidRPr="006245D9">
              <w:rPr>
                <w:rFonts w:eastAsia="Times New Roman" w:cs="Times New Roman"/>
                <w:color w:val="000000"/>
                <w:sz w:val="22"/>
                <w:lang w:eastAsia="pt-BR"/>
              </w:rPr>
              <w:t>198</w:t>
            </w:r>
          </w:p>
        </w:tc>
      </w:tr>
      <w:tr w:rsidR="002A7155" w:rsidRPr="006245D9" w14:paraId="70C3681D" w14:textId="77777777" w:rsidTr="00595110">
        <w:trPr>
          <w:trHeight w:val="283"/>
          <w:jc w:val="center"/>
        </w:trPr>
        <w:tc>
          <w:tcPr>
            <w:cnfStyle w:val="001000000000" w:firstRow="0" w:lastRow="0" w:firstColumn="1" w:lastColumn="0" w:oddVBand="0" w:evenVBand="0" w:oddHBand="0" w:evenHBand="0" w:firstRowFirstColumn="0" w:firstRowLastColumn="0" w:lastRowFirstColumn="0" w:lastRowLastColumn="0"/>
            <w:tcW w:w="7645" w:type="dxa"/>
            <w:noWrap/>
            <w:hideMark/>
          </w:tcPr>
          <w:p w14:paraId="03953826" w14:textId="77777777" w:rsidR="002A7155" w:rsidRPr="006245D9" w:rsidRDefault="002A7155" w:rsidP="002A7155">
            <w:pPr>
              <w:ind w:firstLine="0"/>
              <w:jc w:val="left"/>
              <w:rPr>
                <w:rFonts w:eastAsia="Times New Roman" w:cs="Times New Roman"/>
                <w:b w:val="0"/>
                <w:bCs w:val="0"/>
                <w:color w:val="000000"/>
                <w:sz w:val="22"/>
                <w:lang w:eastAsia="pt-BR"/>
              </w:rPr>
            </w:pPr>
            <w:r w:rsidRPr="006245D9">
              <w:rPr>
                <w:rFonts w:eastAsia="Times New Roman" w:cs="Times New Roman"/>
                <w:b w:val="0"/>
                <w:bCs w:val="0"/>
                <w:color w:val="000000"/>
                <w:sz w:val="22"/>
                <w:lang w:eastAsia="pt-BR"/>
              </w:rPr>
              <w:t>Construção</w:t>
            </w:r>
          </w:p>
        </w:tc>
        <w:tc>
          <w:tcPr>
            <w:tcW w:w="1617" w:type="dxa"/>
            <w:noWrap/>
            <w:vAlign w:val="center"/>
            <w:hideMark/>
          </w:tcPr>
          <w:p w14:paraId="0E97CDEB" w14:textId="77777777" w:rsidR="002A7155" w:rsidRPr="006245D9" w:rsidRDefault="002A7155" w:rsidP="00920A70">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pt-BR"/>
              </w:rPr>
            </w:pPr>
            <w:r w:rsidRPr="006245D9">
              <w:rPr>
                <w:rFonts w:eastAsia="Times New Roman" w:cs="Times New Roman"/>
                <w:color w:val="000000"/>
                <w:sz w:val="22"/>
                <w:lang w:eastAsia="pt-BR"/>
              </w:rPr>
              <w:t>9</w:t>
            </w:r>
          </w:p>
        </w:tc>
      </w:tr>
      <w:tr w:rsidR="002A7155" w:rsidRPr="006245D9" w14:paraId="63DB7244" w14:textId="77777777" w:rsidTr="00595110">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7645" w:type="dxa"/>
            <w:noWrap/>
            <w:hideMark/>
          </w:tcPr>
          <w:p w14:paraId="137E2623" w14:textId="77777777" w:rsidR="002A7155" w:rsidRPr="006245D9" w:rsidRDefault="002A7155" w:rsidP="002A7155">
            <w:pPr>
              <w:ind w:firstLine="0"/>
              <w:jc w:val="left"/>
              <w:rPr>
                <w:rFonts w:eastAsia="Times New Roman" w:cs="Times New Roman"/>
                <w:b w:val="0"/>
                <w:bCs w:val="0"/>
                <w:color w:val="000000"/>
                <w:sz w:val="22"/>
                <w:lang w:eastAsia="pt-BR"/>
              </w:rPr>
            </w:pPr>
            <w:r w:rsidRPr="006245D9">
              <w:rPr>
                <w:rFonts w:eastAsia="Times New Roman" w:cs="Times New Roman"/>
                <w:b w:val="0"/>
                <w:bCs w:val="0"/>
                <w:color w:val="000000"/>
                <w:sz w:val="22"/>
                <w:lang w:eastAsia="pt-BR"/>
              </w:rPr>
              <w:t>Educação</w:t>
            </w:r>
          </w:p>
        </w:tc>
        <w:tc>
          <w:tcPr>
            <w:tcW w:w="1617" w:type="dxa"/>
            <w:noWrap/>
            <w:vAlign w:val="center"/>
            <w:hideMark/>
          </w:tcPr>
          <w:p w14:paraId="6989BB18" w14:textId="77777777" w:rsidR="002A7155" w:rsidRPr="006245D9" w:rsidRDefault="002A7155" w:rsidP="00920A70">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pt-BR"/>
              </w:rPr>
            </w:pPr>
            <w:r w:rsidRPr="006245D9">
              <w:rPr>
                <w:rFonts w:eastAsia="Times New Roman" w:cs="Times New Roman"/>
                <w:color w:val="000000"/>
                <w:sz w:val="22"/>
                <w:lang w:eastAsia="pt-BR"/>
              </w:rPr>
              <w:t>158</w:t>
            </w:r>
          </w:p>
        </w:tc>
      </w:tr>
      <w:tr w:rsidR="002A7155" w:rsidRPr="006245D9" w14:paraId="2A04B89D" w14:textId="77777777" w:rsidTr="00595110">
        <w:trPr>
          <w:trHeight w:val="283"/>
          <w:jc w:val="center"/>
        </w:trPr>
        <w:tc>
          <w:tcPr>
            <w:cnfStyle w:val="001000000000" w:firstRow="0" w:lastRow="0" w:firstColumn="1" w:lastColumn="0" w:oddVBand="0" w:evenVBand="0" w:oddHBand="0" w:evenHBand="0" w:firstRowFirstColumn="0" w:firstRowLastColumn="0" w:lastRowFirstColumn="0" w:lastRowLastColumn="0"/>
            <w:tcW w:w="7645" w:type="dxa"/>
            <w:noWrap/>
            <w:hideMark/>
          </w:tcPr>
          <w:p w14:paraId="74BB7FC7" w14:textId="77777777" w:rsidR="002A7155" w:rsidRPr="006245D9" w:rsidRDefault="002A7155" w:rsidP="002A7155">
            <w:pPr>
              <w:ind w:firstLine="0"/>
              <w:jc w:val="left"/>
              <w:rPr>
                <w:rFonts w:eastAsia="Times New Roman" w:cs="Times New Roman"/>
                <w:b w:val="0"/>
                <w:bCs w:val="0"/>
                <w:color w:val="000000"/>
                <w:sz w:val="22"/>
                <w:lang w:eastAsia="pt-BR"/>
              </w:rPr>
            </w:pPr>
            <w:r w:rsidRPr="006245D9">
              <w:rPr>
                <w:rFonts w:eastAsia="Times New Roman" w:cs="Times New Roman"/>
                <w:b w:val="0"/>
                <w:bCs w:val="0"/>
                <w:color w:val="000000"/>
                <w:sz w:val="22"/>
                <w:lang w:eastAsia="pt-BR"/>
              </w:rPr>
              <w:t>Indústrias de transformação</w:t>
            </w:r>
          </w:p>
        </w:tc>
        <w:tc>
          <w:tcPr>
            <w:tcW w:w="1617" w:type="dxa"/>
            <w:noWrap/>
            <w:vAlign w:val="center"/>
            <w:hideMark/>
          </w:tcPr>
          <w:p w14:paraId="5821F6C5" w14:textId="77777777" w:rsidR="002A7155" w:rsidRPr="006245D9" w:rsidRDefault="002A7155" w:rsidP="00920A70">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pt-BR"/>
              </w:rPr>
            </w:pPr>
            <w:r w:rsidRPr="006245D9">
              <w:rPr>
                <w:rFonts w:eastAsia="Times New Roman" w:cs="Times New Roman"/>
                <w:color w:val="000000"/>
                <w:sz w:val="22"/>
                <w:lang w:eastAsia="pt-BR"/>
              </w:rPr>
              <w:t>7</w:t>
            </w:r>
          </w:p>
        </w:tc>
      </w:tr>
      <w:tr w:rsidR="002A7155" w:rsidRPr="006245D9" w14:paraId="05E221A9" w14:textId="77777777" w:rsidTr="00595110">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7645" w:type="dxa"/>
            <w:noWrap/>
            <w:hideMark/>
          </w:tcPr>
          <w:p w14:paraId="122B18BC" w14:textId="77777777" w:rsidR="002A7155" w:rsidRPr="006245D9" w:rsidRDefault="002A7155" w:rsidP="002A7155">
            <w:pPr>
              <w:ind w:firstLine="0"/>
              <w:jc w:val="left"/>
              <w:rPr>
                <w:rFonts w:eastAsia="Times New Roman" w:cs="Times New Roman"/>
                <w:b w:val="0"/>
                <w:bCs w:val="0"/>
                <w:color w:val="000000"/>
                <w:sz w:val="22"/>
                <w:lang w:eastAsia="pt-BR"/>
              </w:rPr>
            </w:pPr>
            <w:r w:rsidRPr="006245D9">
              <w:rPr>
                <w:rFonts w:eastAsia="Times New Roman" w:cs="Times New Roman"/>
                <w:b w:val="0"/>
                <w:bCs w:val="0"/>
                <w:color w:val="000000"/>
                <w:sz w:val="22"/>
                <w:lang w:eastAsia="pt-BR"/>
              </w:rPr>
              <w:t>Informação e comunicação</w:t>
            </w:r>
          </w:p>
        </w:tc>
        <w:tc>
          <w:tcPr>
            <w:tcW w:w="1617" w:type="dxa"/>
            <w:noWrap/>
            <w:vAlign w:val="center"/>
            <w:hideMark/>
          </w:tcPr>
          <w:p w14:paraId="1A609288" w14:textId="77777777" w:rsidR="002A7155" w:rsidRPr="006245D9" w:rsidRDefault="002A7155" w:rsidP="00920A70">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pt-BR"/>
              </w:rPr>
            </w:pPr>
            <w:r w:rsidRPr="006245D9">
              <w:rPr>
                <w:rFonts w:eastAsia="Times New Roman" w:cs="Times New Roman"/>
                <w:color w:val="000000"/>
                <w:sz w:val="22"/>
                <w:lang w:eastAsia="pt-BR"/>
              </w:rPr>
              <w:t>14</w:t>
            </w:r>
          </w:p>
        </w:tc>
      </w:tr>
      <w:tr w:rsidR="002A7155" w:rsidRPr="006245D9" w14:paraId="2205FD85" w14:textId="77777777" w:rsidTr="00595110">
        <w:trPr>
          <w:trHeight w:val="283"/>
          <w:jc w:val="center"/>
        </w:trPr>
        <w:tc>
          <w:tcPr>
            <w:cnfStyle w:val="001000000000" w:firstRow="0" w:lastRow="0" w:firstColumn="1" w:lastColumn="0" w:oddVBand="0" w:evenVBand="0" w:oddHBand="0" w:evenHBand="0" w:firstRowFirstColumn="0" w:firstRowLastColumn="0" w:lastRowFirstColumn="0" w:lastRowLastColumn="0"/>
            <w:tcW w:w="7645" w:type="dxa"/>
            <w:noWrap/>
            <w:hideMark/>
          </w:tcPr>
          <w:p w14:paraId="4F31F0FD" w14:textId="77777777" w:rsidR="002A7155" w:rsidRPr="006245D9" w:rsidRDefault="002A7155" w:rsidP="002A7155">
            <w:pPr>
              <w:ind w:firstLine="0"/>
              <w:jc w:val="left"/>
              <w:rPr>
                <w:rFonts w:eastAsia="Times New Roman" w:cs="Times New Roman"/>
                <w:b w:val="0"/>
                <w:bCs w:val="0"/>
                <w:color w:val="000000"/>
                <w:sz w:val="22"/>
                <w:lang w:eastAsia="pt-BR"/>
              </w:rPr>
            </w:pPr>
            <w:r w:rsidRPr="006245D9">
              <w:rPr>
                <w:rFonts w:eastAsia="Times New Roman" w:cs="Times New Roman"/>
                <w:b w:val="0"/>
                <w:bCs w:val="0"/>
                <w:color w:val="000000"/>
                <w:sz w:val="22"/>
                <w:lang w:eastAsia="pt-BR"/>
              </w:rPr>
              <w:t>Outras atividades de serviços</w:t>
            </w:r>
          </w:p>
        </w:tc>
        <w:tc>
          <w:tcPr>
            <w:tcW w:w="1617" w:type="dxa"/>
            <w:noWrap/>
            <w:vAlign w:val="center"/>
            <w:hideMark/>
          </w:tcPr>
          <w:p w14:paraId="49F6F446" w14:textId="77777777" w:rsidR="002A7155" w:rsidRPr="006245D9" w:rsidRDefault="002A7155" w:rsidP="00920A70">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pt-BR"/>
              </w:rPr>
            </w:pPr>
            <w:r w:rsidRPr="006245D9">
              <w:rPr>
                <w:rFonts w:eastAsia="Times New Roman" w:cs="Times New Roman"/>
                <w:color w:val="000000"/>
                <w:sz w:val="22"/>
                <w:lang w:eastAsia="pt-BR"/>
              </w:rPr>
              <w:t>30</w:t>
            </w:r>
          </w:p>
        </w:tc>
      </w:tr>
      <w:tr w:rsidR="002A7155" w:rsidRPr="006245D9" w14:paraId="65697207" w14:textId="77777777" w:rsidTr="00595110">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7645" w:type="dxa"/>
            <w:noWrap/>
            <w:hideMark/>
          </w:tcPr>
          <w:p w14:paraId="5ADB93DB" w14:textId="77777777" w:rsidR="002A7155" w:rsidRPr="006245D9" w:rsidRDefault="002A7155" w:rsidP="002A7155">
            <w:pPr>
              <w:ind w:firstLine="0"/>
              <w:jc w:val="left"/>
              <w:rPr>
                <w:rFonts w:eastAsia="Times New Roman" w:cs="Times New Roman"/>
                <w:b w:val="0"/>
                <w:bCs w:val="0"/>
                <w:color w:val="000000"/>
                <w:sz w:val="22"/>
                <w:lang w:eastAsia="pt-BR"/>
              </w:rPr>
            </w:pPr>
            <w:r w:rsidRPr="006245D9">
              <w:rPr>
                <w:rFonts w:eastAsia="Times New Roman" w:cs="Times New Roman"/>
                <w:b w:val="0"/>
                <w:bCs w:val="0"/>
                <w:color w:val="000000"/>
                <w:sz w:val="22"/>
                <w:lang w:eastAsia="pt-BR"/>
              </w:rPr>
              <w:t>Saúde humana e serviços sociais</w:t>
            </w:r>
          </w:p>
        </w:tc>
        <w:tc>
          <w:tcPr>
            <w:tcW w:w="1617" w:type="dxa"/>
            <w:noWrap/>
            <w:vAlign w:val="center"/>
            <w:hideMark/>
          </w:tcPr>
          <w:p w14:paraId="34C42FC5" w14:textId="77777777" w:rsidR="002A7155" w:rsidRPr="006245D9" w:rsidRDefault="002A7155" w:rsidP="00920A70">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lang w:eastAsia="pt-BR"/>
              </w:rPr>
            </w:pPr>
            <w:r w:rsidRPr="006245D9">
              <w:rPr>
                <w:rFonts w:eastAsia="Times New Roman" w:cs="Times New Roman"/>
                <w:color w:val="000000"/>
                <w:sz w:val="22"/>
                <w:lang w:eastAsia="pt-BR"/>
              </w:rPr>
              <w:t>55</w:t>
            </w:r>
          </w:p>
        </w:tc>
      </w:tr>
      <w:tr w:rsidR="002A7155" w:rsidRPr="006245D9" w14:paraId="4DD8269E" w14:textId="77777777" w:rsidTr="00595110">
        <w:trPr>
          <w:trHeight w:val="283"/>
          <w:jc w:val="center"/>
        </w:trPr>
        <w:tc>
          <w:tcPr>
            <w:cnfStyle w:val="001000000000" w:firstRow="0" w:lastRow="0" w:firstColumn="1" w:lastColumn="0" w:oddVBand="0" w:evenVBand="0" w:oddHBand="0" w:evenHBand="0" w:firstRowFirstColumn="0" w:firstRowLastColumn="0" w:lastRowFirstColumn="0" w:lastRowLastColumn="0"/>
            <w:tcW w:w="7645" w:type="dxa"/>
            <w:noWrap/>
            <w:hideMark/>
          </w:tcPr>
          <w:p w14:paraId="1948721A" w14:textId="77777777" w:rsidR="002A7155" w:rsidRPr="006245D9" w:rsidRDefault="002A7155" w:rsidP="002A7155">
            <w:pPr>
              <w:ind w:firstLine="0"/>
              <w:jc w:val="left"/>
              <w:rPr>
                <w:rFonts w:eastAsia="Times New Roman" w:cs="Times New Roman"/>
                <w:b w:val="0"/>
                <w:bCs w:val="0"/>
                <w:color w:val="000000"/>
                <w:sz w:val="22"/>
                <w:lang w:eastAsia="pt-BR"/>
              </w:rPr>
            </w:pPr>
            <w:r w:rsidRPr="006245D9">
              <w:rPr>
                <w:rFonts w:eastAsia="Times New Roman" w:cs="Times New Roman"/>
                <w:b w:val="0"/>
                <w:bCs w:val="0"/>
                <w:color w:val="000000"/>
                <w:sz w:val="22"/>
                <w:lang w:eastAsia="pt-BR"/>
              </w:rPr>
              <w:t>Transporte, armazenagem e correio</w:t>
            </w:r>
          </w:p>
        </w:tc>
        <w:tc>
          <w:tcPr>
            <w:tcW w:w="1617" w:type="dxa"/>
            <w:noWrap/>
            <w:vAlign w:val="center"/>
            <w:hideMark/>
          </w:tcPr>
          <w:p w14:paraId="0B4E1715" w14:textId="77777777" w:rsidR="002A7155" w:rsidRPr="006245D9" w:rsidRDefault="002A7155" w:rsidP="00920A70">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lang w:eastAsia="pt-BR"/>
              </w:rPr>
            </w:pPr>
            <w:r w:rsidRPr="006245D9">
              <w:rPr>
                <w:rFonts w:eastAsia="Times New Roman" w:cs="Times New Roman"/>
                <w:color w:val="000000"/>
                <w:sz w:val="22"/>
                <w:lang w:eastAsia="pt-BR"/>
              </w:rPr>
              <w:t>59</w:t>
            </w:r>
          </w:p>
        </w:tc>
      </w:tr>
    </w:tbl>
    <w:p w14:paraId="1D4B3D00" w14:textId="77777777" w:rsidR="002A7155" w:rsidRPr="002A7155" w:rsidRDefault="002A7155" w:rsidP="002A7155">
      <w:pPr>
        <w:ind w:firstLine="0"/>
        <w:rPr>
          <w:rFonts w:cs="Times New Roman"/>
          <w:sz w:val="22"/>
        </w:rPr>
      </w:pPr>
      <w:r w:rsidRPr="002A7155">
        <w:rPr>
          <w:rFonts w:cs="Times New Roman"/>
          <w:b/>
          <w:bCs/>
          <w:sz w:val="22"/>
        </w:rPr>
        <w:t>Fonte</w:t>
      </w:r>
      <w:r w:rsidRPr="002A7155">
        <w:rPr>
          <w:rFonts w:cs="Times New Roman"/>
          <w:sz w:val="22"/>
        </w:rPr>
        <w:t>: RAIS (2021).</w:t>
      </w:r>
      <w:r w:rsidRPr="002A7155">
        <w:rPr>
          <w:rFonts w:cs="Times New Roman"/>
          <w:i/>
          <w:iCs/>
          <w:sz w:val="22"/>
        </w:rPr>
        <w:t xml:space="preserve"> </w:t>
      </w:r>
      <w:r w:rsidRPr="002A7155">
        <w:rPr>
          <w:rFonts w:cs="Times New Roman"/>
          <w:sz w:val="22"/>
        </w:rPr>
        <w:t>Organizado pelos autores.</w:t>
      </w:r>
    </w:p>
    <w:p w14:paraId="4D8B24A0" w14:textId="34490607" w:rsidR="002A7155" w:rsidRDefault="002A7155" w:rsidP="002A7155">
      <w:pPr>
        <w:ind w:firstLine="0"/>
        <w:rPr>
          <w:rFonts w:cs="Times New Roman"/>
          <w:szCs w:val="24"/>
        </w:rPr>
      </w:pPr>
    </w:p>
    <w:p w14:paraId="6EBF7467" w14:textId="1298BFD2" w:rsidR="002A7155" w:rsidRDefault="006245D9" w:rsidP="002A7155">
      <w:r>
        <w:t>Os dados reunidos no gráfico</w:t>
      </w:r>
      <w:r w:rsidR="002A7155" w:rsidRPr="002A7155">
        <w:t xml:space="preserve"> 5, </w:t>
      </w:r>
      <w:r>
        <w:t>mostram</w:t>
      </w:r>
      <w:r w:rsidR="002A7155" w:rsidRPr="002A7155">
        <w:t xml:space="preserve"> a quantidade de trabalhadores formais com ensino superior completo por faixa etária e gênero. </w:t>
      </w:r>
      <w:r w:rsidR="00A63DC8">
        <w:t>Nota-se que e</w:t>
      </w:r>
      <w:r w:rsidR="002A7155" w:rsidRPr="002A7155">
        <w:t xml:space="preserve">ntre os ocupados foi observado uma certa </w:t>
      </w:r>
      <w:r w:rsidR="00F12FD9">
        <w:t>predominância</w:t>
      </w:r>
      <w:r w:rsidR="002A7155" w:rsidRPr="002A7155">
        <w:t xml:space="preserve"> de gênero. Para todos os recortes de faixa etária, a quantidade de mulheres </w:t>
      </w:r>
      <w:r w:rsidR="00F12FD9">
        <w:t xml:space="preserve">capacitadas </w:t>
      </w:r>
      <w:r w:rsidR="002A7155" w:rsidRPr="002A7155">
        <w:t>empregadas foi superior, com destaque para a faixa de 40 a 49 anos. Na R.G.I de Pau dos Ferros, entre os ocupados no mercado de trabalho formal que possuem formação em ensino superior, 69% são mulheres.</w:t>
      </w:r>
    </w:p>
    <w:p w14:paraId="676953CE" w14:textId="77777777" w:rsidR="005E5D72" w:rsidRPr="002A7155" w:rsidRDefault="005E5D72" w:rsidP="005E5D72">
      <w:r w:rsidRPr="002A7155">
        <w:lastRenderedPageBreak/>
        <w:t>Em relação a idade dos ocupados, 62% desses tinham entre 30 e 49 anos, em 2019. Enquanto que apenas 16% tinham entre 18 e 29 anos. Logo é perceptível a baixa taxa de inserção dos jovens com ensino superior completo no mercado de trabalho formal da região.</w:t>
      </w:r>
    </w:p>
    <w:p w14:paraId="41E182B0" w14:textId="77777777" w:rsidR="002A7155" w:rsidRPr="002A7155" w:rsidRDefault="002A7155" w:rsidP="002A7155"/>
    <w:p w14:paraId="6494269A" w14:textId="19BA620C" w:rsidR="002A7155" w:rsidRPr="002A7155" w:rsidRDefault="002A7155" w:rsidP="00394BFE">
      <w:pPr>
        <w:pStyle w:val="Legenda"/>
        <w:keepNext/>
        <w:spacing w:after="0"/>
        <w:rPr>
          <w:i w:val="0"/>
          <w:iCs w:val="0"/>
          <w:color w:val="000000" w:themeColor="text1"/>
          <w:sz w:val="22"/>
          <w:szCs w:val="22"/>
        </w:rPr>
      </w:pPr>
      <w:r w:rsidRPr="002A7155">
        <w:rPr>
          <w:b/>
          <w:bCs/>
          <w:i w:val="0"/>
          <w:iCs w:val="0"/>
          <w:color w:val="000000" w:themeColor="text1"/>
          <w:sz w:val="22"/>
          <w:szCs w:val="22"/>
        </w:rPr>
        <w:t xml:space="preserve">Gráfico </w:t>
      </w:r>
      <w:r w:rsidRPr="002A7155">
        <w:rPr>
          <w:b/>
          <w:bCs/>
          <w:i w:val="0"/>
          <w:iCs w:val="0"/>
          <w:color w:val="000000" w:themeColor="text1"/>
          <w:sz w:val="22"/>
          <w:szCs w:val="22"/>
        </w:rPr>
        <w:fldChar w:fldCharType="begin"/>
      </w:r>
      <w:r w:rsidRPr="002A7155">
        <w:rPr>
          <w:b/>
          <w:bCs/>
          <w:i w:val="0"/>
          <w:iCs w:val="0"/>
          <w:color w:val="000000" w:themeColor="text1"/>
          <w:sz w:val="22"/>
          <w:szCs w:val="22"/>
        </w:rPr>
        <w:instrText xml:space="preserve"> SEQ Gráfico \* ARABIC </w:instrText>
      </w:r>
      <w:r w:rsidRPr="002A7155">
        <w:rPr>
          <w:b/>
          <w:bCs/>
          <w:i w:val="0"/>
          <w:iCs w:val="0"/>
          <w:color w:val="000000" w:themeColor="text1"/>
          <w:sz w:val="22"/>
          <w:szCs w:val="22"/>
        </w:rPr>
        <w:fldChar w:fldCharType="separate"/>
      </w:r>
      <w:r w:rsidRPr="002A7155">
        <w:rPr>
          <w:b/>
          <w:bCs/>
          <w:i w:val="0"/>
          <w:iCs w:val="0"/>
          <w:noProof/>
          <w:color w:val="000000" w:themeColor="text1"/>
          <w:sz w:val="22"/>
          <w:szCs w:val="22"/>
        </w:rPr>
        <w:t>4</w:t>
      </w:r>
      <w:r w:rsidRPr="002A7155">
        <w:rPr>
          <w:b/>
          <w:bCs/>
          <w:i w:val="0"/>
          <w:iCs w:val="0"/>
          <w:color w:val="000000" w:themeColor="text1"/>
          <w:sz w:val="22"/>
          <w:szCs w:val="22"/>
        </w:rPr>
        <w:fldChar w:fldCharType="end"/>
      </w:r>
      <w:r w:rsidRPr="002A7155">
        <w:rPr>
          <w:b/>
          <w:bCs/>
          <w:i w:val="0"/>
          <w:iCs w:val="0"/>
          <w:color w:val="000000" w:themeColor="text1"/>
          <w:sz w:val="22"/>
          <w:szCs w:val="22"/>
        </w:rPr>
        <w:t>:</w:t>
      </w:r>
      <w:r w:rsidRPr="002A7155">
        <w:rPr>
          <w:i w:val="0"/>
          <w:iCs w:val="0"/>
          <w:color w:val="000000" w:themeColor="text1"/>
          <w:sz w:val="22"/>
          <w:szCs w:val="22"/>
        </w:rPr>
        <w:t xml:space="preserve"> Trabalhadores formais com ensino superior completo por faixa etária e gênero, 2019.</w:t>
      </w:r>
    </w:p>
    <w:p w14:paraId="7E683C4A" w14:textId="77777777" w:rsidR="002A7155" w:rsidRPr="002A7155" w:rsidRDefault="002A7155" w:rsidP="002A7155">
      <w:pPr>
        <w:ind w:firstLine="0"/>
      </w:pPr>
      <w:r w:rsidRPr="002A7155">
        <w:rPr>
          <w:i/>
          <w:iCs/>
          <w:noProof/>
        </w:rPr>
        <w:drawing>
          <wp:inline distT="0" distB="0" distL="0" distR="0" wp14:anchorId="56C48C89" wp14:editId="779AE394">
            <wp:extent cx="5749158" cy="3373820"/>
            <wp:effectExtent l="0" t="0" r="4445" b="17145"/>
            <wp:docPr id="9" name="Gráfico 9">
              <a:extLst xmlns:a="http://schemas.openxmlformats.org/drawingml/2006/main">
                <a:ext uri="{FF2B5EF4-FFF2-40B4-BE49-F238E27FC236}">
                  <a16:creationId xmlns:a16="http://schemas.microsoft.com/office/drawing/2014/main" id="{0698AFFE-D5C9-4488-87CA-56972CA6224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7FDDF1C4" w14:textId="19D3BC95" w:rsidR="002A7155" w:rsidRPr="002A7155" w:rsidRDefault="002A7155" w:rsidP="002A7155">
      <w:pPr>
        <w:ind w:firstLine="0"/>
        <w:rPr>
          <w:sz w:val="22"/>
        </w:rPr>
      </w:pPr>
      <w:r w:rsidRPr="002A7155">
        <w:rPr>
          <w:b/>
          <w:bCs/>
          <w:sz w:val="22"/>
        </w:rPr>
        <w:t>Fonte</w:t>
      </w:r>
      <w:r w:rsidRPr="002A7155">
        <w:rPr>
          <w:sz w:val="22"/>
        </w:rPr>
        <w:t>: RAIS (2021). Organizado pelos autores.</w:t>
      </w:r>
    </w:p>
    <w:p w14:paraId="0090FB65" w14:textId="2FB86D43" w:rsidR="002A7155" w:rsidRDefault="002A7155" w:rsidP="002A7155"/>
    <w:p w14:paraId="73078F8B" w14:textId="3ED5E22A" w:rsidR="005E5D72" w:rsidRPr="005E5D72" w:rsidRDefault="005E5D72" w:rsidP="005E5D72">
      <w:r>
        <w:t xml:space="preserve">De maneira sintetizada, pode </w:t>
      </w:r>
      <w:r w:rsidRPr="005E5D72">
        <w:t>observ</w:t>
      </w:r>
      <w:r>
        <w:t>ar, a partir do exposto acima</w:t>
      </w:r>
      <w:r w:rsidRPr="005E5D72">
        <w:t xml:space="preserve"> que houve um aumento na quantidade de trabalhadores formais com ensino superior completo na R.G.I. de Pau do Ferros</w:t>
      </w:r>
      <w:r>
        <w:t>, s</w:t>
      </w:r>
      <w:r w:rsidRPr="005E5D72">
        <w:t xml:space="preserve">endo que os ocupados mais bem remunerados foram os que apresentaram níveis mais altos de escolaridade. A atividade econômica que mais empregou esses profissionais foi a Administração Pública, Defesa </w:t>
      </w:r>
      <w:r>
        <w:t>e</w:t>
      </w:r>
      <w:r w:rsidRPr="005E5D72">
        <w:t xml:space="preserve"> Seguridade Social. Entre os ocupados foi observado uma </w:t>
      </w:r>
      <w:r>
        <w:t>pre</w:t>
      </w:r>
      <w:r w:rsidR="00E77A57">
        <w:t>dominância</w:t>
      </w:r>
      <w:r w:rsidRPr="005E5D72">
        <w:t xml:space="preserve"> de gênero, com forte presença feminina. No tocante a idade dos empregados, o destaque fica entre os que possuíam 30 e 49 anos, em 2019. </w:t>
      </w:r>
    </w:p>
    <w:p w14:paraId="041AAA68" w14:textId="78B8E344" w:rsidR="005E5D72" w:rsidRPr="005E5D72" w:rsidRDefault="005E5D72" w:rsidP="005E5D72">
      <w:r w:rsidRPr="005E5D72">
        <w:t xml:space="preserve">O pressuposto de partida desse estudo era que o aumento do nível de escolaridade da população e a devida qualificação dos trabalhadores elevaria os rendimentos desses e assim contribuiria para o desenvolvimento regional. Os resultados, sustentados pela literatura, mostraram que na região analisada houve, um aumento na quantidade de trabalhadores com níveis mais altos de escolaridade e consequentemente maiores rendimentos, logo contribuindo para a </w:t>
      </w:r>
      <w:r w:rsidR="00E77A57">
        <w:t xml:space="preserve">certa </w:t>
      </w:r>
      <w:r w:rsidRPr="005E5D72">
        <w:t>redução das disparidades regionais</w:t>
      </w:r>
      <w:r w:rsidR="00E77A57">
        <w:t xml:space="preserve"> de renda</w:t>
      </w:r>
      <w:r w:rsidRPr="005E5D72">
        <w:t xml:space="preserve">. </w:t>
      </w:r>
    </w:p>
    <w:p w14:paraId="0E080245" w14:textId="102B8C7B" w:rsidR="005E5D72" w:rsidRPr="005E5D72" w:rsidRDefault="005E5D72" w:rsidP="005E5D72">
      <w:r w:rsidRPr="005E5D72">
        <w:t xml:space="preserve">Em vista da literatura apresentada infere-se também a importância dos recursos humanos qualificados no processo de desenvolvimento. Os vários autores referenciados destacaram como o investimento em </w:t>
      </w:r>
      <w:r w:rsidR="00E77A57">
        <w:t>pessoas</w:t>
      </w:r>
      <w:r w:rsidRPr="005E5D72">
        <w:t xml:space="preserve"> pode constituir-se </w:t>
      </w:r>
      <w:r w:rsidR="00E77A57">
        <w:t xml:space="preserve">uma </w:t>
      </w:r>
      <w:r w:rsidRPr="005E5D72">
        <w:t xml:space="preserve">alternativa a superação do subdesenvolvimento e todas as mazelas inerentes a essa condição econômica. </w:t>
      </w:r>
    </w:p>
    <w:p w14:paraId="644BC42A" w14:textId="77777777" w:rsidR="005E5D72" w:rsidRPr="005E5D72" w:rsidRDefault="005E5D72" w:rsidP="005E5D72">
      <w:r w:rsidRPr="005E5D72">
        <w:lastRenderedPageBreak/>
        <w:t xml:space="preserve">Assim, os resultados desse estudo reforçam a importância da educação como fator condicionante para o desenvolvimento regional. Reforça-se também a necessidade de altos e contínuos investimentos na expansão do ensino superior, público e de qualidade. </w:t>
      </w:r>
    </w:p>
    <w:p w14:paraId="49B17AD0" w14:textId="77777777" w:rsidR="005E5D72" w:rsidRPr="005E5D72" w:rsidRDefault="005E5D72" w:rsidP="005E5D72">
      <w:r w:rsidRPr="005E5D72">
        <w:t>Por fim, este estudo buscou fazer apenas breves considerações sobre a atuação de níveis mais altos de escolaridade da população como instrumento de redução das disparidades regionais brasileiras. Alguns questionamentos que não foram objetos de analise desse estudo ficam como indicações para outras pesquisas, como, por exemplo: o que explica a forte disparidade de gênero entre os trabalhadores formais com ensino superior completo na R.G.I. de Pau dos Ferros? Qual o motivo da baixa incidência de jovens mais escolarizados no mercado de trabalho formal da região estudada?</w:t>
      </w:r>
    </w:p>
    <w:p w14:paraId="51446A4C" w14:textId="77777777" w:rsidR="005E5D72" w:rsidRPr="002A7155" w:rsidRDefault="005E5D72" w:rsidP="002A7155"/>
    <w:p w14:paraId="24083C32" w14:textId="77777777" w:rsidR="00F50004" w:rsidRDefault="00F50004" w:rsidP="00E61136">
      <w:pPr>
        <w:ind w:firstLine="0"/>
        <w:rPr>
          <w:rFonts w:cs="Times New Roman"/>
          <w:b/>
          <w:bCs/>
          <w:szCs w:val="24"/>
        </w:rPr>
      </w:pPr>
    </w:p>
    <w:p w14:paraId="7AC4741F" w14:textId="77777777" w:rsidR="00595110" w:rsidRDefault="00595110" w:rsidP="00E61136">
      <w:pPr>
        <w:ind w:firstLine="0"/>
        <w:rPr>
          <w:rFonts w:cs="Times New Roman"/>
          <w:b/>
          <w:bCs/>
          <w:szCs w:val="24"/>
        </w:rPr>
        <w:sectPr w:rsidR="00595110">
          <w:headerReference w:type="default" r:id="rId13"/>
          <w:footerReference w:type="default" r:id="rId14"/>
          <w:pgSz w:w="11906" w:h="16838"/>
          <w:pgMar w:top="1701" w:right="1134" w:bottom="1134" w:left="1701" w:header="851" w:footer="709" w:gutter="0"/>
          <w:cols w:space="708"/>
          <w:docGrid w:linePitch="360"/>
        </w:sectPr>
      </w:pPr>
    </w:p>
    <w:p w14:paraId="24083C33" w14:textId="77777777" w:rsidR="00F50004" w:rsidRDefault="004018DB" w:rsidP="00E61136">
      <w:pPr>
        <w:ind w:firstLine="0"/>
        <w:rPr>
          <w:rFonts w:cs="Times New Roman"/>
          <w:b/>
          <w:bCs/>
          <w:szCs w:val="24"/>
        </w:rPr>
      </w:pPr>
      <w:r>
        <w:rPr>
          <w:rFonts w:cs="Times New Roman"/>
          <w:b/>
          <w:bCs/>
          <w:szCs w:val="24"/>
        </w:rPr>
        <w:lastRenderedPageBreak/>
        <w:t>REFERÊNCIAS</w:t>
      </w:r>
    </w:p>
    <w:p w14:paraId="24083C34" w14:textId="77777777" w:rsidR="00F50004" w:rsidRDefault="00F50004">
      <w:pPr>
        <w:rPr>
          <w:rFonts w:cs="Times New Roman"/>
          <w:szCs w:val="24"/>
        </w:rPr>
      </w:pPr>
    </w:p>
    <w:p w14:paraId="7591356F" w14:textId="2C0F5EBB" w:rsidR="008202E1" w:rsidRDefault="008202E1" w:rsidP="00787010">
      <w:pPr>
        <w:ind w:firstLine="0"/>
        <w:jc w:val="left"/>
        <w:rPr>
          <w:rFonts w:eastAsia="Calibri" w:cs="Times New Roman"/>
        </w:rPr>
      </w:pPr>
      <w:r w:rsidRPr="008202E1">
        <w:rPr>
          <w:rFonts w:eastAsia="Calibri" w:cs="Times New Roman"/>
        </w:rPr>
        <w:t xml:space="preserve">BARRETO FILHO, B. F. </w:t>
      </w:r>
      <w:r w:rsidRPr="008202E1">
        <w:rPr>
          <w:rFonts w:eastAsia="Calibri" w:cs="Times New Roman"/>
          <w:b/>
          <w:bCs/>
        </w:rPr>
        <w:t>Alto Oeste Potiguar (1700-2017</w:t>
      </w:r>
      <w:r w:rsidRPr="008202E1">
        <w:rPr>
          <w:rFonts w:eastAsia="Calibri" w:cs="Times New Roman"/>
        </w:rPr>
        <w:t xml:space="preserve">): Estrutura econômica, dinâmica urbana e regionalização. 2018. 212 f. Dissertação (Mestrado em Planejamento e Dinâmicas Territoriais no Semiárido) - Universidade do Estado do Rio Grande do Norte, Pau dos Ferros, Rio Grande do Norte.  </w:t>
      </w:r>
    </w:p>
    <w:p w14:paraId="64B1F1EA" w14:textId="77777777" w:rsidR="008202E1" w:rsidRDefault="008202E1" w:rsidP="00787010">
      <w:pPr>
        <w:ind w:firstLine="0"/>
        <w:jc w:val="left"/>
        <w:rPr>
          <w:rFonts w:eastAsia="Calibri" w:cs="Times New Roman"/>
        </w:rPr>
      </w:pPr>
    </w:p>
    <w:p w14:paraId="5EBBE4A6" w14:textId="199A90E0" w:rsidR="008202E1" w:rsidRDefault="008202E1" w:rsidP="00787010">
      <w:pPr>
        <w:ind w:firstLine="0"/>
        <w:jc w:val="left"/>
        <w:rPr>
          <w:rFonts w:eastAsia="Calibri" w:cs="Times New Roman"/>
        </w:rPr>
      </w:pPr>
      <w:r w:rsidRPr="00787010">
        <w:rPr>
          <w:rFonts w:eastAsia="Calibri" w:cs="Times New Roman"/>
        </w:rPr>
        <w:t xml:space="preserve">BRASIL. Banco Central do Brasil. Escolaridade e rendimentos do trabalho. </w:t>
      </w:r>
      <w:r w:rsidRPr="00787010">
        <w:rPr>
          <w:rFonts w:eastAsia="Calibri" w:cs="Times New Roman"/>
          <w:b/>
          <w:bCs/>
        </w:rPr>
        <w:t>Boletim Regional</w:t>
      </w:r>
      <w:r w:rsidRPr="00787010">
        <w:rPr>
          <w:rFonts w:eastAsia="Calibri" w:cs="Times New Roman"/>
        </w:rPr>
        <w:t xml:space="preserve">, v. 13, n. 4, p. 69–72, 2019. Disponível em: </w:t>
      </w:r>
      <w:hyperlink r:id="rId15" w:history="1">
        <w:r w:rsidRPr="00787010">
          <w:rPr>
            <w:rFonts w:eastAsia="Calibri" w:cs="Times New Roman"/>
            <w:color w:val="0563C1"/>
            <w:u w:val="single"/>
          </w:rPr>
          <w:t>https://www.bcb.gov.br/content/publicacoes/boletimregional/201901/br201901b1p.pdf</w:t>
        </w:r>
      </w:hyperlink>
      <w:r w:rsidRPr="00787010">
        <w:rPr>
          <w:rFonts w:eastAsia="Calibri" w:cs="Times New Roman"/>
        </w:rPr>
        <w:t xml:space="preserve"> . Acesso em: 10 jun. 2021.</w:t>
      </w:r>
    </w:p>
    <w:p w14:paraId="59B4A64F" w14:textId="77777777" w:rsidR="008202E1" w:rsidRPr="00787010" w:rsidRDefault="008202E1" w:rsidP="00787010">
      <w:pPr>
        <w:ind w:firstLine="0"/>
        <w:jc w:val="left"/>
        <w:rPr>
          <w:rFonts w:eastAsia="Calibri" w:cs="Times New Roman"/>
        </w:rPr>
      </w:pPr>
    </w:p>
    <w:p w14:paraId="693FA1EC" w14:textId="025D02BD" w:rsidR="008202E1" w:rsidRDefault="008202E1" w:rsidP="00787010">
      <w:pPr>
        <w:ind w:firstLine="0"/>
        <w:jc w:val="left"/>
        <w:rPr>
          <w:rFonts w:eastAsia="Calibri" w:cs="Times New Roman"/>
        </w:rPr>
      </w:pPr>
      <w:r w:rsidRPr="00787010">
        <w:rPr>
          <w:rFonts w:eastAsia="Calibri" w:cs="Times New Roman"/>
        </w:rPr>
        <w:t xml:space="preserve">BRASIL. Censo da educação superior: 2010 – </w:t>
      </w:r>
      <w:r w:rsidRPr="00787010">
        <w:rPr>
          <w:rFonts w:eastAsia="Calibri" w:cs="Times New Roman"/>
          <w:b/>
          <w:bCs/>
        </w:rPr>
        <w:t>Resumo técnico</w:t>
      </w:r>
      <w:r w:rsidRPr="00787010">
        <w:rPr>
          <w:rFonts w:eastAsia="Calibri" w:cs="Times New Roman"/>
        </w:rPr>
        <w:t xml:space="preserve">. Brasília: Instituto Nacional de Estudos e Pesquisas Educacionais Anísio Teixeira, 2012. </w:t>
      </w:r>
    </w:p>
    <w:p w14:paraId="453EBE90" w14:textId="77777777" w:rsidR="008202E1" w:rsidRPr="00787010" w:rsidRDefault="008202E1" w:rsidP="00787010">
      <w:pPr>
        <w:ind w:firstLine="0"/>
        <w:jc w:val="left"/>
        <w:rPr>
          <w:rFonts w:eastAsia="Calibri" w:cs="Times New Roman"/>
        </w:rPr>
      </w:pPr>
    </w:p>
    <w:p w14:paraId="4933D0F9" w14:textId="1321731C" w:rsidR="008202E1" w:rsidRDefault="008202E1" w:rsidP="00787010">
      <w:pPr>
        <w:ind w:firstLine="0"/>
        <w:jc w:val="left"/>
        <w:rPr>
          <w:rFonts w:eastAsia="Calibri" w:cs="Times New Roman"/>
        </w:rPr>
      </w:pPr>
      <w:r w:rsidRPr="00787010">
        <w:rPr>
          <w:rFonts w:eastAsia="Calibri" w:cs="Times New Roman"/>
        </w:rPr>
        <w:t xml:space="preserve">BRASIL. Ministério da Educação. </w:t>
      </w:r>
      <w:r w:rsidRPr="00787010">
        <w:rPr>
          <w:rFonts w:eastAsia="Calibri" w:cs="Times New Roman"/>
          <w:b/>
          <w:bCs/>
        </w:rPr>
        <w:t xml:space="preserve">A democratização e expansão da educação superior no país 2003 – 2014. </w:t>
      </w:r>
      <w:r w:rsidRPr="008A48C6">
        <w:rPr>
          <w:rFonts w:eastAsia="Calibri" w:cs="Times New Roman"/>
        </w:rPr>
        <w:t>2014.</w:t>
      </w:r>
      <w:r w:rsidRPr="00787010">
        <w:rPr>
          <w:rFonts w:eastAsia="Calibri" w:cs="Times New Roman"/>
        </w:rPr>
        <w:t xml:space="preserve"> Disponível em: </w:t>
      </w:r>
      <w:hyperlink r:id="rId16" w:history="1">
        <w:r w:rsidRPr="00787010">
          <w:rPr>
            <w:rFonts w:eastAsia="Calibri" w:cs="Times New Roman"/>
            <w:color w:val="0563C1"/>
            <w:u w:val="single"/>
          </w:rPr>
          <w:t>http://portal.mec.gov.br/index.php?option=com_docman&amp;view=download&amp;alias=16762-balanco-social-sesu-2003-2014&amp;Itemid=30192</w:t>
        </w:r>
      </w:hyperlink>
      <w:r w:rsidRPr="00787010">
        <w:rPr>
          <w:rFonts w:eastAsia="Calibri" w:cs="Times New Roman"/>
        </w:rPr>
        <w:t>. Acesso em: 15 jun. 2021.</w:t>
      </w:r>
    </w:p>
    <w:p w14:paraId="0549A6A8" w14:textId="77777777" w:rsidR="008202E1" w:rsidRPr="00787010" w:rsidRDefault="008202E1" w:rsidP="00787010">
      <w:pPr>
        <w:ind w:firstLine="0"/>
        <w:jc w:val="left"/>
        <w:rPr>
          <w:rFonts w:eastAsia="Calibri" w:cs="Times New Roman"/>
        </w:rPr>
      </w:pPr>
    </w:p>
    <w:p w14:paraId="63E4AC0F" w14:textId="758B3852" w:rsidR="008202E1" w:rsidRDefault="008202E1" w:rsidP="00787010">
      <w:pPr>
        <w:ind w:firstLine="0"/>
        <w:jc w:val="left"/>
        <w:rPr>
          <w:rFonts w:eastAsia="Calibri" w:cs="Times New Roman"/>
        </w:rPr>
      </w:pPr>
      <w:r w:rsidRPr="00787010">
        <w:rPr>
          <w:rFonts w:eastAsia="Calibri" w:cs="Times New Roman"/>
        </w:rPr>
        <w:t xml:space="preserve">BRASIL. Ministério da Educação. </w:t>
      </w:r>
      <w:r w:rsidRPr="00787010">
        <w:rPr>
          <w:rFonts w:eastAsia="Calibri" w:cs="Times New Roman"/>
          <w:b/>
          <w:bCs/>
        </w:rPr>
        <w:t>Diretrizes gerais do programa de apoio a planos de reestruturação e expansão das universidades federais REUNI</w:t>
      </w:r>
      <w:r w:rsidRPr="00787010">
        <w:rPr>
          <w:rFonts w:eastAsia="Calibri" w:cs="Times New Roman"/>
        </w:rPr>
        <w:t xml:space="preserve">. Brasília, 2007. </w:t>
      </w:r>
    </w:p>
    <w:p w14:paraId="78FC91F4" w14:textId="77777777" w:rsidR="008202E1" w:rsidRPr="00787010" w:rsidRDefault="008202E1" w:rsidP="00787010">
      <w:pPr>
        <w:ind w:firstLine="0"/>
        <w:jc w:val="left"/>
        <w:rPr>
          <w:rFonts w:eastAsia="Calibri" w:cs="Times New Roman"/>
        </w:rPr>
      </w:pPr>
    </w:p>
    <w:p w14:paraId="56A99FDA" w14:textId="0C783AB3" w:rsidR="008202E1" w:rsidRDefault="008202E1" w:rsidP="00787010">
      <w:pPr>
        <w:ind w:firstLine="0"/>
        <w:jc w:val="left"/>
        <w:rPr>
          <w:rFonts w:eastAsia="Calibri" w:cs="Times New Roman"/>
        </w:rPr>
      </w:pPr>
      <w:r w:rsidRPr="00787010">
        <w:rPr>
          <w:rFonts w:eastAsia="Calibri" w:cs="Times New Roman"/>
        </w:rPr>
        <w:t xml:space="preserve">BRASIL. Ministério do Trabalho e Emprego. </w:t>
      </w:r>
      <w:r w:rsidRPr="00787010">
        <w:rPr>
          <w:rFonts w:eastAsia="Calibri" w:cs="Times New Roman"/>
          <w:b/>
          <w:bCs/>
        </w:rPr>
        <w:t>Programa de Disseminação das Estatísticas do Trabalho</w:t>
      </w:r>
      <w:r w:rsidRPr="00787010">
        <w:rPr>
          <w:rFonts w:eastAsia="Calibri" w:cs="Times New Roman"/>
        </w:rPr>
        <w:t xml:space="preserve">. Relação Anual de Informações Sociais (RAIS). Brasília, DF, 2009-2019. Disponível em: </w:t>
      </w:r>
      <w:hyperlink r:id="rId17" w:history="1">
        <w:r w:rsidRPr="00787010">
          <w:rPr>
            <w:rFonts w:eastAsia="Calibri" w:cs="Times New Roman"/>
            <w:color w:val="0563C1"/>
            <w:u w:val="single"/>
          </w:rPr>
          <w:t>https://bi.mte.gov.br/bgcaged/login.php</w:t>
        </w:r>
      </w:hyperlink>
      <w:r w:rsidRPr="00787010">
        <w:rPr>
          <w:rFonts w:eastAsia="Calibri" w:cs="Times New Roman"/>
        </w:rPr>
        <w:t xml:space="preserve"> . Acesso em: 20 jun. 2021.</w:t>
      </w:r>
    </w:p>
    <w:p w14:paraId="7B709EA5" w14:textId="77777777" w:rsidR="008202E1" w:rsidRPr="00787010" w:rsidRDefault="008202E1" w:rsidP="00787010">
      <w:pPr>
        <w:ind w:firstLine="0"/>
        <w:jc w:val="left"/>
        <w:rPr>
          <w:rFonts w:eastAsia="Calibri" w:cs="Times New Roman"/>
        </w:rPr>
      </w:pPr>
    </w:p>
    <w:p w14:paraId="44665752" w14:textId="42B3F773" w:rsidR="008202E1" w:rsidRDefault="008202E1" w:rsidP="00787010">
      <w:pPr>
        <w:ind w:firstLine="0"/>
        <w:jc w:val="left"/>
        <w:rPr>
          <w:rFonts w:eastAsia="Calibri" w:cs="Times New Roman"/>
        </w:rPr>
      </w:pPr>
      <w:r w:rsidRPr="00787010">
        <w:rPr>
          <w:rFonts w:eastAsia="Calibri" w:cs="Times New Roman"/>
        </w:rPr>
        <w:t xml:space="preserve">FERREIRA, S. Reformas na educação superior: novas regulações para a reconfiguração da universidade. </w:t>
      </w:r>
      <w:r w:rsidRPr="00787010">
        <w:rPr>
          <w:rFonts w:eastAsia="Calibri" w:cs="Times New Roman"/>
          <w:b/>
          <w:bCs/>
        </w:rPr>
        <w:t xml:space="preserve">Educação </w:t>
      </w:r>
      <w:proofErr w:type="spellStart"/>
      <w:r w:rsidRPr="00787010">
        <w:rPr>
          <w:rFonts w:eastAsia="Calibri" w:cs="Times New Roman"/>
          <w:b/>
          <w:bCs/>
        </w:rPr>
        <w:t>Unisinos</w:t>
      </w:r>
      <w:proofErr w:type="spellEnd"/>
      <w:r w:rsidRPr="00787010">
        <w:rPr>
          <w:rFonts w:eastAsia="Calibri" w:cs="Times New Roman"/>
        </w:rPr>
        <w:t>, São Leopoldo, v. 19, n. 1, p. 122-131, 2015.</w:t>
      </w:r>
      <w:r w:rsidR="00B07293" w:rsidRPr="00B07293">
        <w:rPr>
          <w:rFonts w:eastAsia="Calibri" w:cs="Times New Roman"/>
          <w:i/>
          <w:iCs/>
        </w:rPr>
        <w:t xml:space="preserve"> </w:t>
      </w:r>
      <w:r w:rsidR="00B07293" w:rsidRPr="00B07293">
        <w:rPr>
          <w:rFonts w:eastAsia="Calibri" w:cs="Times New Roman"/>
        </w:rPr>
        <w:t>Disponível em:</w:t>
      </w:r>
      <w:r w:rsidR="00B07293" w:rsidRPr="00B07293">
        <w:t xml:space="preserve"> </w:t>
      </w:r>
      <w:hyperlink r:id="rId18" w:history="1">
        <w:r w:rsidR="00B07293" w:rsidRPr="00B07293">
          <w:rPr>
            <w:rStyle w:val="Hyperlink"/>
            <w:rFonts w:eastAsia="Calibri" w:cs="Times New Roman"/>
          </w:rPr>
          <w:t>https://doi.org/10.4013/edu.2015.191.2488</w:t>
        </w:r>
      </w:hyperlink>
      <w:r w:rsidR="00B07293" w:rsidRPr="00B07293">
        <w:rPr>
          <w:rFonts w:eastAsia="Calibri" w:cs="Times New Roman"/>
        </w:rPr>
        <w:t xml:space="preserve"> . Acesso em: 08 jun. 2021.</w:t>
      </w:r>
    </w:p>
    <w:p w14:paraId="01A07233" w14:textId="77777777" w:rsidR="008202E1" w:rsidRPr="00787010" w:rsidRDefault="008202E1" w:rsidP="00787010">
      <w:pPr>
        <w:ind w:firstLine="0"/>
        <w:jc w:val="left"/>
        <w:rPr>
          <w:rFonts w:eastAsia="Calibri" w:cs="Times New Roman"/>
        </w:rPr>
      </w:pPr>
    </w:p>
    <w:p w14:paraId="2530B890" w14:textId="0349AEC0" w:rsidR="008202E1" w:rsidRDefault="008202E1" w:rsidP="00787010">
      <w:pPr>
        <w:ind w:firstLine="0"/>
        <w:jc w:val="left"/>
        <w:rPr>
          <w:rFonts w:eastAsia="Calibri" w:cs="Times New Roman"/>
        </w:rPr>
      </w:pPr>
      <w:r w:rsidRPr="00787010">
        <w:rPr>
          <w:rFonts w:eastAsia="Calibri" w:cs="Times New Roman"/>
        </w:rPr>
        <w:t xml:space="preserve">FURTADO, C. </w:t>
      </w:r>
      <w:r w:rsidRPr="00787010">
        <w:rPr>
          <w:rFonts w:eastAsia="Calibri" w:cs="Times New Roman"/>
          <w:b/>
          <w:bCs/>
        </w:rPr>
        <w:t>Em busca de um novo modelo</w:t>
      </w:r>
      <w:r w:rsidRPr="00787010">
        <w:rPr>
          <w:rFonts w:eastAsia="Calibri" w:cs="Times New Roman"/>
        </w:rPr>
        <w:t xml:space="preserve">: reflexões sobre a crise contemporânea. 2. ed. Rio de Janeiro: Paz e Terra, 2002. </w:t>
      </w:r>
    </w:p>
    <w:p w14:paraId="3CC1B346" w14:textId="77777777" w:rsidR="008202E1" w:rsidRPr="00787010" w:rsidRDefault="008202E1" w:rsidP="00787010">
      <w:pPr>
        <w:ind w:firstLine="0"/>
        <w:jc w:val="left"/>
        <w:rPr>
          <w:rFonts w:eastAsia="Calibri" w:cs="Times New Roman"/>
        </w:rPr>
      </w:pPr>
    </w:p>
    <w:p w14:paraId="7BCCE5BE" w14:textId="6B75063D" w:rsidR="00B07293" w:rsidRDefault="008202E1" w:rsidP="00B07293">
      <w:pPr>
        <w:ind w:firstLine="0"/>
        <w:jc w:val="left"/>
        <w:rPr>
          <w:rFonts w:eastAsia="Calibri" w:cs="Times New Roman"/>
        </w:rPr>
      </w:pPr>
      <w:r w:rsidRPr="00787010">
        <w:rPr>
          <w:rFonts w:eastAsia="Calibri" w:cs="Times New Roman"/>
        </w:rPr>
        <w:t xml:space="preserve">GENTILLI, P.; OLIVEIRA, D. A. A procura da igualdade: dez anos de política educacional no Brasil. In: SADER, E. (Org.). </w:t>
      </w:r>
      <w:r w:rsidRPr="00787010">
        <w:rPr>
          <w:rFonts w:eastAsia="Calibri" w:cs="Times New Roman"/>
          <w:b/>
          <w:bCs/>
        </w:rPr>
        <w:t>10 Anos de governo pós-neoliberais no Brasil</w:t>
      </w:r>
      <w:r w:rsidRPr="00787010">
        <w:rPr>
          <w:rFonts w:eastAsia="Calibri" w:cs="Times New Roman"/>
        </w:rPr>
        <w:t xml:space="preserve">: Lula e Dilma. São Paulo: </w:t>
      </w:r>
      <w:proofErr w:type="spellStart"/>
      <w:r w:rsidRPr="00787010">
        <w:rPr>
          <w:rFonts w:eastAsia="Calibri" w:cs="Times New Roman"/>
        </w:rPr>
        <w:t>Boitempo</w:t>
      </w:r>
      <w:proofErr w:type="spellEnd"/>
      <w:r w:rsidRPr="00787010">
        <w:rPr>
          <w:rFonts w:eastAsia="Calibri" w:cs="Times New Roman"/>
        </w:rPr>
        <w:t>. 2013. p. 253-263.</w:t>
      </w:r>
      <w:r w:rsidR="00B07293">
        <w:rPr>
          <w:rFonts w:eastAsia="Calibri" w:cs="Times New Roman"/>
        </w:rPr>
        <w:t xml:space="preserve"> </w:t>
      </w:r>
      <w:r w:rsidR="00B07293" w:rsidRPr="00B07293">
        <w:rPr>
          <w:rFonts w:eastAsia="Calibri" w:cs="Times New Roman"/>
        </w:rPr>
        <w:t>Disponível em:</w:t>
      </w:r>
      <w:r w:rsidR="00B07293" w:rsidRPr="00B07293">
        <w:t xml:space="preserve"> </w:t>
      </w:r>
      <w:hyperlink r:id="rId19" w:history="1">
        <w:r w:rsidR="00B07293" w:rsidRPr="00D671C7">
          <w:rPr>
            <w:rStyle w:val="Hyperlink"/>
            <w:rFonts w:eastAsia="Calibri" w:cs="Times New Roman"/>
          </w:rPr>
          <w:t>https://acervo.enap.gov.br/cgi-bin/koha/opac-detail.pl?biblionumber=52331</w:t>
        </w:r>
      </w:hyperlink>
      <w:r w:rsidR="00B07293">
        <w:rPr>
          <w:rFonts w:eastAsia="Calibri" w:cs="Times New Roman"/>
        </w:rPr>
        <w:t xml:space="preserve"> </w:t>
      </w:r>
      <w:r w:rsidR="00B07293" w:rsidRPr="00B07293">
        <w:rPr>
          <w:rFonts w:eastAsia="Calibri" w:cs="Times New Roman"/>
        </w:rPr>
        <w:t>. Acesso em: 0</w:t>
      </w:r>
      <w:r w:rsidR="00B07293">
        <w:rPr>
          <w:rFonts w:eastAsia="Calibri" w:cs="Times New Roman"/>
        </w:rPr>
        <w:t xml:space="preserve">9 </w:t>
      </w:r>
      <w:r w:rsidR="00B07293" w:rsidRPr="00B07293">
        <w:rPr>
          <w:rFonts w:eastAsia="Calibri" w:cs="Times New Roman"/>
        </w:rPr>
        <w:t>jun. 2021.</w:t>
      </w:r>
    </w:p>
    <w:p w14:paraId="2B1E6EB1" w14:textId="77777777" w:rsidR="008202E1" w:rsidRPr="00787010" w:rsidRDefault="008202E1" w:rsidP="00787010">
      <w:pPr>
        <w:ind w:firstLine="0"/>
        <w:jc w:val="left"/>
        <w:rPr>
          <w:rFonts w:eastAsia="Calibri" w:cs="Times New Roman"/>
        </w:rPr>
      </w:pPr>
    </w:p>
    <w:p w14:paraId="15A93681" w14:textId="032C16A0" w:rsidR="0097207D" w:rsidRPr="0097207D" w:rsidRDefault="008202E1" w:rsidP="0097207D">
      <w:pPr>
        <w:ind w:firstLine="0"/>
        <w:jc w:val="left"/>
        <w:rPr>
          <w:rFonts w:eastAsia="Calibri" w:cs="Times New Roman"/>
        </w:rPr>
      </w:pPr>
      <w:r w:rsidRPr="00787010">
        <w:rPr>
          <w:rFonts w:eastAsia="Calibri" w:cs="Times New Roman"/>
        </w:rPr>
        <w:t xml:space="preserve">HADDAD, P. R. Capitais intangíveis e desenvolvimento regional. </w:t>
      </w:r>
      <w:r w:rsidRPr="00787010">
        <w:rPr>
          <w:rFonts w:eastAsia="Calibri" w:cs="Times New Roman"/>
          <w:b/>
          <w:bCs/>
        </w:rPr>
        <w:t>Revista de Economia</w:t>
      </w:r>
      <w:r w:rsidRPr="00787010">
        <w:rPr>
          <w:rFonts w:eastAsia="Calibri" w:cs="Times New Roman"/>
        </w:rPr>
        <w:t xml:space="preserve">, Curitiba, v. 35, n. 3, p. 119–146, 2009. </w:t>
      </w:r>
      <w:r w:rsidR="0097207D" w:rsidRPr="0097207D">
        <w:rPr>
          <w:rFonts w:eastAsia="Calibri" w:cs="Times New Roman"/>
        </w:rPr>
        <w:t xml:space="preserve">Disponível em: </w:t>
      </w:r>
      <w:hyperlink r:id="rId20" w:history="1">
        <w:r w:rsidR="0097207D" w:rsidRPr="0097207D">
          <w:rPr>
            <w:rStyle w:val="Hyperlink"/>
            <w:rFonts w:eastAsia="Calibri" w:cs="Times New Roman"/>
          </w:rPr>
          <w:t>http://dx.doi.org/10.5380/re.v35i3.16712</w:t>
        </w:r>
      </w:hyperlink>
      <w:r w:rsidR="0097207D">
        <w:rPr>
          <w:rFonts w:eastAsia="Calibri" w:cs="Times New Roman"/>
        </w:rPr>
        <w:t xml:space="preserve"> </w:t>
      </w:r>
      <w:r w:rsidR="0097207D" w:rsidRPr="0097207D">
        <w:rPr>
          <w:rFonts w:eastAsia="Calibri" w:cs="Times New Roman"/>
        </w:rPr>
        <w:t xml:space="preserve">. Acesso em: </w:t>
      </w:r>
      <w:r w:rsidR="0097207D">
        <w:rPr>
          <w:rFonts w:eastAsia="Calibri" w:cs="Times New Roman"/>
        </w:rPr>
        <w:t>29</w:t>
      </w:r>
      <w:r w:rsidR="0097207D" w:rsidRPr="0097207D">
        <w:rPr>
          <w:rFonts w:eastAsia="Calibri" w:cs="Times New Roman"/>
        </w:rPr>
        <w:t xml:space="preserve"> jun. 2021.</w:t>
      </w:r>
    </w:p>
    <w:p w14:paraId="00AE9525" w14:textId="711618B9" w:rsidR="008202E1" w:rsidRDefault="008202E1" w:rsidP="00787010">
      <w:pPr>
        <w:ind w:firstLine="0"/>
        <w:jc w:val="left"/>
        <w:rPr>
          <w:rFonts w:eastAsia="Calibri" w:cs="Times New Roman"/>
        </w:rPr>
      </w:pPr>
    </w:p>
    <w:p w14:paraId="3516709D" w14:textId="77777777" w:rsidR="008202E1" w:rsidRPr="00787010" w:rsidRDefault="008202E1" w:rsidP="00787010">
      <w:pPr>
        <w:ind w:firstLine="0"/>
        <w:jc w:val="left"/>
        <w:rPr>
          <w:rFonts w:eastAsia="Calibri" w:cs="Times New Roman"/>
        </w:rPr>
      </w:pPr>
    </w:p>
    <w:p w14:paraId="449C5C52" w14:textId="38EAFFA4" w:rsidR="008202E1" w:rsidRDefault="008202E1" w:rsidP="00787010">
      <w:pPr>
        <w:ind w:firstLine="0"/>
        <w:jc w:val="left"/>
        <w:rPr>
          <w:rFonts w:eastAsia="Calibri" w:cs="Times New Roman"/>
        </w:rPr>
      </w:pPr>
      <w:r w:rsidRPr="00787010">
        <w:rPr>
          <w:rFonts w:eastAsia="Calibri" w:cs="Times New Roman"/>
        </w:rPr>
        <w:t xml:space="preserve">HIRSCHMAN, A. O. </w:t>
      </w:r>
      <w:r w:rsidRPr="00787010">
        <w:rPr>
          <w:rFonts w:eastAsia="Calibri" w:cs="Times New Roman"/>
          <w:b/>
          <w:bCs/>
        </w:rPr>
        <w:t>Estratégia do Desenvolvimento Econômico</w:t>
      </w:r>
      <w:r w:rsidRPr="00787010">
        <w:rPr>
          <w:rFonts w:eastAsia="Calibri" w:cs="Times New Roman"/>
        </w:rPr>
        <w:t xml:space="preserve">. Rio de Janeiro: Editora Fundo de Cultura S. A., 1961. </w:t>
      </w:r>
    </w:p>
    <w:p w14:paraId="2A5E10CB" w14:textId="77777777" w:rsidR="008202E1" w:rsidRPr="00787010" w:rsidRDefault="008202E1" w:rsidP="00787010">
      <w:pPr>
        <w:ind w:firstLine="0"/>
        <w:jc w:val="left"/>
        <w:rPr>
          <w:rFonts w:eastAsia="Calibri" w:cs="Times New Roman"/>
        </w:rPr>
      </w:pPr>
    </w:p>
    <w:p w14:paraId="3D8E9241" w14:textId="6FBD0586" w:rsidR="008202E1" w:rsidRDefault="008202E1" w:rsidP="00787010">
      <w:pPr>
        <w:ind w:firstLine="0"/>
        <w:jc w:val="left"/>
        <w:rPr>
          <w:rFonts w:eastAsia="Calibri" w:cs="Times New Roman"/>
        </w:rPr>
      </w:pPr>
      <w:r w:rsidRPr="00787010">
        <w:rPr>
          <w:rFonts w:eastAsia="Calibri" w:cs="Times New Roman"/>
        </w:rPr>
        <w:t xml:space="preserve">IBGE. Instituto Brasileiro de Geografia e Estatística. Pesquisa Nacional por Amostra de Domicílios Contínua. </w:t>
      </w:r>
      <w:r w:rsidRPr="00787010">
        <w:rPr>
          <w:rFonts w:eastAsia="Calibri" w:cs="Times New Roman"/>
          <w:b/>
          <w:bCs/>
        </w:rPr>
        <w:t>Notas técnicas</w:t>
      </w:r>
      <w:r w:rsidRPr="00787010">
        <w:rPr>
          <w:rFonts w:eastAsia="Calibri" w:cs="Times New Roman"/>
        </w:rPr>
        <w:t>. Rio de Janeiro: IBGE, 2021.</w:t>
      </w:r>
    </w:p>
    <w:p w14:paraId="4189DB05" w14:textId="60A413AD" w:rsidR="00C9261A" w:rsidRDefault="00C9261A" w:rsidP="00787010">
      <w:pPr>
        <w:ind w:firstLine="0"/>
        <w:jc w:val="left"/>
        <w:rPr>
          <w:rFonts w:eastAsia="Calibri" w:cs="Times New Roman"/>
        </w:rPr>
      </w:pPr>
    </w:p>
    <w:p w14:paraId="1193AAEB" w14:textId="4BDD412D" w:rsidR="00C9261A" w:rsidRDefault="00C9261A" w:rsidP="00787010">
      <w:pPr>
        <w:ind w:firstLine="0"/>
        <w:jc w:val="left"/>
        <w:rPr>
          <w:rFonts w:eastAsia="Calibri" w:cs="Times New Roman"/>
        </w:rPr>
      </w:pPr>
      <w:r>
        <w:rPr>
          <w:rFonts w:eastAsia="Calibri" w:cs="Times New Roman"/>
        </w:rPr>
        <w:t xml:space="preserve">IBGE. </w:t>
      </w:r>
      <w:r w:rsidRPr="00C9261A">
        <w:rPr>
          <w:rFonts w:eastAsia="Calibri" w:cs="Times New Roman"/>
          <w:b/>
          <w:bCs/>
        </w:rPr>
        <w:t xml:space="preserve">Divisão Regional do Brasil em Regiões Geográficas Imediatas e Regiões Geográficas Intermediárias 2017. </w:t>
      </w:r>
      <w:r w:rsidRPr="00C9261A">
        <w:rPr>
          <w:rFonts w:eastAsia="Calibri" w:cs="Times New Roman"/>
        </w:rPr>
        <w:t>Rio de Janeiro: IBGE</w:t>
      </w:r>
      <w:r w:rsidRPr="00C9261A">
        <w:rPr>
          <w:rFonts w:eastAsia="Calibri" w:cs="Times New Roman"/>
          <w:i/>
          <w:iCs/>
        </w:rPr>
        <w:t xml:space="preserve">, </w:t>
      </w:r>
      <w:r w:rsidRPr="00C9261A">
        <w:rPr>
          <w:rFonts w:eastAsia="Calibri" w:cs="Times New Roman"/>
        </w:rPr>
        <w:t>2017.</w:t>
      </w:r>
      <w:r w:rsidRPr="00C9261A">
        <w:rPr>
          <w:rFonts w:eastAsia="Calibri" w:cs="Times New Roman"/>
          <w:i/>
          <w:iCs/>
        </w:rPr>
        <w:t xml:space="preserve"> </w:t>
      </w:r>
      <w:r w:rsidRPr="00C9261A">
        <w:rPr>
          <w:rFonts w:eastAsia="Calibri" w:cs="Times New Roman"/>
        </w:rPr>
        <w:t xml:space="preserve">Disponível em: </w:t>
      </w:r>
      <w:hyperlink r:id="rId21" w:history="1">
        <w:r w:rsidRPr="00D671C7">
          <w:rPr>
            <w:rStyle w:val="Hyperlink"/>
            <w:rFonts w:eastAsia="Calibri" w:cs="Times New Roman"/>
          </w:rPr>
          <w:t>https://biblioteca.ibge.gov.br/visualizacao/livros/liv100600.pdf</w:t>
        </w:r>
      </w:hyperlink>
      <w:r>
        <w:rPr>
          <w:rFonts w:eastAsia="Calibri" w:cs="Times New Roman"/>
        </w:rPr>
        <w:t xml:space="preserve"> </w:t>
      </w:r>
      <w:r w:rsidRPr="00C9261A">
        <w:rPr>
          <w:rFonts w:eastAsia="Calibri" w:cs="Times New Roman"/>
        </w:rPr>
        <w:t xml:space="preserve">. Acesso em: </w:t>
      </w:r>
      <w:r>
        <w:rPr>
          <w:rFonts w:eastAsia="Calibri" w:cs="Times New Roman"/>
        </w:rPr>
        <w:t xml:space="preserve">08 </w:t>
      </w:r>
      <w:r w:rsidRPr="00C9261A">
        <w:rPr>
          <w:rFonts w:eastAsia="Calibri" w:cs="Times New Roman"/>
        </w:rPr>
        <w:t>jun. 20</w:t>
      </w:r>
      <w:r>
        <w:rPr>
          <w:rFonts w:eastAsia="Calibri" w:cs="Times New Roman"/>
        </w:rPr>
        <w:t>21</w:t>
      </w:r>
      <w:r w:rsidRPr="00C9261A">
        <w:rPr>
          <w:rFonts w:eastAsia="Calibri" w:cs="Times New Roman"/>
        </w:rPr>
        <w:t>.</w:t>
      </w:r>
    </w:p>
    <w:p w14:paraId="0A038158" w14:textId="77777777" w:rsidR="008202E1" w:rsidRPr="00787010" w:rsidRDefault="008202E1" w:rsidP="00787010">
      <w:pPr>
        <w:ind w:firstLine="0"/>
        <w:jc w:val="left"/>
        <w:rPr>
          <w:rFonts w:eastAsia="Calibri" w:cs="Times New Roman"/>
        </w:rPr>
      </w:pPr>
    </w:p>
    <w:p w14:paraId="4E4475AB" w14:textId="4312CE55" w:rsidR="008202E1" w:rsidRDefault="008202E1" w:rsidP="00787010">
      <w:pPr>
        <w:ind w:firstLine="0"/>
        <w:jc w:val="left"/>
        <w:rPr>
          <w:rFonts w:eastAsia="Calibri" w:cs="Times New Roman"/>
        </w:rPr>
      </w:pPr>
      <w:r w:rsidRPr="00787010">
        <w:rPr>
          <w:rFonts w:eastAsia="Calibri" w:cs="Times New Roman"/>
        </w:rPr>
        <w:t xml:space="preserve">INEP. Instituto Nacional de Estudos e Pesquisas Educacionais Anísio Teixeira. </w:t>
      </w:r>
      <w:r w:rsidRPr="00787010">
        <w:rPr>
          <w:rFonts w:eastAsia="Calibri" w:cs="Times New Roman"/>
          <w:b/>
          <w:bCs/>
        </w:rPr>
        <w:t>Sinopses estatísticas do ensino superior</w:t>
      </w:r>
      <w:r w:rsidRPr="00787010">
        <w:rPr>
          <w:rFonts w:eastAsia="Calibri" w:cs="Times New Roman"/>
        </w:rPr>
        <w:t xml:space="preserve">: graduação 2000 a 2019. Brasília: INEP, 2021. Disponível em: </w:t>
      </w:r>
      <w:hyperlink r:id="rId22" w:history="1">
        <w:r w:rsidRPr="00787010">
          <w:rPr>
            <w:rFonts w:eastAsia="Calibri" w:cs="Times New Roman"/>
            <w:color w:val="0563C1"/>
            <w:u w:val="single"/>
          </w:rPr>
          <w:t>http://inep.gov.br/sinopses-estatisticas-da-educacao-superior</w:t>
        </w:r>
      </w:hyperlink>
      <w:r w:rsidRPr="00787010">
        <w:rPr>
          <w:rFonts w:eastAsia="Calibri" w:cs="Times New Roman"/>
        </w:rPr>
        <w:t xml:space="preserve"> . Acesso em: 13 </w:t>
      </w:r>
      <w:r w:rsidR="00C9261A">
        <w:rPr>
          <w:rFonts w:eastAsia="Calibri" w:cs="Times New Roman"/>
        </w:rPr>
        <w:t xml:space="preserve">maio </w:t>
      </w:r>
      <w:r w:rsidRPr="00787010">
        <w:rPr>
          <w:rFonts w:eastAsia="Calibri" w:cs="Times New Roman"/>
        </w:rPr>
        <w:t xml:space="preserve">2021. </w:t>
      </w:r>
    </w:p>
    <w:p w14:paraId="7BC4B7A3" w14:textId="77777777" w:rsidR="008202E1" w:rsidRPr="00787010" w:rsidRDefault="008202E1" w:rsidP="00787010">
      <w:pPr>
        <w:ind w:firstLine="0"/>
        <w:jc w:val="left"/>
        <w:rPr>
          <w:rFonts w:eastAsia="Calibri" w:cs="Times New Roman"/>
        </w:rPr>
      </w:pPr>
    </w:p>
    <w:p w14:paraId="18BC82BD" w14:textId="22F66A7A" w:rsidR="0097207D" w:rsidRPr="0097207D" w:rsidRDefault="008202E1" w:rsidP="0097207D">
      <w:pPr>
        <w:ind w:firstLine="0"/>
        <w:jc w:val="left"/>
        <w:rPr>
          <w:rFonts w:eastAsia="Calibri" w:cs="Times New Roman"/>
        </w:rPr>
      </w:pPr>
      <w:r w:rsidRPr="00787010">
        <w:rPr>
          <w:rFonts w:eastAsia="Calibri" w:cs="Times New Roman"/>
        </w:rPr>
        <w:t xml:space="preserve">LANGONI, C. G. O Papel do Investimento em Educação e Tecnologia no Processo de Desenvolvimento Econômico. </w:t>
      </w:r>
      <w:r w:rsidRPr="00787010">
        <w:rPr>
          <w:rFonts w:eastAsia="Calibri" w:cs="Times New Roman"/>
          <w:b/>
          <w:bCs/>
        </w:rPr>
        <w:t>Ensaios Econômicos da EPGE</w:t>
      </w:r>
      <w:r w:rsidRPr="00787010">
        <w:rPr>
          <w:rFonts w:eastAsia="Calibri" w:cs="Times New Roman"/>
        </w:rPr>
        <w:t>, Rio de Janeiro, n. 4, p. 54, 1972.</w:t>
      </w:r>
      <w:r w:rsidR="0097207D" w:rsidRPr="0097207D">
        <w:rPr>
          <w:rFonts w:eastAsia="Calibri" w:cs="Times New Roman"/>
          <w:i/>
          <w:iCs/>
        </w:rPr>
        <w:t xml:space="preserve"> </w:t>
      </w:r>
      <w:r w:rsidR="0097207D" w:rsidRPr="0097207D">
        <w:rPr>
          <w:rFonts w:eastAsia="Calibri" w:cs="Times New Roman"/>
        </w:rPr>
        <w:t>Disponível em:</w:t>
      </w:r>
      <w:r w:rsidR="0097207D" w:rsidRPr="0097207D">
        <w:t xml:space="preserve"> </w:t>
      </w:r>
      <w:hyperlink r:id="rId23" w:history="1">
        <w:r w:rsidR="0097207D" w:rsidRPr="0097207D">
          <w:rPr>
            <w:rStyle w:val="Hyperlink"/>
            <w:rFonts w:eastAsia="Calibri" w:cs="Times New Roman"/>
          </w:rPr>
          <w:t>http://hdl.handle.net/10438/980</w:t>
        </w:r>
      </w:hyperlink>
      <w:r w:rsidR="0097207D" w:rsidRPr="0097207D">
        <w:rPr>
          <w:rFonts w:eastAsia="Calibri" w:cs="Times New Roman"/>
        </w:rPr>
        <w:t>. Acesso em: 08 jun. 2021.</w:t>
      </w:r>
    </w:p>
    <w:p w14:paraId="75F0F3F2" w14:textId="77777777" w:rsidR="008202E1" w:rsidRPr="00787010" w:rsidRDefault="008202E1" w:rsidP="00787010">
      <w:pPr>
        <w:ind w:firstLine="0"/>
        <w:jc w:val="left"/>
        <w:rPr>
          <w:rFonts w:eastAsia="Calibri" w:cs="Times New Roman"/>
        </w:rPr>
      </w:pPr>
    </w:p>
    <w:p w14:paraId="7ABAB913" w14:textId="37CB7A68" w:rsidR="008202E1" w:rsidRDefault="008202E1" w:rsidP="00787010">
      <w:pPr>
        <w:ind w:firstLine="0"/>
        <w:jc w:val="left"/>
        <w:rPr>
          <w:rFonts w:eastAsia="Calibri" w:cs="Times New Roman"/>
        </w:rPr>
      </w:pPr>
      <w:r w:rsidRPr="00787010">
        <w:rPr>
          <w:rFonts w:eastAsia="Calibri" w:cs="Times New Roman"/>
        </w:rPr>
        <w:t xml:space="preserve">MYRDAL, G. </w:t>
      </w:r>
      <w:r w:rsidRPr="00787010">
        <w:rPr>
          <w:rFonts w:eastAsia="Calibri" w:cs="Times New Roman"/>
          <w:b/>
          <w:bCs/>
        </w:rPr>
        <w:t>Teoria econômica e regiões subdesenvolvidas</w:t>
      </w:r>
      <w:r w:rsidRPr="00787010">
        <w:rPr>
          <w:rFonts w:eastAsia="Calibri" w:cs="Times New Roman"/>
        </w:rPr>
        <w:t xml:space="preserve">. Rio de Janeiro: Instituto Superior de Estudos Brasileiros, 1960. </w:t>
      </w:r>
    </w:p>
    <w:p w14:paraId="1423CC6A" w14:textId="77777777" w:rsidR="008202E1" w:rsidRPr="00787010" w:rsidRDefault="008202E1" w:rsidP="00787010">
      <w:pPr>
        <w:ind w:firstLine="0"/>
        <w:jc w:val="left"/>
        <w:rPr>
          <w:rFonts w:eastAsia="Calibri" w:cs="Times New Roman"/>
        </w:rPr>
      </w:pPr>
    </w:p>
    <w:p w14:paraId="685B063C" w14:textId="37E93704" w:rsidR="008202E1" w:rsidRDefault="008202E1" w:rsidP="00787010">
      <w:pPr>
        <w:ind w:firstLine="0"/>
        <w:jc w:val="left"/>
        <w:rPr>
          <w:rFonts w:eastAsia="Calibri" w:cs="Times New Roman"/>
        </w:rPr>
      </w:pPr>
      <w:r w:rsidRPr="00787010">
        <w:rPr>
          <w:rFonts w:eastAsia="Calibri" w:cs="Times New Roman"/>
        </w:rPr>
        <w:t>OLIVEIRA, A. L. M</w:t>
      </w:r>
      <w:r w:rsidRPr="00787010">
        <w:rPr>
          <w:rFonts w:eastAsia="Calibri" w:cs="Times New Roman"/>
          <w:b/>
          <w:bCs/>
        </w:rPr>
        <w:t>. Educação superior brasileira no início do século XXI:</w:t>
      </w:r>
      <w:r w:rsidRPr="00787010">
        <w:rPr>
          <w:rFonts w:eastAsia="Calibri" w:cs="Times New Roman"/>
        </w:rPr>
        <w:t xml:space="preserve"> inclusão</w:t>
      </w:r>
      <w:r>
        <w:rPr>
          <w:rFonts w:eastAsia="Calibri" w:cs="Times New Roman"/>
        </w:rPr>
        <w:t xml:space="preserve"> </w:t>
      </w:r>
      <w:proofErr w:type="gramStart"/>
      <w:r w:rsidRPr="00787010">
        <w:rPr>
          <w:rFonts w:eastAsia="Calibri" w:cs="Times New Roman"/>
        </w:rPr>
        <w:t>Interrompida?.</w:t>
      </w:r>
      <w:proofErr w:type="gramEnd"/>
      <w:r w:rsidRPr="00787010">
        <w:rPr>
          <w:rFonts w:eastAsia="Calibri" w:cs="Times New Roman"/>
        </w:rPr>
        <w:t xml:space="preserve"> 2019. 303p. Tese (Doutorado em Desenvolvimento Econômico) – Universidade Estadual de Campinas, Campinas, São Paulo.</w:t>
      </w:r>
    </w:p>
    <w:p w14:paraId="08F06574" w14:textId="77777777" w:rsidR="008202E1" w:rsidRPr="00787010" w:rsidRDefault="008202E1" w:rsidP="00787010">
      <w:pPr>
        <w:ind w:firstLine="0"/>
        <w:jc w:val="left"/>
        <w:rPr>
          <w:rFonts w:eastAsia="Calibri" w:cs="Times New Roman"/>
        </w:rPr>
      </w:pPr>
    </w:p>
    <w:p w14:paraId="3A731B01" w14:textId="442F1384" w:rsidR="00B07293" w:rsidRPr="00B07293" w:rsidRDefault="008202E1" w:rsidP="00B07293">
      <w:pPr>
        <w:ind w:firstLine="0"/>
        <w:jc w:val="left"/>
        <w:rPr>
          <w:rFonts w:eastAsia="Calibri" w:cs="Times New Roman"/>
        </w:rPr>
      </w:pPr>
      <w:r w:rsidRPr="00787010">
        <w:rPr>
          <w:rFonts w:eastAsia="Calibri" w:cs="Times New Roman"/>
        </w:rPr>
        <w:t xml:space="preserve">OLIVEIRA, R. C.; NETO, R. da M. S. Expansão da escolaridade e redução da desigualdade regional de renda no brasil entre 1995 e 2011: progressos recentes e desafios presentes. </w:t>
      </w:r>
      <w:r w:rsidRPr="00787010">
        <w:rPr>
          <w:rFonts w:eastAsia="Calibri" w:cs="Times New Roman"/>
          <w:b/>
          <w:bCs/>
        </w:rPr>
        <w:t>Pesquisa e Planejamento Econômico</w:t>
      </w:r>
      <w:r w:rsidRPr="00787010">
        <w:rPr>
          <w:rFonts w:eastAsia="Calibri" w:cs="Times New Roman"/>
        </w:rPr>
        <w:t xml:space="preserve">, Rio de Janeiro, v. 46, n. 1, p. 42–65, 2016. </w:t>
      </w:r>
      <w:r w:rsidR="00B07293" w:rsidRPr="00B07293">
        <w:rPr>
          <w:rFonts w:eastAsia="Calibri" w:cs="Times New Roman"/>
        </w:rPr>
        <w:t xml:space="preserve">Disponível em: </w:t>
      </w:r>
      <w:hyperlink r:id="rId24" w:history="1">
        <w:r w:rsidR="00B07293" w:rsidRPr="00B07293">
          <w:rPr>
            <w:rStyle w:val="Hyperlink"/>
            <w:rFonts w:eastAsia="Calibri" w:cs="Times New Roman"/>
          </w:rPr>
          <w:t>https://ppe.ipea.gov.br/index.php/ppe/article/viewFile/1618/1218</w:t>
        </w:r>
      </w:hyperlink>
      <w:r w:rsidR="00B07293" w:rsidRPr="00B07293">
        <w:rPr>
          <w:rFonts w:eastAsia="Calibri" w:cs="Times New Roman"/>
        </w:rPr>
        <w:t xml:space="preserve"> . Acesso em: </w:t>
      </w:r>
      <w:r w:rsidR="00B07293">
        <w:rPr>
          <w:rFonts w:eastAsia="Calibri" w:cs="Times New Roman"/>
        </w:rPr>
        <w:t>20</w:t>
      </w:r>
      <w:r w:rsidR="00B07293" w:rsidRPr="00B07293">
        <w:rPr>
          <w:rFonts w:eastAsia="Calibri" w:cs="Times New Roman"/>
        </w:rPr>
        <w:t xml:space="preserve"> maio 2021.</w:t>
      </w:r>
    </w:p>
    <w:p w14:paraId="1C907D73" w14:textId="77777777" w:rsidR="008202E1" w:rsidRPr="00787010" w:rsidRDefault="008202E1" w:rsidP="00787010">
      <w:pPr>
        <w:ind w:firstLine="0"/>
        <w:jc w:val="left"/>
        <w:rPr>
          <w:rFonts w:eastAsia="Calibri" w:cs="Times New Roman"/>
        </w:rPr>
      </w:pPr>
    </w:p>
    <w:p w14:paraId="697A889E" w14:textId="77777777" w:rsidR="008202E1" w:rsidRPr="00787010" w:rsidRDefault="008202E1" w:rsidP="00787010">
      <w:pPr>
        <w:ind w:firstLine="0"/>
        <w:jc w:val="left"/>
        <w:rPr>
          <w:rFonts w:eastAsia="Calibri" w:cs="Times New Roman"/>
        </w:rPr>
      </w:pPr>
      <w:r w:rsidRPr="00787010">
        <w:rPr>
          <w:rFonts w:eastAsia="Calibri" w:cs="Times New Roman"/>
        </w:rPr>
        <w:t xml:space="preserve">SALVATO, M. A.; FERREIRA, P. C. G.; DUARTE, A. J. M. O impacto da escolaridade sobre a distribuição de renda. </w:t>
      </w:r>
      <w:r w:rsidRPr="00787010">
        <w:rPr>
          <w:rFonts w:eastAsia="Calibri" w:cs="Times New Roman"/>
          <w:b/>
          <w:bCs/>
        </w:rPr>
        <w:t>Estudos Econômicos</w:t>
      </w:r>
      <w:r w:rsidRPr="00787010">
        <w:rPr>
          <w:rFonts w:eastAsia="Calibri" w:cs="Times New Roman"/>
        </w:rPr>
        <w:t xml:space="preserve">, São Paulo, v. 40, n. 4, p. 753–791, 2010. Disponível em: </w:t>
      </w:r>
      <w:hyperlink r:id="rId25" w:history="1">
        <w:r w:rsidRPr="00787010">
          <w:rPr>
            <w:rFonts w:eastAsia="Calibri" w:cs="Times New Roman"/>
            <w:color w:val="0563C1"/>
            <w:u w:val="single"/>
          </w:rPr>
          <w:t>https://doi.org/10.1590/s01014161201000040000</w:t>
        </w:r>
      </w:hyperlink>
      <w:r w:rsidRPr="00787010">
        <w:rPr>
          <w:rFonts w:eastAsia="Calibri" w:cs="Times New Roman"/>
        </w:rPr>
        <w:t>. Acesso em: 10 jun. 2021.</w:t>
      </w:r>
    </w:p>
    <w:p w14:paraId="0A94C72B" w14:textId="77777777" w:rsidR="00595110" w:rsidRDefault="00595110" w:rsidP="00787010">
      <w:pPr>
        <w:ind w:firstLine="0"/>
        <w:jc w:val="left"/>
        <w:rPr>
          <w:rFonts w:eastAsia="Calibri" w:cs="Times New Roman"/>
        </w:rPr>
      </w:pPr>
    </w:p>
    <w:p w14:paraId="6B9CCE06" w14:textId="77777777" w:rsidR="00C9261A" w:rsidRPr="00C9261A" w:rsidRDefault="008202E1" w:rsidP="00C9261A">
      <w:pPr>
        <w:ind w:firstLine="0"/>
        <w:jc w:val="left"/>
        <w:rPr>
          <w:rFonts w:eastAsia="Calibri" w:cs="Times New Roman"/>
          <w:b/>
          <w:bCs/>
        </w:rPr>
      </w:pPr>
      <w:r w:rsidRPr="00787010">
        <w:rPr>
          <w:rFonts w:eastAsia="Calibri" w:cs="Times New Roman"/>
        </w:rPr>
        <w:t xml:space="preserve">SAVIANI, D. A expansão do ensino superior no Brasil: mudanças e continuidades. </w:t>
      </w:r>
      <w:proofErr w:type="spellStart"/>
      <w:r w:rsidRPr="00787010">
        <w:rPr>
          <w:rFonts w:eastAsia="Calibri" w:cs="Times New Roman"/>
          <w:b/>
          <w:bCs/>
        </w:rPr>
        <w:t>Poíesis</w:t>
      </w:r>
      <w:proofErr w:type="spellEnd"/>
      <w:r w:rsidRPr="00787010">
        <w:rPr>
          <w:rFonts w:eastAsia="Calibri" w:cs="Times New Roman"/>
          <w:b/>
          <w:bCs/>
        </w:rPr>
        <w:t xml:space="preserve"> Pedagógica</w:t>
      </w:r>
      <w:r w:rsidRPr="00787010">
        <w:rPr>
          <w:rFonts w:eastAsia="Calibri" w:cs="Times New Roman"/>
        </w:rPr>
        <w:t>, Catalão, v. 8, n. 2, p. 4-17, 2010.</w:t>
      </w:r>
      <w:r w:rsidR="00C9261A">
        <w:rPr>
          <w:rFonts w:eastAsia="Calibri" w:cs="Times New Roman"/>
        </w:rPr>
        <w:t xml:space="preserve"> </w:t>
      </w:r>
      <w:r w:rsidR="00C9261A" w:rsidRPr="00C9261A">
        <w:rPr>
          <w:rFonts w:eastAsia="Calibri" w:cs="Times New Roman"/>
        </w:rPr>
        <w:t>Disponível em:</w:t>
      </w:r>
      <w:r w:rsidR="00C9261A">
        <w:rPr>
          <w:rFonts w:eastAsia="Calibri" w:cs="Times New Roman"/>
        </w:rPr>
        <w:t xml:space="preserve"> </w:t>
      </w:r>
      <w:r w:rsidR="00C9261A" w:rsidRPr="00C9261A">
        <w:rPr>
          <w:rFonts w:eastAsia="Calibri" w:cs="Times New Roman"/>
          <w:b/>
          <w:bCs/>
        </w:rPr>
        <w:t> </w:t>
      </w:r>
    </w:p>
    <w:p w14:paraId="1CD7FA67" w14:textId="1053336F" w:rsidR="008202E1" w:rsidRDefault="00E35B9A" w:rsidP="00C9261A">
      <w:pPr>
        <w:ind w:firstLine="0"/>
        <w:jc w:val="left"/>
        <w:rPr>
          <w:rFonts w:eastAsia="Calibri" w:cs="Times New Roman"/>
        </w:rPr>
      </w:pPr>
      <w:hyperlink r:id="rId26" w:history="1">
        <w:r w:rsidR="00C9261A" w:rsidRPr="00C9261A">
          <w:rPr>
            <w:rStyle w:val="Hyperlink"/>
            <w:rFonts w:eastAsia="Calibri" w:cs="Times New Roman"/>
          </w:rPr>
          <w:t>https://doi.org/10.5216/rpp.v8i2.14035</w:t>
        </w:r>
      </w:hyperlink>
      <w:r w:rsidR="00C9261A">
        <w:rPr>
          <w:rFonts w:eastAsia="Calibri" w:cs="Times New Roman"/>
        </w:rPr>
        <w:t xml:space="preserve"> </w:t>
      </w:r>
      <w:r w:rsidR="00C9261A" w:rsidRPr="00C9261A">
        <w:rPr>
          <w:rFonts w:eastAsia="Calibri" w:cs="Times New Roman"/>
        </w:rPr>
        <w:t xml:space="preserve">. Acesso em: 10 </w:t>
      </w:r>
      <w:r w:rsidR="00C9261A">
        <w:rPr>
          <w:rFonts w:eastAsia="Calibri" w:cs="Times New Roman"/>
        </w:rPr>
        <w:t>maio</w:t>
      </w:r>
      <w:r w:rsidR="00C9261A" w:rsidRPr="00C9261A">
        <w:rPr>
          <w:rFonts w:eastAsia="Calibri" w:cs="Times New Roman"/>
        </w:rPr>
        <w:t xml:space="preserve"> 2021.</w:t>
      </w:r>
    </w:p>
    <w:p w14:paraId="47CEB1E0" w14:textId="77777777" w:rsidR="008202E1" w:rsidRPr="00787010" w:rsidRDefault="008202E1" w:rsidP="00787010">
      <w:pPr>
        <w:ind w:firstLine="0"/>
        <w:jc w:val="left"/>
        <w:rPr>
          <w:rFonts w:eastAsia="Calibri" w:cs="Times New Roman"/>
        </w:rPr>
      </w:pPr>
    </w:p>
    <w:p w14:paraId="24AE1590" w14:textId="42714DC1" w:rsidR="008202E1" w:rsidRDefault="008202E1" w:rsidP="00787010">
      <w:pPr>
        <w:ind w:firstLine="0"/>
        <w:jc w:val="left"/>
        <w:rPr>
          <w:rFonts w:eastAsia="Calibri" w:cs="Times New Roman"/>
        </w:rPr>
      </w:pPr>
      <w:r w:rsidRPr="00787010">
        <w:rPr>
          <w:rFonts w:eastAsia="Calibri" w:cs="Times New Roman"/>
        </w:rPr>
        <w:t xml:space="preserve">SEN, A. </w:t>
      </w:r>
      <w:r w:rsidRPr="00787010">
        <w:rPr>
          <w:rFonts w:eastAsia="Calibri" w:cs="Times New Roman"/>
          <w:b/>
          <w:bCs/>
        </w:rPr>
        <w:t>Desenvolvimento como liberdade</w:t>
      </w:r>
      <w:r w:rsidRPr="00787010">
        <w:rPr>
          <w:rFonts w:eastAsia="Calibri" w:cs="Times New Roman"/>
        </w:rPr>
        <w:t xml:space="preserve">. 4. ed. São Paulo: Companhia das Letras, 2010. </w:t>
      </w:r>
    </w:p>
    <w:p w14:paraId="0FC0B5E4" w14:textId="77777777" w:rsidR="008202E1" w:rsidRPr="00787010" w:rsidRDefault="008202E1" w:rsidP="00787010">
      <w:pPr>
        <w:ind w:firstLine="0"/>
        <w:jc w:val="left"/>
        <w:rPr>
          <w:rFonts w:eastAsia="Calibri" w:cs="Times New Roman"/>
        </w:rPr>
      </w:pPr>
    </w:p>
    <w:p w14:paraId="457E0E7A" w14:textId="12F9600E" w:rsidR="008202E1" w:rsidRDefault="008202E1" w:rsidP="00787010">
      <w:pPr>
        <w:ind w:firstLine="0"/>
        <w:jc w:val="left"/>
        <w:rPr>
          <w:rFonts w:eastAsia="Calibri" w:cs="Times New Roman"/>
        </w:rPr>
      </w:pPr>
      <w:r w:rsidRPr="00787010">
        <w:rPr>
          <w:rFonts w:eastAsia="Calibri" w:cs="Times New Roman"/>
        </w:rPr>
        <w:t xml:space="preserve">SOUZA, R. C. </w:t>
      </w:r>
      <w:r w:rsidRPr="00787010">
        <w:rPr>
          <w:rFonts w:eastAsia="Calibri" w:cs="Times New Roman"/>
          <w:b/>
          <w:bCs/>
        </w:rPr>
        <w:t>O papel do gasto público na interiorização do urbano no semiárido nordestino</w:t>
      </w:r>
      <w:r w:rsidRPr="00787010">
        <w:rPr>
          <w:rFonts w:eastAsia="Calibri" w:cs="Times New Roman"/>
        </w:rPr>
        <w:t xml:space="preserve">: o caso de Pau dos Ferros-RN e de sua região após 2000. 2019. 192 f. Tese </w:t>
      </w:r>
      <w:r w:rsidRPr="00787010">
        <w:rPr>
          <w:rFonts w:eastAsia="Calibri" w:cs="Times New Roman"/>
        </w:rPr>
        <w:lastRenderedPageBreak/>
        <w:t>(Doutorado em Desenvolvimento Econômico) - Universidade Estadual de Campinas, Campinas, São Paulo.</w:t>
      </w:r>
    </w:p>
    <w:p w14:paraId="03E6A5BF" w14:textId="77777777" w:rsidR="008202E1" w:rsidRPr="00787010" w:rsidRDefault="008202E1" w:rsidP="00787010">
      <w:pPr>
        <w:ind w:firstLine="0"/>
        <w:jc w:val="left"/>
        <w:rPr>
          <w:rFonts w:eastAsia="Calibri" w:cs="Times New Roman"/>
        </w:rPr>
      </w:pPr>
    </w:p>
    <w:p w14:paraId="537D95F2" w14:textId="77777777" w:rsidR="00B07293" w:rsidRPr="00C9261A" w:rsidRDefault="008202E1" w:rsidP="00B07293">
      <w:pPr>
        <w:ind w:firstLine="0"/>
        <w:jc w:val="left"/>
        <w:rPr>
          <w:rFonts w:eastAsia="Calibri" w:cs="Times New Roman"/>
          <w:b/>
          <w:bCs/>
        </w:rPr>
      </w:pPr>
      <w:r w:rsidRPr="00787010">
        <w:rPr>
          <w:rFonts w:eastAsia="Calibri" w:cs="Times New Roman"/>
        </w:rPr>
        <w:t xml:space="preserve">WALTENBERG, F. D.; MARTINS F. S. O Papel da Educação no Desenvolvimento como Liberdade: uma análise comparada de Finlândia e Coreia do Sul. </w:t>
      </w:r>
      <w:r w:rsidRPr="00787010">
        <w:rPr>
          <w:rFonts w:eastAsia="Calibri" w:cs="Times New Roman"/>
          <w:b/>
          <w:bCs/>
        </w:rPr>
        <w:t>Planejamento e políticas públicas</w:t>
      </w:r>
      <w:r w:rsidRPr="00787010">
        <w:rPr>
          <w:rFonts w:eastAsia="Calibri" w:cs="Times New Roman"/>
        </w:rPr>
        <w:t xml:space="preserve">, Rio de Janeiro, n. 56, 283 - 321, 2020. </w:t>
      </w:r>
      <w:r w:rsidR="00B07293" w:rsidRPr="00C9261A">
        <w:rPr>
          <w:rFonts w:eastAsia="Calibri" w:cs="Times New Roman"/>
        </w:rPr>
        <w:t>Disponível em:</w:t>
      </w:r>
      <w:r w:rsidR="00B07293">
        <w:rPr>
          <w:rFonts w:eastAsia="Calibri" w:cs="Times New Roman"/>
        </w:rPr>
        <w:t xml:space="preserve"> </w:t>
      </w:r>
      <w:r w:rsidR="00B07293" w:rsidRPr="00C9261A">
        <w:rPr>
          <w:rFonts w:eastAsia="Calibri" w:cs="Times New Roman"/>
          <w:b/>
          <w:bCs/>
        </w:rPr>
        <w:t> </w:t>
      </w:r>
    </w:p>
    <w:p w14:paraId="73B7DA25" w14:textId="2F8BD8AC" w:rsidR="00595110" w:rsidRPr="00787010" w:rsidRDefault="00E35B9A" w:rsidP="00B07293">
      <w:pPr>
        <w:ind w:firstLine="0"/>
        <w:jc w:val="left"/>
        <w:rPr>
          <w:rFonts w:eastAsia="Calibri" w:cs="Times New Roman"/>
        </w:rPr>
      </w:pPr>
      <w:hyperlink r:id="rId27" w:history="1">
        <w:r w:rsidR="00B07293" w:rsidRPr="00B07293">
          <w:rPr>
            <w:rStyle w:val="Hyperlink"/>
            <w:rFonts w:eastAsia="Calibri" w:cs="Times New Roman"/>
          </w:rPr>
          <w:t>https://doi.org/10.38116/ppp56art10</w:t>
        </w:r>
      </w:hyperlink>
      <w:r w:rsidR="00B07293" w:rsidRPr="00C9261A">
        <w:rPr>
          <w:rFonts w:eastAsia="Calibri" w:cs="Times New Roman"/>
        </w:rPr>
        <w:t xml:space="preserve">. Acesso em: </w:t>
      </w:r>
      <w:r w:rsidR="00B07293">
        <w:rPr>
          <w:rFonts w:eastAsia="Calibri" w:cs="Times New Roman"/>
        </w:rPr>
        <w:t>15</w:t>
      </w:r>
      <w:r w:rsidR="00B07293" w:rsidRPr="00C9261A">
        <w:rPr>
          <w:rFonts w:eastAsia="Calibri" w:cs="Times New Roman"/>
        </w:rPr>
        <w:t xml:space="preserve"> </w:t>
      </w:r>
      <w:r w:rsidR="00B07293">
        <w:rPr>
          <w:rFonts w:eastAsia="Calibri" w:cs="Times New Roman"/>
        </w:rPr>
        <w:t>abr.</w:t>
      </w:r>
      <w:r w:rsidR="00B07293" w:rsidRPr="00C9261A">
        <w:rPr>
          <w:rFonts w:eastAsia="Calibri" w:cs="Times New Roman"/>
        </w:rPr>
        <w:t xml:space="preserve"> 2021</w:t>
      </w:r>
      <w:r w:rsidR="00B07293">
        <w:rPr>
          <w:rFonts w:eastAsia="Calibri" w:cs="Times New Roman"/>
        </w:rPr>
        <w:t>.</w:t>
      </w:r>
    </w:p>
    <w:sectPr w:rsidR="00595110" w:rsidRPr="00787010">
      <w:pgSz w:w="11906" w:h="16838"/>
      <w:pgMar w:top="1701" w:right="1134" w:bottom="1134" w:left="1701" w:header="851"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5CBB48" w14:textId="77777777" w:rsidR="00E35B9A" w:rsidRDefault="00E35B9A">
      <w:r>
        <w:separator/>
      </w:r>
    </w:p>
  </w:endnote>
  <w:endnote w:type="continuationSeparator" w:id="0">
    <w:p w14:paraId="7B555AC9" w14:textId="77777777" w:rsidR="00E35B9A" w:rsidRDefault="00E35B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rial-BoldMT">
    <w:altName w:val="Arial"/>
    <w:charset w:val="00"/>
    <w:family w:val="roman"/>
    <w:pitch w:val="default"/>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83C4A" w14:textId="77777777" w:rsidR="00F50004" w:rsidRDefault="004018DB">
    <w:pPr>
      <w:pStyle w:val="Rodap"/>
      <w:rPr>
        <w:rFonts w:cs="Times New Roman"/>
        <w:sz w:val="20"/>
        <w:szCs w:val="20"/>
      </w:rPr>
    </w:pPr>
    <w:r>
      <w:rPr>
        <w:noProof/>
      </w:rPr>
      <mc:AlternateContent>
        <mc:Choice Requires="wps">
          <w:drawing>
            <wp:anchor distT="0" distB="0" distL="114300" distR="114300" simplePos="0" relativeHeight="251660288" behindDoc="1" locked="0" layoutInCell="1" allowOverlap="1" wp14:anchorId="24083C54" wp14:editId="24083C55">
              <wp:simplePos x="0" y="0"/>
              <wp:positionH relativeFrom="margin">
                <wp:posOffset>-548005</wp:posOffset>
              </wp:positionH>
              <wp:positionV relativeFrom="paragraph">
                <wp:posOffset>152400</wp:posOffset>
              </wp:positionV>
              <wp:extent cx="6505575" cy="9525"/>
              <wp:effectExtent l="0" t="0" r="28575" b="28575"/>
              <wp:wrapNone/>
              <wp:docPr id="3" name="Conector Reto 3"/>
              <wp:cNvGraphicFramePr/>
              <a:graphic xmlns:a="http://schemas.openxmlformats.org/drawingml/2006/main">
                <a:graphicData uri="http://schemas.microsoft.com/office/word/2010/wordprocessingShape">
                  <wps:wsp>
                    <wps:cNvCnPr/>
                    <wps:spPr>
                      <a:xfrm>
                        <a:off x="0" y="0"/>
                        <a:ext cx="6505575" cy="9525"/>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DB2D2FD" id="Conector Reto 3" o:spid="_x0000_s1026" style="position:absolute;z-index:-251656192;visibility:visible;mso-wrap-style:square;mso-wrap-distance-left:9pt;mso-wrap-distance-top:0;mso-wrap-distance-right:9pt;mso-wrap-distance-bottom:0;mso-position-horizontal:absolute;mso-position-horizontal-relative:margin;mso-position-vertical:absolute;mso-position-vertical-relative:text" from="-43.15pt,12pt" to="469.1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" strokecolor="#00b050" strokeweight=".5pt">
              <v:stroke joinstyle="miter"/>
              <w10:wrap anchorx="margin"/>
            </v:line>
          </w:pict>
        </mc:Fallback>
      </mc:AlternateContent>
    </w:r>
  </w:p>
  <w:p w14:paraId="24083C4B" w14:textId="77777777" w:rsidR="00F50004" w:rsidRDefault="00F50004">
    <w:pPr>
      <w:pStyle w:val="Rodap"/>
      <w:rPr>
        <w:rFonts w:cs="Times New Roman"/>
        <w:sz w:val="20"/>
        <w:szCs w:val="20"/>
      </w:rPr>
    </w:pPr>
  </w:p>
  <w:p w14:paraId="24083C4C" w14:textId="77777777" w:rsidR="00F50004" w:rsidRDefault="004018DB">
    <w:pPr>
      <w:pStyle w:val="Rodap"/>
      <w:rPr>
        <w:rFonts w:cs="Times New Roman"/>
        <w:sz w:val="20"/>
        <w:szCs w:val="20"/>
      </w:rPr>
    </w:pPr>
    <w:r>
      <w:rPr>
        <w:rFonts w:cs="Times New Roman"/>
        <w:sz w:val="20"/>
        <w:szCs w:val="20"/>
      </w:rPr>
      <w:t xml:space="preserve">VI SEDRES. Seminário de Desenvolvimento Regional, Estado e Sociedade. Crato - </w:t>
    </w:r>
    <w:proofErr w:type="spellStart"/>
    <w:r>
      <w:rPr>
        <w:rFonts w:cs="Times New Roman"/>
        <w:sz w:val="20"/>
        <w:szCs w:val="20"/>
      </w:rPr>
      <w:t>Ce</w:t>
    </w:r>
    <w:proofErr w:type="spellEnd"/>
    <w:r>
      <w:rPr>
        <w:rFonts w:cs="Times New Roman"/>
        <w:sz w:val="20"/>
        <w:szCs w:val="20"/>
      </w:rPr>
      <w:t>, 06 a 08 de dezembro de 2022. ISSN 2358-4408.</w:t>
    </w:r>
  </w:p>
  <w:p w14:paraId="24083C4D" w14:textId="77777777" w:rsidR="00F50004" w:rsidRDefault="00F50004">
    <w:pPr>
      <w:pStyle w:val="Rodap"/>
      <w:rPr>
        <w:rFonts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761938" w14:textId="77777777" w:rsidR="00E35B9A" w:rsidRDefault="00E35B9A">
      <w:r>
        <w:separator/>
      </w:r>
    </w:p>
  </w:footnote>
  <w:footnote w:type="continuationSeparator" w:id="0">
    <w:p w14:paraId="0C44802F" w14:textId="77777777" w:rsidR="00E35B9A" w:rsidRDefault="00E35B9A">
      <w:r>
        <w:continuationSeparator/>
      </w:r>
    </w:p>
  </w:footnote>
  <w:footnote w:id="1">
    <w:p w14:paraId="788850A1" w14:textId="77777777" w:rsidR="00E85288" w:rsidRPr="002D2C25" w:rsidRDefault="00E85288" w:rsidP="00E85288">
      <w:pPr>
        <w:pStyle w:val="Textodenotaderodap"/>
        <w:ind w:firstLine="0"/>
        <w:rPr>
          <w:sz w:val="22"/>
          <w:szCs w:val="22"/>
        </w:rPr>
      </w:pPr>
      <w:r w:rsidRPr="002D2C25">
        <w:rPr>
          <w:rStyle w:val="Refdenotaderodap"/>
          <w:sz w:val="22"/>
          <w:szCs w:val="22"/>
        </w:rPr>
        <w:footnoteRef/>
      </w:r>
      <w:r w:rsidRPr="002D2C25">
        <w:rPr>
          <w:sz w:val="22"/>
          <w:szCs w:val="22"/>
        </w:rPr>
        <w:t xml:space="preserve"> As Regiões Geográficas Imediatas têm na rede urbana o seu principal elemento de referência. Cada uma dessa regiões possui um polo articulador de seu território. Esse polo, pode ser um município isolado ou uma combinação populacional que dá nome a essa região (IBGE, 2017). Assim sendo, o município de Pau dos Ferros, como polo articulador dessa região, exerce uma influência geoeconômica fundamental.</w:t>
      </w:r>
    </w:p>
    <w:p w14:paraId="208A1F89" w14:textId="77777777" w:rsidR="00E85288" w:rsidRDefault="00E85288" w:rsidP="00E85288">
      <w:pPr>
        <w:pStyle w:val="Textodenotaderodap"/>
      </w:pPr>
    </w:p>
  </w:footnote>
  <w:footnote w:id="2">
    <w:p w14:paraId="7C33C1B9" w14:textId="77777777" w:rsidR="006C08CB" w:rsidRPr="005E7555" w:rsidRDefault="006C08CB" w:rsidP="006C08CB">
      <w:pPr>
        <w:pStyle w:val="Textodenotaderodap"/>
        <w:ind w:firstLine="0"/>
        <w:rPr>
          <w:color w:val="FF0000"/>
        </w:rPr>
      </w:pPr>
      <w:r>
        <w:rPr>
          <w:rStyle w:val="Refdenotaderodap"/>
        </w:rPr>
        <w:footnoteRef/>
      </w:r>
      <w:r>
        <w:t xml:space="preserve"> </w:t>
      </w:r>
      <w:r w:rsidRPr="00D54793">
        <w:t>O período utilizado, nesse trabalho, para analisar a expansão do ensino superior no Brasil foi especificamente entre 2003 e 2014, tendo em vista que após o esse período a expansão do ensino superior público enquanto processo teve sua velocidade no mínimo reduzida devido à crise e ao corte sofrido p</w:t>
      </w:r>
      <w:r>
        <w:t>elas</w:t>
      </w:r>
      <w:r w:rsidRPr="00D54793">
        <w:t xml:space="preserve"> políticas públicas (OLIVEIRA, 2019).</w:t>
      </w:r>
    </w:p>
  </w:footnote>
  <w:footnote w:id="3">
    <w:p w14:paraId="5F66C32B" w14:textId="0AD70AF0" w:rsidR="0028085C" w:rsidRDefault="0028085C" w:rsidP="006568C0">
      <w:pPr>
        <w:pStyle w:val="Textodenotaderodap"/>
        <w:ind w:firstLine="0"/>
      </w:pPr>
      <w:r>
        <w:rPr>
          <w:rStyle w:val="Refdenotaderodap"/>
        </w:rPr>
        <w:footnoteRef/>
      </w:r>
      <w:r>
        <w:t xml:space="preserve"> </w:t>
      </w:r>
      <w:r w:rsidRPr="0028085C">
        <w:t>Dos 34 municípios que compõe a R.G.I. de Pau dos Ferros, 29 deles estão na faixa de até 10.000 habitantes, e somente 5 deles (Alexandria, Patu, Pau dos Ferros, São Miguel e Umarizal) tem uma população superior a 10.000 (IBGE, 2017)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83C47" w14:textId="77777777" w:rsidR="00F50004" w:rsidRDefault="004018DB">
    <w:pPr>
      <w:pStyle w:val="Cabealho"/>
      <w:jc w:val="center"/>
    </w:pPr>
    <w:r>
      <w:rPr>
        <w:noProof/>
      </w:rPr>
      <mc:AlternateContent>
        <mc:Choice Requires="wps">
          <w:drawing>
            <wp:anchor distT="0" distB="0" distL="114300" distR="114300" simplePos="0" relativeHeight="251657216" behindDoc="1" locked="0" layoutInCell="1" allowOverlap="1" wp14:anchorId="24083C4E" wp14:editId="24083C4F">
              <wp:simplePos x="0" y="0"/>
              <wp:positionH relativeFrom="column">
                <wp:posOffset>-495300</wp:posOffset>
              </wp:positionH>
              <wp:positionV relativeFrom="paragraph">
                <wp:posOffset>970915</wp:posOffset>
              </wp:positionV>
              <wp:extent cx="6505575" cy="9525"/>
              <wp:effectExtent l="0" t="0" r="28575" b="28575"/>
              <wp:wrapNone/>
              <wp:docPr id="1" name="Conector Reto 1"/>
              <wp:cNvGraphicFramePr/>
              <a:graphic xmlns:a="http://schemas.openxmlformats.org/drawingml/2006/main">
                <a:graphicData uri="http://schemas.microsoft.com/office/word/2010/wordprocessingShape">
                  <wps:wsp>
                    <wps:cNvCnPr/>
                    <wps:spPr>
                      <a:xfrm>
                        <a:off x="0" y="0"/>
                        <a:ext cx="6505575" cy="9525"/>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14BA164" id="Conector Reto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9pt,76.45pt" to="473.25pt,7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" strokecolor="#00b050" strokeweight=".5pt">
              <v:stroke joinstyle="miter"/>
            </v:line>
          </w:pict>
        </mc:Fallback>
      </mc:AlternateContent>
    </w:r>
    <w:r>
      <w:rPr>
        <w:noProof/>
      </w:rPr>
      <mc:AlternateContent>
        <mc:Choice Requires="wps">
          <w:drawing>
            <wp:inline distT="0" distB="0" distL="0" distR="0" wp14:anchorId="24083C50" wp14:editId="24083C51">
              <wp:extent cx="304800" cy="304800"/>
              <wp:effectExtent l="0" t="0" r="0" b="0"/>
              <wp:docPr id="5" name="Retângulo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20CF1A78" id="Retângulo 5"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t xml:space="preserve"> </w:t>
    </w:r>
    <w:r>
      <w:rPr>
        <w:noProof/>
      </w:rPr>
      <w:drawing>
        <wp:inline distT="0" distB="0" distL="0" distR="0" wp14:anchorId="24083C52" wp14:editId="24083C53">
          <wp:extent cx="2637790" cy="901065"/>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2665150" cy="910425"/>
                  </a:xfrm>
                  <a:prstGeom prst="rect">
                    <a:avLst/>
                  </a:prstGeom>
                  <a:noFill/>
                  <a:ln>
                    <a:noFill/>
                  </a:ln>
                </pic:spPr>
              </pic:pic>
            </a:graphicData>
          </a:graphic>
        </wp:inline>
      </w:drawing>
    </w:r>
  </w:p>
  <w:p w14:paraId="24083C48" w14:textId="77777777" w:rsidR="00F50004" w:rsidRDefault="00F50004">
    <w:pPr>
      <w:pStyle w:val="Cabealho"/>
      <w:jc w:val="center"/>
    </w:pPr>
  </w:p>
  <w:p w14:paraId="24083C49" w14:textId="77777777" w:rsidR="00F50004" w:rsidRDefault="00F50004">
    <w:pPr>
      <w:pStyle w:val="Cabealho"/>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C01"/>
    <w:rsid w:val="00000143"/>
    <w:rsid w:val="00001C62"/>
    <w:rsid w:val="00036C01"/>
    <w:rsid w:val="00040304"/>
    <w:rsid w:val="000B5A29"/>
    <w:rsid w:val="000F2C33"/>
    <w:rsid w:val="000F41B6"/>
    <w:rsid w:val="000F5609"/>
    <w:rsid w:val="0017619A"/>
    <w:rsid w:val="001D64C4"/>
    <w:rsid w:val="001D7E70"/>
    <w:rsid w:val="00206A92"/>
    <w:rsid w:val="00240B3F"/>
    <w:rsid w:val="00241841"/>
    <w:rsid w:val="00255C43"/>
    <w:rsid w:val="00271A8D"/>
    <w:rsid w:val="0028085C"/>
    <w:rsid w:val="002A7155"/>
    <w:rsid w:val="002F2256"/>
    <w:rsid w:val="00301161"/>
    <w:rsid w:val="0031273D"/>
    <w:rsid w:val="00360D5D"/>
    <w:rsid w:val="00362FD0"/>
    <w:rsid w:val="00362FF8"/>
    <w:rsid w:val="00394BFE"/>
    <w:rsid w:val="003E7D38"/>
    <w:rsid w:val="00400F05"/>
    <w:rsid w:val="004018DB"/>
    <w:rsid w:val="004A7D47"/>
    <w:rsid w:val="004B4362"/>
    <w:rsid w:val="004D292A"/>
    <w:rsid w:val="004E158D"/>
    <w:rsid w:val="00507F7E"/>
    <w:rsid w:val="00510F45"/>
    <w:rsid w:val="00514F26"/>
    <w:rsid w:val="00576695"/>
    <w:rsid w:val="0058087D"/>
    <w:rsid w:val="00595110"/>
    <w:rsid w:val="005C53D9"/>
    <w:rsid w:val="005E5D72"/>
    <w:rsid w:val="00605421"/>
    <w:rsid w:val="00614CCD"/>
    <w:rsid w:val="006245D9"/>
    <w:rsid w:val="006421A9"/>
    <w:rsid w:val="006556DA"/>
    <w:rsid w:val="006568C0"/>
    <w:rsid w:val="00686419"/>
    <w:rsid w:val="006C08CB"/>
    <w:rsid w:val="00764D3C"/>
    <w:rsid w:val="00787010"/>
    <w:rsid w:val="007A3A8D"/>
    <w:rsid w:val="007A4F7D"/>
    <w:rsid w:val="007C3EAC"/>
    <w:rsid w:val="007F0609"/>
    <w:rsid w:val="007F1396"/>
    <w:rsid w:val="008202E1"/>
    <w:rsid w:val="0082564A"/>
    <w:rsid w:val="00831723"/>
    <w:rsid w:val="0085799B"/>
    <w:rsid w:val="008A48C6"/>
    <w:rsid w:val="008C6ABA"/>
    <w:rsid w:val="008D12A4"/>
    <w:rsid w:val="00920A70"/>
    <w:rsid w:val="0097207D"/>
    <w:rsid w:val="00972B28"/>
    <w:rsid w:val="009C51DB"/>
    <w:rsid w:val="009F167A"/>
    <w:rsid w:val="00A12BDF"/>
    <w:rsid w:val="00A63DC8"/>
    <w:rsid w:val="00AA7870"/>
    <w:rsid w:val="00AA7BB0"/>
    <w:rsid w:val="00AC76C6"/>
    <w:rsid w:val="00B07293"/>
    <w:rsid w:val="00BA4B39"/>
    <w:rsid w:val="00BC6D50"/>
    <w:rsid w:val="00BF61E1"/>
    <w:rsid w:val="00C65452"/>
    <w:rsid w:val="00C87F92"/>
    <w:rsid w:val="00C9008E"/>
    <w:rsid w:val="00C9261A"/>
    <w:rsid w:val="00CB43F7"/>
    <w:rsid w:val="00CC7280"/>
    <w:rsid w:val="00CF7B5A"/>
    <w:rsid w:val="00D229D5"/>
    <w:rsid w:val="00DF6D32"/>
    <w:rsid w:val="00E35B9A"/>
    <w:rsid w:val="00E50039"/>
    <w:rsid w:val="00E61136"/>
    <w:rsid w:val="00E77A57"/>
    <w:rsid w:val="00E85288"/>
    <w:rsid w:val="00EC7919"/>
    <w:rsid w:val="00ED0A2E"/>
    <w:rsid w:val="00F12FD9"/>
    <w:rsid w:val="00F50004"/>
    <w:rsid w:val="00F81FFA"/>
    <w:rsid w:val="00FC04EE"/>
    <w:rsid w:val="00FC4F7E"/>
    <w:rsid w:val="00FF2309"/>
    <w:rsid w:val="67B422F1"/>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083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7E70"/>
    <w:pPr>
      <w:ind w:firstLine="709"/>
      <w:jc w:val="both"/>
    </w:pPr>
    <w:rPr>
      <w:rFonts w:ascii="Times New Roman" w:hAnsi="Times New Roman"/>
      <w:sz w:val="24"/>
      <w:szCs w:val="22"/>
      <w:lang w:eastAsia="en-US"/>
    </w:rPr>
  </w:style>
  <w:style w:type="paragraph" w:styleId="Ttulo1">
    <w:name w:val="heading 1"/>
    <w:basedOn w:val="Normal"/>
    <w:next w:val="Normal"/>
    <w:link w:val="Ttulo1Char"/>
    <w:uiPriority w:val="9"/>
    <w:qFormat/>
    <w:rsid w:val="007F0609"/>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har"/>
    <w:uiPriority w:val="9"/>
    <w:semiHidden/>
    <w:unhideWhenUsed/>
    <w:qFormat/>
    <w:rsid w:val="00C9261A"/>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link w:val="TtuloChar"/>
    <w:qFormat/>
    <w:pPr>
      <w:jc w:val="center"/>
    </w:pPr>
    <w:rPr>
      <w:rFonts w:ascii="Arial" w:eastAsia="Times New Roman" w:hAnsi="Arial" w:cs="Times New Roman"/>
      <w:b/>
      <w:sz w:val="28"/>
      <w:szCs w:val="24"/>
      <w:lang w:val="en-GB" w:eastAsia="pt-BR"/>
    </w:rPr>
  </w:style>
  <w:style w:type="paragraph" w:styleId="Corpodetexto3">
    <w:name w:val="Body Text 3"/>
    <w:basedOn w:val="Normal"/>
    <w:link w:val="Corpodetexto3Char"/>
    <w:qFormat/>
    <w:pPr>
      <w:jc w:val="center"/>
    </w:pPr>
    <w:rPr>
      <w:rFonts w:eastAsia="Times New Roman" w:cs="Times New Roman"/>
      <w:b/>
      <w:sz w:val="28"/>
      <w:szCs w:val="24"/>
      <w:lang w:eastAsia="pt-BR"/>
    </w:rPr>
  </w:style>
  <w:style w:type="paragraph" w:styleId="Cabealho">
    <w:name w:val="header"/>
    <w:basedOn w:val="Normal"/>
    <w:link w:val="CabealhoChar"/>
    <w:uiPriority w:val="99"/>
    <w:unhideWhenUsed/>
    <w:pPr>
      <w:tabs>
        <w:tab w:val="center" w:pos="4252"/>
        <w:tab w:val="right" w:pos="8504"/>
      </w:tabs>
    </w:pPr>
  </w:style>
  <w:style w:type="paragraph" w:styleId="Rodap">
    <w:name w:val="footer"/>
    <w:basedOn w:val="Normal"/>
    <w:link w:val="RodapChar"/>
    <w:uiPriority w:val="99"/>
    <w:unhideWhenUsed/>
    <w:qFormat/>
    <w:pPr>
      <w:tabs>
        <w:tab w:val="center" w:pos="4252"/>
        <w:tab w:val="right" w:pos="8504"/>
      </w:tabs>
    </w:pPr>
  </w:style>
  <w:style w:type="character" w:customStyle="1" w:styleId="CabealhoChar">
    <w:name w:val="Cabeçalho Char"/>
    <w:basedOn w:val="Fontepargpadro"/>
    <w:link w:val="Cabealho"/>
    <w:uiPriority w:val="99"/>
    <w:qFormat/>
  </w:style>
  <w:style w:type="character" w:customStyle="1" w:styleId="RodapChar">
    <w:name w:val="Rodapé Char"/>
    <w:basedOn w:val="Fontepargpadro"/>
    <w:link w:val="Rodap"/>
    <w:uiPriority w:val="99"/>
    <w:qFormat/>
  </w:style>
  <w:style w:type="character" w:customStyle="1" w:styleId="fontstyle01">
    <w:name w:val="fontstyle01"/>
    <w:basedOn w:val="Fontepargpadro"/>
    <w:rPr>
      <w:rFonts w:ascii="Arial-BoldMT" w:hAnsi="Arial-BoldMT" w:hint="default"/>
      <w:b/>
      <w:bCs/>
      <w:color w:val="242021"/>
      <w:sz w:val="22"/>
      <w:szCs w:val="22"/>
    </w:rPr>
  </w:style>
  <w:style w:type="character" w:customStyle="1" w:styleId="Corpodetexto3Char">
    <w:name w:val="Corpo de texto 3 Char"/>
    <w:basedOn w:val="Fontepargpadro"/>
    <w:link w:val="Corpodetexto3"/>
    <w:rPr>
      <w:rFonts w:ascii="Times New Roman" w:eastAsia="Times New Roman" w:hAnsi="Times New Roman" w:cs="Times New Roman"/>
      <w:b/>
      <w:sz w:val="28"/>
      <w:szCs w:val="24"/>
      <w:lang w:eastAsia="pt-BR"/>
    </w:rPr>
  </w:style>
  <w:style w:type="character" w:customStyle="1" w:styleId="TtuloChar">
    <w:name w:val="Título Char"/>
    <w:basedOn w:val="Fontepargpadro"/>
    <w:link w:val="Ttulo"/>
    <w:rPr>
      <w:rFonts w:ascii="Arial" w:eastAsia="Times New Roman" w:hAnsi="Arial" w:cs="Times New Roman"/>
      <w:b/>
      <w:sz w:val="28"/>
      <w:szCs w:val="24"/>
      <w:lang w:val="en-GB" w:eastAsia="pt-BR"/>
    </w:rPr>
  </w:style>
  <w:style w:type="paragraph" w:styleId="Textodenotaderodap">
    <w:name w:val="footnote text"/>
    <w:basedOn w:val="Normal"/>
    <w:link w:val="TextodenotaderodapChar"/>
    <w:uiPriority w:val="99"/>
    <w:semiHidden/>
    <w:unhideWhenUsed/>
    <w:rsid w:val="00E85288"/>
    <w:rPr>
      <w:sz w:val="20"/>
      <w:szCs w:val="20"/>
    </w:rPr>
  </w:style>
  <w:style w:type="character" w:customStyle="1" w:styleId="TextodenotaderodapChar">
    <w:name w:val="Texto de nota de rodapé Char"/>
    <w:basedOn w:val="Fontepargpadro"/>
    <w:link w:val="Textodenotaderodap"/>
    <w:uiPriority w:val="99"/>
    <w:semiHidden/>
    <w:rsid w:val="00E85288"/>
    <w:rPr>
      <w:rFonts w:ascii="Times New Roman" w:hAnsi="Times New Roman"/>
      <w:lang w:eastAsia="en-US"/>
    </w:rPr>
  </w:style>
  <w:style w:type="character" w:styleId="Refdenotaderodap">
    <w:name w:val="footnote reference"/>
    <w:basedOn w:val="Fontepargpadro"/>
    <w:uiPriority w:val="99"/>
    <w:semiHidden/>
    <w:unhideWhenUsed/>
    <w:rsid w:val="00E85288"/>
    <w:rPr>
      <w:vertAlign w:val="superscript"/>
    </w:rPr>
  </w:style>
  <w:style w:type="character" w:customStyle="1" w:styleId="Ttulo1Char">
    <w:name w:val="Título 1 Char"/>
    <w:basedOn w:val="Fontepargpadro"/>
    <w:link w:val="Ttulo1"/>
    <w:uiPriority w:val="9"/>
    <w:rsid w:val="007F0609"/>
    <w:rPr>
      <w:rFonts w:asciiTheme="majorHAnsi" w:eastAsiaTheme="majorEastAsia" w:hAnsiTheme="majorHAnsi" w:cstheme="majorBidi"/>
      <w:color w:val="2F5496" w:themeColor="accent1" w:themeShade="BF"/>
      <w:sz w:val="32"/>
      <w:szCs w:val="32"/>
      <w:lang w:eastAsia="en-US"/>
    </w:rPr>
  </w:style>
  <w:style w:type="table" w:customStyle="1" w:styleId="SimplesTabela21">
    <w:name w:val="Simples Tabela 21"/>
    <w:basedOn w:val="Tabelanormal"/>
    <w:next w:val="SimplesTabela2"/>
    <w:uiPriority w:val="42"/>
    <w:rsid w:val="001D7E70"/>
    <w:rPr>
      <w:sz w:val="22"/>
      <w:szCs w:val="22"/>
      <w:lang w:eastAsia="en-US"/>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SimplesTabela2">
    <w:name w:val="Plain Table 2"/>
    <w:basedOn w:val="Tabelanormal"/>
    <w:uiPriority w:val="42"/>
    <w:rsid w:val="001D7E70"/>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Legenda">
    <w:name w:val="caption"/>
    <w:basedOn w:val="Normal"/>
    <w:next w:val="Normal"/>
    <w:uiPriority w:val="35"/>
    <w:unhideWhenUsed/>
    <w:qFormat/>
    <w:rsid w:val="001D7E70"/>
    <w:pPr>
      <w:spacing w:after="200"/>
    </w:pPr>
    <w:rPr>
      <w:i/>
      <w:iCs/>
      <w:color w:val="44546A" w:themeColor="text2"/>
      <w:sz w:val="18"/>
      <w:szCs w:val="18"/>
    </w:rPr>
  </w:style>
  <w:style w:type="table" w:customStyle="1" w:styleId="SimplesTabela22">
    <w:name w:val="Simples Tabela 22"/>
    <w:basedOn w:val="Tabelanormal"/>
    <w:next w:val="SimplesTabela2"/>
    <w:uiPriority w:val="42"/>
    <w:rsid w:val="00D229D5"/>
    <w:rPr>
      <w:sz w:val="22"/>
      <w:szCs w:val="22"/>
      <w:lang w:eastAsia="en-US"/>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SimplesTabela23">
    <w:name w:val="Simples Tabela 23"/>
    <w:basedOn w:val="Tabelanormal"/>
    <w:next w:val="SimplesTabela2"/>
    <w:uiPriority w:val="42"/>
    <w:rsid w:val="002A7155"/>
    <w:rPr>
      <w:sz w:val="22"/>
      <w:szCs w:val="22"/>
      <w:lang w:eastAsia="en-US"/>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SimplesTabela24">
    <w:name w:val="Simples Tabela 24"/>
    <w:basedOn w:val="Tabelanormal"/>
    <w:next w:val="SimplesTabela2"/>
    <w:uiPriority w:val="42"/>
    <w:rsid w:val="002A7155"/>
    <w:rPr>
      <w:sz w:val="22"/>
      <w:szCs w:val="22"/>
      <w:lang w:eastAsia="en-US"/>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styleId="PargrafodaLista">
    <w:name w:val="List Paragraph"/>
    <w:basedOn w:val="Normal"/>
    <w:uiPriority w:val="99"/>
    <w:rsid w:val="00605421"/>
    <w:pPr>
      <w:ind w:left="720"/>
      <w:contextualSpacing/>
    </w:pPr>
  </w:style>
  <w:style w:type="character" w:styleId="Hyperlink">
    <w:name w:val="Hyperlink"/>
    <w:basedOn w:val="Fontepargpadro"/>
    <w:uiPriority w:val="99"/>
    <w:unhideWhenUsed/>
    <w:rsid w:val="00E61136"/>
    <w:rPr>
      <w:color w:val="0563C1" w:themeColor="hyperlink"/>
      <w:u w:val="single"/>
    </w:rPr>
  </w:style>
  <w:style w:type="character" w:styleId="MenoPendente">
    <w:name w:val="Unresolved Mention"/>
    <w:basedOn w:val="Fontepargpadro"/>
    <w:uiPriority w:val="99"/>
    <w:semiHidden/>
    <w:unhideWhenUsed/>
    <w:rsid w:val="00E61136"/>
    <w:rPr>
      <w:color w:val="605E5C"/>
      <w:shd w:val="clear" w:color="auto" w:fill="E1DFDD"/>
    </w:rPr>
  </w:style>
  <w:style w:type="character" w:customStyle="1" w:styleId="Ttulo2Char">
    <w:name w:val="Título 2 Char"/>
    <w:basedOn w:val="Fontepargpadro"/>
    <w:link w:val="Ttulo2"/>
    <w:uiPriority w:val="9"/>
    <w:semiHidden/>
    <w:rsid w:val="00C9261A"/>
    <w:rPr>
      <w:rFonts w:asciiTheme="majorHAnsi" w:eastAsiaTheme="majorEastAsia" w:hAnsiTheme="majorHAnsi" w:cstheme="majorBidi"/>
      <w:color w:val="2F5496" w:themeColor="accent1" w:themeShade="BF"/>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7169689">
      <w:bodyDiv w:val="1"/>
      <w:marLeft w:val="0"/>
      <w:marRight w:val="0"/>
      <w:marTop w:val="0"/>
      <w:marBottom w:val="0"/>
      <w:divBdr>
        <w:top w:val="none" w:sz="0" w:space="0" w:color="auto"/>
        <w:left w:val="none" w:sz="0" w:space="0" w:color="auto"/>
        <w:bottom w:val="none" w:sz="0" w:space="0" w:color="auto"/>
        <w:right w:val="none" w:sz="0" w:space="0" w:color="auto"/>
      </w:divBdr>
    </w:div>
    <w:div w:id="1095983268">
      <w:bodyDiv w:val="1"/>
      <w:marLeft w:val="0"/>
      <w:marRight w:val="0"/>
      <w:marTop w:val="0"/>
      <w:marBottom w:val="0"/>
      <w:divBdr>
        <w:top w:val="none" w:sz="0" w:space="0" w:color="auto"/>
        <w:left w:val="none" w:sz="0" w:space="0" w:color="auto"/>
        <w:bottom w:val="none" w:sz="0" w:space="0" w:color="auto"/>
        <w:right w:val="none" w:sz="0" w:space="0" w:color="auto"/>
      </w:divBdr>
    </w:div>
    <w:div w:id="2010674714">
      <w:bodyDiv w:val="1"/>
      <w:marLeft w:val="0"/>
      <w:marRight w:val="0"/>
      <w:marTop w:val="0"/>
      <w:marBottom w:val="0"/>
      <w:divBdr>
        <w:top w:val="none" w:sz="0" w:space="0" w:color="auto"/>
        <w:left w:val="none" w:sz="0" w:space="0" w:color="auto"/>
        <w:bottom w:val="none" w:sz="0" w:space="0" w:color="auto"/>
        <w:right w:val="none" w:sz="0" w:space="0" w:color="auto"/>
      </w:divBdr>
      <w:divsChild>
        <w:div w:id="1689066377">
          <w:marLeft w:val="0"/>
          <w:marRight w:val="0"/>
          <w:marTop w:val="0"/>
          <w:marBottom w:val="0"/>
          <w:divBdr>
            <w:top w:val="none" w:sz="0" w:space="0" w:color="auto"/>
            <w:left w:val="none" w:sz="0" w:space="0" w:color="auto"/>
            <w:bottom w:val="none" w:sz="0" w:space="0" w:color="auto"/>
            <w:right w:val="none" w:sz="0" w:space="0" w:color="auto"/>
          </w:divBdr>
        </w:div>
        <w:div w:id="179051302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hyperlink" Target="https://doi.org/10.4013/edu.2015.191.2488" TargetMode="External"/><Relationship Id="rId26" Type="http://schemas.openxmlformats.org/officeDocument/2006/relationships/hyperlink" Target="https://doi.org/10.5216/rpp.v8i2.14035" TargetMode="External"/><Relationship Id="rId3" Type="http://schemas.openxmlformats.org/officeDocument/2006/relationships/styles" Target="styles.xml"/><Relationship Id="rId21" Type="http://schemas.openxmlformats.org/officeDocument/2006/relationships/hyperlink" Target="https://biblioteca.ibge.gov.br/visualizacao/livros/liv100600.pdf" TargetMode="External"/><Relationship Id="rId7" Type="http://schemas.openxmlformats.org/officeDocument/2006/relationships/endnotes" Target="endnotes.xml"/><Relationship Id="rId12" Type="http://schemas.openxmlformats.org/officeDocument/2006/relationships/chart" Target="charts/chart4.xml"/><Relationship Id="rId17" Type="http://schemas.openxmlformats.org/officeDocument/2006/relationships/hyperlink" Target="https://bi.mte.gov.br/bgcaged/login.php" TargetMode="External"/><Relationship Id="rId25" Type="http://schemas.openxmlformats.org/officeDocument/2006/relationships/hyperlink" Target="https://doi.org/10.1590/s01014161201000040000" TargetMode="External"/><Relationship Id="rId2" Type="http://schemas.openxmlformats.org/officeDocument/2006/relationships/customXml" Target="../customXml/item2.xml"/><Relationship Id="rId16" Type="http://schemas.openxmlformats.org/officeDocument/2006/relationships/hyperlink" Target="http://portal.mec.gov.br/index.php?option=com_docman&amp;view=download&amp;alias=16762-balanco-social-sesu-2003-2014&amp;Itemid=30192" TargetMode="External"/><Relationship Id="rId20" Type="http://schemas.openxmlformats.org/officeDocument/2006/relationships/hyperlink" Target="http://dx.doi.org/10.5380/re.v35i3.16712"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24" Type="http://schemas.openxmlformats.org/officeDocument/2006/relationships/hyperlink" Target="https://ppe.ipea.gov.br/index.php/ppe/article/viewFile/1618/1218" TargetMode="External"/><Relationship Id="rId5" Type="http://schemas.openxmlformats.org/officeDocument/2006/relationships/webSettings" Target="webSettings.xml"/><Relationship Id="rId15" Type="http://schemas.openxmlformats.org/officeDocument/2006/relationships/hyperlink" Target="https://www.bcb.gov.br/content/publicacoes/boletimregional/201901/br201901b1p.pdf" TargetMode="External"/><Relationship Id="rId23" Type="http://schemas.openxmlformats.org/officeDocument/2006/relationships/hyperlink" Target="http://hdl.handle.net/10438/980" TargetMode="External"/><Relationship Id="rId28" Type="http://schemas.openxmlformats.org/officeDocument/2006/relationships/fontTable" Target="fontTable.xml"/><Relationship Id="rId10" Type="http://schemas.openxmlformats.org/officeDocument/2006/relationships/chart" Target="charts/chart2.xml"/><Relationship Id="rId19" Type="http://schemas.openxmlformats.org/officeDocument/2006/relationships/hyperlink" Target="https://acervo.enap.gov.br/cgi-bin/koha/opac-detail.pl?biblionumber=52331" TargetMode="Externa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footer" Target="footer1.xml"/><Relationship Id="rId22" Type="http://schemas.openxmlformats.org/officeDocument/2006/relationships/hyperlink" Target="http://inep.gov.br/sinopses-estatisticas-da-educacao-superior" TargetMode="External"/><Relationship Id="rId27" Type="http://schemas.openxmlformats.org/officeDocument/2006/relationships/hyperlink" Target="https://doi.org/10.38116/ppp56art1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NULL"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barChart>
        <c:barDir val="col"/>
        <c:grouping val="clustered"/>
        <c:varyColors val="0"/>
        <c:ser>
          <c:idx val="0"/>
          <c:order val="0"/>
          <c:tx>
            <c:strRef>
              <c:f>Planilha1!$B$6</c:f>
              <c:strCache>
                <c:ptCount val="1"/>
              </c:strCache>
            </c:strRef>
          </c:tx>
          <c:spPr>
            <a:solidFill>
              <a:schemeClr val="accent1"/>
            </a:solidFill>
            <a:ln>
              <a:noFill/>
            </a:ln>
            <a:effectLst/>
          </c:spPr>
          <c:invertIfNegative val="0"/>
          <c:dLbls>
            <c:spPr>
              <a:noFill/>
              <a:ln>
                <a:noFill/>
              </a:ln>
              <a:effectLst/>
            </c:spPr>
            <c:txPr>
              <a:bodyPr rot="-5400000" spcFirstLastPara="1" vertOverflow="ellipsis" wrap="square" anchor="ctr" anchorCtr="1"/>
              <a:lstStyle/>
              <a:p>
                <a:pPr>
                  <a:defRPr sz="11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pt-B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Planilha1!$C$5:$V$5</c:f>
              <c:strCache>
                <c:ptCount val="20"/>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strCache>
            </c:strRef>
          </c:cat>
          <c:val>
            <c:numRef>
              <c:f>Planilha1!$C$6:$V$6</c:f>
              <c:numCache>
                <c:formatCode>_(* #,##0_);_(* \(#,##0\);_(* "-"_);_(@_)</c:formatCode>
                <c:ptCount val="20"/>
                <c:pt idx="0" formatCode="#,##0">
                  <c:v>324734</c:v>
                </c:pt>
                <c:pt idx="1">
                  <c:v>352305</c:v>
                </c:pt>
                <c:pt idx="2" formatCode="#,##0">
                  <c:v>466260</c:v>
                </c:pt>
                <c:pt idx="3" formatCode="#,##0">
                  <c:v>528223</c:v>
                </c:pt>
                <c:pt idx="4" formatCode="#,##0">
                  <c:v>626617</c:v>
                </c:pt>
                <c:pt idx="5">
                  <c:v>717858</c:v>
                </c:pt>
                <c:pt idx="6">
                  <c:v>736829</c:v>
                </c:pt>
                <c:pt idx="7">
                  <c:v>756799</c:v>
                </c:pt>
                <c:pt idx="8">
                  <c:v>800318</c:v>
                </c:pt>
                <c:pt idx="9" formatCode="#,##0">
                  <c:v>826928</c:v>
                </c:pt>
                <c:pt idx="10" formatCode="#,##0">
                  <c:v>829286</c:v>
                </c:pt>
                <c:pt idx="11">
                  <c:v>865161</c:v>
                </c:pt>
                <c:pt idx="12">
                  <c:v>876091</c:v>
                </c:pt>
                <c:pt idx="13">
                  <c:v>829938</c:v>
                </c:pt>
                <c:pt idx="14" formatCode="#,##0&quot; &quot;;#,##0&quot; &quot;;&quot;- &quot;;&quot; &quot;@&quot; &quot;">
                  <c:v>837304</c:v>
                </c:pt>
                <c:pt idx="15">
                  <c:v>916363</c:v>
                </c:pt>
                <c:pt idx="16">
                  <c:v>938732</c:v>
                </c:pt>
                <c:pt idx="17">
                  <c:v>947606</c:v>
                </c:pt>
                <c:pt idx="18">
                  <c:v>990415</c:v>
                </c:pt>
                <c:pt idx="19">
                  <c:v>934037</c:v>
                </c:pt>
              </c:numCache>
            </c:numRef>
          </c:val>
          <c:extLst>
            <c:ext xmlns:c16="http://schemas.microsoft.com/office/drawing/2014/chart" uri="{C3380CC4-5D6E-409C-BE32-E72D297353CC}">
              <c16:uniqueId val="{00000000-C1B7-4553-B21C-C9B19B129955}"/>
            </c:ext>
          </c:extLst>
        </c:ser>
        <c:dLbls>
          <c:dLblPos val="outEnd"/>
          <c:showLegendKey val="0"/>
          <c:showVal val="1"/>
          <c:showCatName val="0"/>
          <c:showSerName val="0"/>
          <c:showPercent val="0"/>
          <c:showBubbleSize val="0"/>
        </c:dLbls>
        <c:gapWidth val="199"/>
        <c:axId val="736242312"/>
        <c:axId val="736250840"/>
      </c:barChart>
      <c:catAx>
        <c:axId val="736242312"/>
        <c:scaling>
          <c:orientation val="minMax"/>
        </c:scaling>
        <c:delete val="0"/>
        <c:axPos val="b"/>
        <c:title>
          <c:tx>
            <c:rich>
              <a:bodyPr rot="0" spcFirstLastPara="1" vertOverflow="ellipsis" vert="horz" wrap="square" anchor="ctr" anchorCtr="1"/>
              <a:lstStyle/>
              <a:p>
                <a:pPr>
                  <a:defRPr sz="1100" b="0" i="0" u="none" strike="noStrike" kern="1200" cap="all" baseline="0">
                    <a:solidFill>
                      <a:schemeClr val="dk1"/>
                    </a:solidFill>
                    <a:latin typeface="Times New Roman" panose="02020603050405020304" pitchFamily="18" charset="0"/>
                    <a:ea typeface="+mn-ea"/>
                    <a:cs typeface="Times New Roman" panose="02020603050405020304" pitchFamily="18" charset="0"/>
                  </a:defRPr>
                </a:pPr>
                <a:r>
                  <a:rPr lang="pt-BR"/>
                  <a:t>Ano</a:t>
                </a:r>
              </a:p>
            </c:rich>
          </c:tx>
          <c:layout>
            <c:manualLayout>
              <c:xMode val="edge"/>
              <c:yMode val="edge"/>
              <c:x val="0.52831639296547062"/>
              <c:y val="0.90108120542903147"/>
            </c:manualLayout>
          </c:layout>
          <c:overlay val="0"/>
          <c:spPr>
            <a:noFill/>
            <a:ln>
              <a:noFill/>
            </a:ln>
            <a:effectLst/>
          </c:spPr>
          <c:txPr>
            <a:bodyPr rot="0" spcFirstLastPara="1" vertOverflow="ellipsis" vert="horz" wrap="square" anchor="ctr" anchorCtr="1"/>
            <a:lstStyle/>
            <a:p>
              <a:pPr>
                <a:defRPr sz="1100" b="0" i="0" u="none" strike="noStrike" kern="1200" cap="all" baseline="0">
                  <a:solidFill>
                    <a:schemeClr val="dk1"/>
                  </a:solidFill>
                  <a:latin typeface="Times New Roman" panose="02020603050405020304" pitchFamily="18" charset="0"/>
                  <a:ea typeface="+mn-ea"/>
                  <a:cs typeface="Times New Roman" panose="02020603050405020304" pitchFamily="18" charset="0"/>
                </a:defRPr>
              </a:pPr>
              <a:endParaRPr lang="pt-BR"/>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1100" b="0" i="0" u="none" strike="noStrike" kern="1200" cap="none" spc="0" normalizeH="0" baseline="0">
                <a:solidFill>
                  <a:schemeClr val="dk1"/>
                </a:solidFill>
                <a:latin typeface="Times New Roman" panose="02020603050405020304" pitchFamily="18" charset="0"/>
                <a:ea typeface="+mn-ea"/>
                <a:cs typeface="Times New Roman" panose="02020603050405020304" pitchFamily="18" charset="0"/>
              </a:defRPr>
            </a:pPr>
            <a:endParaRPr lang="pt-BR"/>
          </a:p>
        </c:txPr>
        <c:crossAx val="736250840"/>
        <c:crosses val="autoZero"/>
        <c:auto val="1"/>
        <c:lblAlgn val="ctr"/>
        <c:lblOffset val="100"/>
        <c:noMultiLvlLbl val="0"/>
      </c:catAx>
      <c:valAx>
        <c:axId val="736250840"/>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1100" b="0" i="0" u="none" strike="noStrike" kern="1200" cap="all" baseline="0">
                    <a:solidFill>
                      <a:schemeClr val="dk1"/>
                    </a:solidFill>
                    <a:latin typeface="Times New Roman" panose="02020603050405020304" pitchFamily="18" charset="0"/>
                    <a:ea typeface="+mn-ea"/>
                    <a:cs typeface="Times New Roman" panose="02020603050405020304" pitchFamily="18" charset="0"/>
                  </a:defRPr>
                </a:pPr>
                <a:r>
                  <a:rPr lang="pt-BR"/>
                  <a:t>Quantidade de concluintes</a:t>
                </a:r>
              </a:p>
            </c:rich>
          </c:tx>
          <c:overlay val="0"/>
          <c:spPr>
            <a:noFill/>
            <a:ln>
              <a:noFill/>
            </a:ln>
            <a:effectLst/>
          </c:spPr>
          <c:txPr>
            <a:bodyPr rot="-5400000" spcFirstLastPara="1" vertOverflow="ellipsis" vert="horz" wrap="square" anchor="ctr" anchorCtr="1"/>
            <a:lstStyle/>
            <a:p>
              <a:pPr>
                <a:defRPr sz="1100" b="0" i="0" u="none" strike="noStrike" kern="1200" cap="all" baseline="0">
                  <a:solidFill>
                    <a:schemeClr val="dk1"/>
                  </a:solidFill>
                  <a:latin typeface="Times New Roman" panose="02020603050405020304" pitchFamily="18" charset="0"/>
                  <a:ea typeface="+mn-ea"/>
                  <a:cs typeface="Times New Roman" panose="02020603050405020304" pitchFamily="18" charset="0"/>
                </a:defRPr>
              </a:pPr>
              <a:endParaRPr lang="pt-BR"/>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pt-BR"/>
          </a:p>
        </c:txPr>
        <c:crossAx val="73624231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12700" cap="flat" cmpd="sng" algn="ctr">
      <a:solidFill>
        <a:schemeClr val="dk1"/>
      </a:solidFill>
      <a:prstDash val="solid"/>
      <a:miter lim="800000"/>
    </a:ln>
    <a:effectLst/>
  </c:spPr>
  <c:txPr>
    <a:bodyPr/>
    <a:lstStyle/>
    <a:p>
      <a:pPr>
        <a:defRPr sz="1100">
          <a:solidFill>
            <a:schemeClr val="dk1"/>
          </a:solidFill>
          <a:latin typeface="Times New Roman" panose="02020603050405020304" pitchFamily="18" charset="0"/>
          <a:ea typeface="+mn-ea"/>
          <a:cs typeface="Times New Roman" panose="02020603050405020304" pitchFamily="18" charset="0"/>
        </a:defRPr>
      </a:pPr>
      <a:endParaRPr lang="pt-BR"/>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Planilha2!$A$5</c:f>
              <c:strCache>
                <c:ptCount val="1"/>
                <c:pt idx="0">
                  <c:v>CENTRO-OESTE</c:v>
                </c:pt>
              </c:strCache>
            </c:strRef>
          </c:tx>
          <c:spPr>
            <a:solidFill>
              <a:schemeClr val="accent1"/>
            </a:solidFill>
            <a:ln>
              <a:noFill/>
            </a:ln>
            <a:effectLst/>
          </c:spPr>
          <c:invertIfNegative val="0"/>
          <c:cat>
            <c:strRef>
              <c:f>Planilha2!$B$4:$U$4</c:f>
              <c:strCache>
                <c:ptCount val="20"/>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strCache>
            </c:strRef>
          </c:cat>
          <c:val>
            <c:numRef>
              <c:f>Planilha2!$B$5:$U$5</c:f>
              <c:numCache>
                <c:formatCode>General</c:formatCode>
                <c:ptCount val="20"/>
                <c:pt idx="0">
                  <c:v>25350</c:v>
                </c:pt>
                <c:pt idx="1">
                  <c:v>26877</c:v>
                </c:pt>
                <c:pt idx="2">
                  <c:v>38731</c:v>
                </c:pt>
                <c:pt idx="3">
                  <c:v>48208</c:v>
                </c:pt>
                <c:pt idx="4">
                  <c:v>60877</c:v>
                </c:pt>
                <c:pt idx="5">
                  <c:v>71929</c:v>
                </c:pt>
                <c:pt idx="6">
                  <c:v>71331</c:v>
                </c:pt>
                <c:pt idx="7">
                  <c:v>68457</c:v>
                </c:pt>
                <c:pt idx="8">
                  <c:v>73766</c:v>
                </c:pt>
                <c:pt idx="9">
                  <c:v>68359</c:v>
                </c:pt>
                <c:pt idx="10">
                  <c:v>70599</c:v>
                </c:pt>
                <c:pt idx="11">
                  <c:v>54806</c:v>
                </c:pt>
                <c:pt idx="12">
                  <c:v>83971</c:v>
                </c:pt>
                <c:pt idx="13">
                  <c:v>77539</c:v>
                </c:pt>
                <c:pt idx="14">
                  <c:v>79274</c:v>
                </c:pt>
                <c:pt idx="15">
                  <c:v>89968</c:v>
                </c:pt>
                <c:pt idx="16">
                  <c:v>85890</c:v>
                </c:pt>
                <c:pt idx="17">
                  <c:v>89956</c:v>
                </c:pt>
                <c:pt idx="18">
                  <c:v>93212</c:v>
                </c:pt>
                <c:pt idx="19">
                  <c:v>87182</c:v>
                </c:pt>
              </c:numCache>
            </c:numRef>
          </c:val>
          <c:extLst>
            <c:ext xmlns:c16="http://schemas.microsoft.com/office/drawing/2014/chart" uri="{C3380CC4-5D6E-409C-BE32-E72D297353CC}">
              <c16:uniqueId val="{00000000-52AC-440B-A18C-76706C067229}"/>
            </c:ext>
          </c:extLst>
        </c:ser>
        <c:ser>
          <c:idx val="1"/>
          <c:order val="1"/>
          <c:tx>
            <c:strRef>
              <c:f>Planilha2!$A$6</c:f>
              <c:strCache>
                <c:ptCount val="1"/>
                <c:pt idx="0">
                  <c:v>NORDESTE</c:v>
                </c:pt>
              </c:strCache>
            </c:strRef>
          </c:tx>
          <c:spPr>
            <a:solidFill>
              <a:schemeClr val="accent3"/>
            </a:solidFill>
            <a:ln>
              <a:noFill/>
            </a:ln>
            <a:effectLst/>
          </c:spPr>
          <c:invertIfNegative val="0"/>
          <c:cat>
            <c:strRef>
              <c:f>Planilha2!$B$4:$U$4</c:f>
              <c:strCache>
                <c:ptCount val="20"/>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strCache>
            </c:strRef>
          </c:cat>
          <c:val>
            <c:numRef>
              <c:f>Planilha2!$B$6:$U$6</c:f>
              <c:numCache>
                <c:formatCode>General</c:formatCode>
                <c:ptCount val="20"/>
                <c:pt idx="0">
                  <c:v>42916</c:v>
                </c:pt>
                <c:pt idx="1">
                  <c:v>46860</c:v>
                </c:pt>
                <c:pt idx="2">
                  <c:v>68824</c:v>
                </c:pt>
                <c:pt idx="3">
                  <c:v>76518</c:v>
                </c:pt>
                <c:pt idx="4">
                  <c:v>89670</c:v>
                </c:pt>
                <c:pt idx="5">
                  <c:v>102596</c:v>
                </c:pt>
                <c:pt idx="6">
                  <c:v>107353</c:v>
                </c:pt>
                <c:pt idx="7">
                  <c:v>114785</c:v>
                </c:pt>
                <c:pt idx="8">
                  <c:v>116620</c:v>
                </c:pt>
                <c:pt idx="9">
                  <c:v>130829</c:v>
                </c:pt>
                <c:pt idx="10">
                  <c:v>133834</c:v>
                </c:pt>
                <c:pt idx="11">
                  <c:v>148141</c:v>
                </c:pt>
                <c:pt idx="12">
                  <c:v>148800</c:v>
                </c:pt>
                <c:pt idx="13">
                  <c:v>149370</c:v>
                </c:pt>
                <c:pt idx="14">
                  <c:v>154726</c:v>
                </c:pt>
                <c:pt idx="15">
                  <c:v>167894</c:v>
                </c:pt>
                <c:pt idx="16">
                  <c:v>179953</c:v>
                </c:pt>
                <c:pt idx="17">
                  <c:v>188730</c:v>
                </c:pt>
                <c:pt idx="18">
                  <c:v>199199</c:v>
                </c:pt>
                <c:pt idx="19">
                  <c:v>195009</c:v>
                </c:pt>
              </c:numCache>
            </c:numRef>
          </c:val>
          <c:extLst>
            <c:ext xmlns:c16="http://schemas.microsoft.com/office/drawing/2014/chart" uri="{C3380CC4-5D6E-409C-BE32-E72D297353CC}">
              <c16:uniqueId val="{00000001-52AC-440B-A18C-76706C067229}"/>
            </c:ext>
          </c:extLst>
        </c:ser>
        <c:ser>
          <c:idx val="2"/>
          <c:order val="2"/>
          <c:tx>
            <c:strRef>
              <c:f>Planilha2!$A$7</c:f>
              <c:strCache>
                <c:ptCount val="1"/>
                <c:pt idx="0">
                  <c:v>NORTE</c:v>
                </c:pt>
              </c:strCache>
            </c:strRef>
          </c:tx>
          <c:spPr>
            <a:solidFill>
              <a:schemeClr val="accent5"/>
            </a:solidFill>
            <a:ln>
              <a:noFill/>
            </a:ln>
            <a:effectLst/>
          </c:spPr>
          <c:invertIfNegative val="0"/>
          <c:cat>
            <c:strRef>
              <c:f>Planilha2!$B$4:$U$4</c:f>
              <c:strCache>
                <c:ptCount val="20"/>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strCache>
            </c:strRef>
          </c:cat>
          <c:val>
            <c:numRef>
              <c:f>Planilha2!$B$7:$U$7</c:f>
              <c:numCache>
                <c:formatCode>General</c:formatCode>
                <c:ptCount val="20"/>
                <c:pt idx="0">
                  <c:v>12477</c:v>
                </c:pt>
                <c:pt idx="1">
                  <c:v>12145</c:v>
                </c:pt>
                <c:pt idx="2">
                  <c:v>17765</c:v>
                </c:pt>
                <c:pt idx="3">
                  <c:v>23226</c:v>
                </c:pt>
                <c:pt idx="4">
                  <c:v>47739</c:v>
                </c:pt>
                <c:pt idx="5">
                  <c:v>35719</c:v>
                </c:pt>
                <c:pt idx="6">
                  <c:v>38301</c:v>
                </c:pt>
                <c:pt idx="7">
                  <c:v>44265</c:v>
                </c:pt>
                <c:pt idx="8">
                  <c:v>42356</c:v>
                </c:pt>
                <c:pt idx="9">
                  <c:v>43592</c:v>
                </c:pt>
                <c:pt idx="10">
                  <c:v>44679</c:v>
                </c:pt>
                <c:pt idx="11">
                  <c:v>81242</c:v>
                </c:pt>
                <c:pt idx="12">
                  <c:v>51382</c:v>
                </c:pt>
                <c:pt idx="13">
                  <c:v>53357</c:v>
                </c:pt>
                <c:pt idx="14">
                  <c:v>56786</c:v>
                </c:pt>
                <c:pt idx="15">
                  <c:v>67897</c:v>
                </c:pt>
                <c:pt idx="16">
                  <c:v>70367</c:v>
                </c:pt>
                <c:pt idx="17">
                  <c:v>64851</c:v>
                </c:pt>
                <c:pt idx="18">
                  <c:v>71964</c:v>
                </c:pt>
                <c:pt idx="19">
                  <c:v>65999</c:v>
                </c:pt>
              </c:numCache>
            </c:numRef>
          </c:val>
          <c:extLst>
            <c:ext xmlns:c16="http://schemas.microsoft.com/office/drawing/2014/chart" uri="{C3380CC4-5D6E-409C-BE32-E72D297353CC}">
              <c16:uniqueId val="{00000002-52AC-440B-A18C-76706C067229}"/>
            </c:ext>
          </c:extLst>
        </c:ser>
        <c:ser>
          <c:idx val="3"/>
          <c:order val="3"/>
          <c:tx>
            <c:strRef>
              <c:f>Planilha2!$A$8</c:f>
              <c:strCache>
                <c:ptCount val="1"/>
                <c:pt idx="0">
                  <c:v>SUDESTE</c:v>
                </c:pt>
              </c:strCache>
            </c:strRef>
          </c:tx>
          <c:spPr>
            <a:solidFill>
              <a:schemeClr val="accent1">
                <a:lumMod val="60000"/>
              </a:schemeClr>
            </a:solidFill>
            <a:ln>
              <a:noFill/>
            </a:ln>
            <a:effectLst/>
          </c:spPr>
          <c:invertIfNegative val="0"/>
          <c:cat>
            <c:strRef>
              <c:f>Planilha2!$B$4:$U$4</c:f>
              <c:strCache>
                <c:ptCount val="20"/>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strCache>
            </c:strRef>
          </c:cat>
          <c:val>
            <c:numRef>
              <c:f>Planilha2!$B$8:$U$8</c:f>
              <c:numCache>
                <c:formatCode>General</c:formatCode>
                <c:ptCount val="20"/>
                <c:pt idx="0">
                  <c:v>188114</c:v>
                </c:pt>
                <c:pt idx="1">
                  <c:v>205661</c:v>
                </c:pt>
                <c:pt idx="2">
                  <c:v>255980</c:v>
                </c:pt>
                <c:pt idx="3">
                  <c:v>283712</c:v>
                </c:pt>
                <c:pt idx="4">
                  <c:v>322876</c:v>
                </c:pt>
                <c:pt idx="5">
                  <c:v>387647</c:v>
                </c:pt>
                <c:pt idx="6">
                  <c:v>392699</c:v>
                </c:pt>
                <c:pt idx="7">
                  <c:v>402068</c:v>
                </c:pt>
                <c:pt idx="8">
                  <c:v>434152</c:v>
                </c:pt>
                <c:pt idx="9">
                  <c:v>447811</c:v>
                </c:pt>
                <c:pt idx="10">
                  <c:v>447369</c:v>
                </c:pt>
                <c:pt idx="11">
                  <c:v>445615</c:v>
                </c:pt>
                <c:pt idx="12">
                  <c:v>456283</c:v>
                </c:pt>
                <c:pt idx="13">
                  <c:v>418513</c:v>
                </c:pt>
                <c:pt idx="14">
                  <c:v>410939</c:v>
                </c:pt>
                <c:pt idx="15">
                  <c:v>450446</c:v>
                </c:pt>
                <c:pt idx="16">
                  <c:v>460629</c:v>
                </c:pt>
                <c:pt idx="17">
                  <c:v>458824</c:v>
                </c:pt>
                <c:pt idx="18">
                  <c:v>478312</c:v>
                </c:pt>
                <c:pt idx="19">
                  <c:v>443115</c:v>
                </c:pt>
              </c:numCache>
            </c:numRef>
          </c:val>
          <c:extLst>
            <c:ext xmlns:c16="http://schemas.microsoft.com/office/drawing/2014/chart" uri="{C3380CC4-5D6E-409C-BE32-E72D297353CC}">
              <c16:uniqueId val="{00000003-52AC-440B-A18C-76706C067229}"/>
            </c:ext>
          </c:extLst>
        </c:ser>
        <c:ser>
          <c:idx val="4"/>
          <c:order val="4"/>
          <c:tx>
            <c:strRef>
              <c:f>Planilha2!$A$9</c:f>
              <c:strCache>
                <c:ptCount val="1"/>
                <c:pt idx="0">
                  <c:v>SUL</c:v>
                </c:pt>
              </c:strCache>
            </c:strRef>
          </c:tx>
          <c:spPr>
            <a:solidFill>
              <a:schemeClr val="accent3">
                <a:lumMod val="60000"/>
              </a:schemeClr>
            </a:solidFill>
            <a:ln>
              <a:noFill/>
            </a:ln>
            <a:effectLst/>
          </c:spPr>
          <c:invertIfNegative val="0"/>
          <c:cat>
            <c:strRef>
              <c:f>Planilha2!$B$4:$U$4</c:f>
              <c:strCache>
                <c:ptCount val="20"/>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strCache>
            </c:strRef>
          </c:cat>
          <c:val>
            <c:numRef>
              <c:f>Planilha2!$B$9:$U$9</c:f>
              <c:numCache>
                <c:formatCode>General</c:formatCode>
                <c:ptCount val="20"/>
                <c:pt idx="0">
                  <c:v>55877</c:v>
                </c:pt>
                <c:pt idx="1">
                  <c:v>60762</c:v>
                </c:pt>
                <c:pt idx="2">
                  <c:v>84960</c:v>
                </c:pt>
                <c:pt idx="3">
                  <c:v>96559</c:v>
                </c:pt>
                <c:pt idx="4">
                  <c:v>105455</c:v>
                </c:pt>
                <c:pt idx="5">
                  <c:v>119967</c:v>
                </c:pt>
                <c:pt idx="6">
                  <c:v>127145</c:v>
                </c:pt>
                <c:pt idx="7">
                  <c:v>127224</c:v>
                </c:pt>
                <c:pt idx="8">
                  <c:v>133424</c:v>
                </c:pt>
                <c:pt idx="9">
                  <c:v>136337</c:v>
                </c:pt>
                <c:pt idx="10">
                  <c:v>132805</c:v>
                </c:pt>
                <c:pt idx="11">
                  <c:v>135357</c:v>
                </c:pt>
                <c:pt idx="12">
                  <c:v>135655</c:v>
                </c:pt>
                <c:pt idx="13">
                  <c:v>131159</c:v>
                </c:pt>
                <c:pt idx="14">
                  <c:v>135579</c:v>
                </c:pt>
                <c:pt idx="15">
                  <c:v>140158</c:v>
                </c:pt>
                <c:pt idx="16">
                  <c:v>141893</c:v>
                </c:pt>
                <c:pt idx="17">
                  <c:v>145245</c:v>
                </c:pt>
                <c:pt idx="18">
                  <c:v>147728</c:v>
                </c:pt>
                <c:pt idx="19">
                  <c:v>142732</c:v>
                </c:pt>
              </c:numCache>
            </c:numRef>
          </c:val>
          <c:extLst>
            <c:ext xmlns:c16="http://schemas.microsoft.com/office/drawing/2014/chart" uri="{C3380CC4-5D6E-409C-BE32-E72D297353CC}">
              <c16:uniqueId val="{00000004-52AC-440B-A18C-76706C067229}"/>
            </c:ext>
          </c:extLst>
        </c:ser>
        <c:dLbls>
          <c:showLegendKey val="0"/>
          <c:showVal val="0"/>
          <c:showCatName val="0"/>
          <c:showSerName val="0"/>
          <c:showPercent val="0"/>
          <c:showBubbleSize val="0"/>
        </c:dLbls>
        <c:gapWidth val="150"/>
        <c:overlap val="100"/>
        <c:serLines>
          <c:spPr>
            <a:ln w="9525">
              <a:solidFill>
                <a:schemeClr val="tx1">
                  <a:lumMod val="35000"/>
                  <a:lumOff val="65000"/>
                </a:schemeClr>
              </a:solidFill>
              <a:round/>
            </a:ln>
            <a:effectLst/>
          </c:spPr>
        </c:serLines>
        <c:axId val="658538736"/>
        <c:axId val="658540376"/>
      </c:barChart>
      <c:catAx>
        <c:axId val="6585387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1100" b="0" i="0" u="none" strike="noStrike" kern="1200" cap="none" spc="0" normalizeH="0" baseline="0">
                <a:solidFill>
                  <a:schemeClr val="dk1"/>
                </a:solidFill>
                <a:latin typeface="Times New Roman" panose="02020603050405020304" pitchFamily="18" charset="0"/>
                <a:ea typeface="+mn-ea"/>
                <a:cs typeface="Times New Roman" panose="02020603050405020304" pitchFamily="18" charset="0"/>
              </a:defRPr>
            </a:pPr>
            <a:endParaRPr lang="pt-BR"/>
          </a:p>
        </c:txPr>
        <c:crossAx val="658540376"/>
        <c:crosses val="autoZero"/>
        <c:auto val="1"/>
        <c:lblAlgn val="ctr"/>
        <c:lblOffset val="100"/>
        <c:noMultiLvlLbl val="0"/>
      </c:catAx>
      <c:valAx>
        <c:axId val="658540376"/>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pt-BR"/>
          </a:p>
        </c:txPr>
        <c:crossAx val="658538736"/>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11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pt-B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12700" cap="flat" cmpd="sng" algn="ctr">
      <a:solidFill>
        <a:schemeClr val="dk1"/>
      </a:solidFill>
      <a:prstDash val="solid"/>
      <a:miter lim="800000"/>
    </a:ln>
    <a:effectLst/>
  </c:spPr>
  <c:txPr>
    <a:bodyPr/>
    <a:lstStyle/>
    <a:p>
      <a:pPr>
        <a:defRPr sz="1100">
          <a:solidFill>
            <a:schemeClr val="dk1"/>
          </a:solidFill>
          <a:latin typeface="Times New Roman" panose="02020603050405020304" pitchFamily="18" charset="0"/>
          <a:ea typeface="+mn-ea"/>
          <a:cs typeface="Times New Roman" panose="02020603050405020304" pitchFamily="18" charset="0"/>
        </a:defRPr>
      </a:pPr>
      <a:endParaRPr lang="pt-BR"/>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barChart>
        <c:barDir val="col"/>
        <c:grouping val="clustered"/>
        <c:varyColors val="0"/>
        <c:ser>
          <c:idx val="0"/>
          <c:order val="0"/>
          <c:tx>
            <c:strRef>
              <c:f>Planilha1!$E$8</c:f>
              <c:strCache>
                <c:ptCount val="1"/>
                <c:pt idx="0">
                  <c:v>Total</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11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pt-B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Planilha1!$F$7:$P$7</c:f>
              <c:strCache>
                <c:ptCount val="11"/>
                <c:pt idx="0">
                  <c:v>2009</c:v>
                </c:pt>
                <c:pt idx="1">
                  <c:v>2010</c:v>
                </c:pt>
                <c:pt idx="2">
                  <c:v>2011</c:v>
                </c:pt>
                <c:pt idx="3">
                  <c:v>2012</c:v>
                </c:pt>
                <c:pt idx="4">
                  <c:v>2013</c:v>
                </c:pt>
                <c:pt idx="5">
                  <c:v>2014</c:v>
                </c:pt>
                <c:pt idx="6">
                  <c:v>2015</c:v>
                </c:pt>
                <c:pt idx="7">
                  <c:v>2016</c:v>
                </c:pt>
                <c:pt idx="8">
                  <c:v>2017</c:v>
                </c:pt>
                <c:pt idx="9">
                  <c:v>2018</c:v>
                </c:pt>
                <c:pt idx="10">
                  <c:v>2019</c:v>
                </c:pt>
              </c:strCache>
            </c:strRef>
          </c:cat>
          <c:val>
            <c:numRef>
              <c:f>Planilha1!$F$8:$P$8</c:f>
              <c:numCache>
                <c:formatCode>#,##0</c:formatCode>
                <c:ptCount val="11"/>
                <c:pt idx="0">
                  <c:v>2317</c:v>
                </c:pt>
                <c:pt idx="1">
                  <c:v>2664</c:v>
                </c:pt>
                <c:pt idx="2">
                  <c:v>2860</c:v>
                </c:pt>
                <c:pt idx="3">
                  <c:v>2840</c:v>
                </c:pt>
                <c:pt idx="4">
                  <c:v>3409</c:v>
                </c:pt>
                <c:pt idx="5">
                  <c:v>3620</c:v>
                </c:pt>
                <c:pt idx="6">
                  <c:v>3623</c:v>
                </c:pt>
                <c:pt idx="7">
                  <c:v>3522</c:v>
                </c:pt>
                <c:pt idx="8">
                  <c:v>4177</c:v>
                </c:pt>
                <c:pt idx="9">
                  <c:v>4628</c:v>
                </c:pt>
                <c:pt idx="10">
                  <c:v>4715</c:v>
                </c:pt>
              </c:numCache>
            </c:numRef>
          </c:val>
          <c:extLst>
            <c:ext xmlns:c16="http://schemas.microsoft.com/office/drawing/2014/chart" uri="{C3380CC4-5D6E-409C-BE32-E72D297353CC}">
              <c16:uniqueId val="{00000000-6846-41A9-90F6-8BB7AFCA85B2}"/>
            </c:ext>
          </c:extLst>
        </c:ser>
        <c:dLbls>
          <c:dLblPos val="outEnd"/>
          <c:showLegendKey val="0"/>
          <c:showVal val="1"/>
          <c:showCatName val="0"/>
          <c:showSerName val="0"/>
          <c:showPercent val="0"/>
          <c:showBubbleSize val="0"/>
        </c:dLbls>
        <c:gapWidth val="199"/>
        <c:axId val="411011336"/>
        <c:axId val="411011992"/>
      </c:barChart>
      <c:catAx>
        <c:axId val="4110113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cap="none" spc="0" normalizeH="0" baseline="0">
                <a:solidFill>
                  <a:schemeClr val="dk1"/>
                </a:solidFill>
                <a:latin typeface="Times New Roman" panose="02020603050405020304" pitchFamily="18" charset="0"/>
                <a:ea typeface="+mn-ea"/>
                <a:cs typeface="Times New Roman" panose="02020603050405020304" pitchFamily="18" charset="0"/>
              </a:defRPr>
            </a:pPr>
            <a:endParaRPr lang="pt-BR"/>
          </a:p>
        </c:txPr>
        <c:crossAx val="411011992"/>
        <c:crosses val="autoZero"/>
        <c:auto val="1"/>
        <c:lblAlgn val="ctr"/>
        <c:lblOffset val="100"/>
        <c:noMultiLvlLbl val="0"/>
      </c:catAx>
      <c:valAx>
        <c:axId val="411011992"/>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pt-BR"/>
          </a:p>
        </c:txPr>
        <c:crossAx val="411011336"/>
        <c:crosses val="autoZero"/>
        <c:crossBetween val="between"/>
      </c:valAx>
      <c:spPr>
        <a:noFill/>
        <a:ln>
          <a:noFill/>
        </a:ln>
        <a:effectLst/>
      </c:spPr>
    </c:plotArea>
    <c:plotVisOnly val="1"/>
    <c:dispBlanksAs val="gap"/>
    <c:showDLblsOverMax val="0"/>
  </c:chart>
  <c:spPr>
    <a:solidFill>
      <a:schemeClr val="lt1"/>
    </a:solidFill>
    <a:ln w="12700" cap="flat" cmpd="sng" algn="ctr">
      <a:solidFill>
        <a:schemeClr val="dk1"/>
      </a:solidFill>
      <a:prstDash val="solid"/>
      <a:miter lim="800000"/>
    </a:ln>
    <a:effectLst/>
  </c:spPr>
  <c:txPr>
    <a:bodyPr/>
    <a:lstStyle/>
    <a:p>
      <a:pPr>
        <a:defRPr sz="1100">
          <a:solidFill>
            <a:schemeClr val="dk1"/>
          </a:solidFill>
          <a:latin typeface="Times New Roman" panose="02020603050405020304" pitchFamily="18" charset="0"/>
          <a:ea typeface="+mn-ea"/>
          <a:cs typeface="Times New Roman" panose="02020603050405020304" pitchFamily="18" charset="0"/>
        </a:defRPr>
      </a:pPr>
      <a:endParaRPr lang="pt-BR"/>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barChart>
        <c:barDir val="col"/>
        <c:grouping val="clustered"/>
        <c:varyColors val="0"/>
        <c:ser>
          <c:idx val="0"/>
          <c:order val="0"/>
          <c:tx>
            <c:strRef>
              <c:f>Planilha1!$G$4</c:f>
              <c:strCache>
                <c:ptCount val="1"/>
                <c:pt idx="0">
                  <c:v>Feminino</c:v>
                </c:pt>
              </c:strCache>
            </c:strRef>
          </c:tx>
          <c:spPr>
            <a:solidFill>
              <a:schemeClr val="accent1">
                <a:shade val="76000"/>
              </a:schemeClr>
            </a:solidFill>
            <a:ln>
              <a:noFill/>
            </a:ln>
            <a:effectLst/>
          </c:spPr>
          <c:invertIfNegative val="0"/>
          <c:dLbls>
            <c:spPr>
              <a:noFill/>
              <a:ln>
                <a:noFill/>
              </a:ln>
              <a:effectLst/>
            </c:spPr>
            <c:txPr>
              <a:bodyPr rot="0" spcFirstLastPara="1" vertOverflow="ellipsis" vert="horz" wrap="square" anchor="ctr" anchorCtr="1"/>
              <a:lstStyle/>
              <a:p>
                <a:pPr>
                  <a:defRPr sz="105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pt-B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Planilha1!$F$5:$F$11</c:f>
              <c:strCache>
                <c:ptCount val="7"/>
                <c:pt idx="0">
                  <c:v>15 A 17</c:v>
                </c:pt>
                <c:pt idx="1">
                  <c:v>18 A 24</c:v>
                </c:pt>
                <c:pt idx="2">
                  <c:v>25 A 29</c:v>
                </c:pt>
                <c:pt idx="3">
                  <c:v>30 A 39</c:v>
                </c:pt>
                <c:pt idx="4">
                  <c:v>40 A 49</c:v>
                </c:pt>
                <c:pt idx="5">
                  <c:v>50 A 64</c:v>
                </c:pt>
                <c:pt idx="6">
                  <c:v>65 OU MAIS</c:v>
                </c:pt>
              </c:strCache>
            </c:strRef>
          </c:cat>
          <c:val>
            <c:numRef>
              <c:f>Planilha1!$G$5:$G$11</c:f>
              <c:numCache>
                <c:formatCode>General</c:formatCode>
                <c:ptCount val="7"/>
                <c:pt idx="0">
                  <c:v>1</c:v>
                </c:pt>
                <c:pt idx="1">
                  <c:v>104</c:v>
                </c:pt>
                <c:pt idx="2">
                  <c:v>363</c:v>
                </c:pt>
                <c:pt idx="3">
                  <c:v>922</c:v>
                </c:pt>
                <c:pt idx="4" formatCode="#,##0">
                  <c:v>1085</c:v>
                </c:pt>
                <c:pt idx="5">
                  <c:v>733</c:v>
                </c:pt>
                <c:pt idx="6">
                  <c:v>35</c:v>
                </c:pt>
              </c:numCache>
            </c:numRef>
          </c:val>
          <c:extLst>
            <c:ext xmlns:c16="http://schemas.microsoft.com/office/drawing/2014/chart" uri="{C3380CC4-5D6E-409C-BE32-E72D297353CC}">
              <c16:uniqueId val="{00000000-EA75-4B0D-9B93-D355535ADCBF}"/>
            </c:ext>
          </c:extLst>
        </c:ser>
        <c:ser>
          <c:idx val="1"/>
          <c:order val="1"/>
          <c:tx>
            <c:strRef>
              <c:f>Planilha1!$H$4</c:f>
              <c:strCache>
                <c:ptCount val="1"/>
                <c:pt idx="0">
                  <c:v>Masculino</c:v>
                </c:pt>
              </c:strCache>
            </c:strRef>
          </c:tx>
          <c:spPr>
            <a:solidFill>
              <a:schemeClr val="accent1">
                <a:tint val="77000"/>
              </a:schemeClr>
            </a:solidFill>
            <a:ln>
              <a:noFill/>
            </a:ln>
            <a:effectLst/>
          </c:spPr>
          <c:invertIfNegative val="0"/>
          <c:dLbls>
            <c:spPr>
              <a:noFill/>
              <a:ln>
                <a:noFill/>
              </a:ln>
              <a:effectLst/>
            </c:spPr>
            <c:txPr>
              <a:bodyPr rot="0" spcFirstLastPara="1" vertOverflow="ellipsis" vert="horz" wrap="square" anchor="ctr" anchorCtr="1"/>
              <a:lstStyle/>
              <a:p>
                <a:pPr>
                  <a:defRPr sz="105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pt-B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Planilha1!$F$5:$F$11</c:f>
              <c:strCache>
                <c:ptCount val="7"/>
                <c:pt idx="0">
                  <c:v>15 A 17</c:v>
                </c:pt>
                <c:pt idx="1">
                  <c:v>18 A 24</c:v>
                </c:pt>
                <c:pt idx="2">
                  <c:v>25 A 29</c:v>
                </c:pt>
                <c:pt idx="3">
                  <c:v>30 A 39</c:v>
                </c:pt>
                <c:pt idx="4">
                  <c:v>40 A 49</c:v>
                </c:pt>
                <c:pt idx="5">
                  <c:v>50 A 64</c:v>
                </c:pt>
                <c:pt idx="6">
                  <c:v>65 OU MAIS</c:v>
                </c:pt>
              </c:strCache>
            </c:strRef>
          </c:cat>
          <c:val>
            <c:numRef>
              <c:f>Planilha1!$H$5:$H$11</c:f>
              <c:numCache>
                <c:formatCode>General</c:formatCode>
                <c:ptCount val="7"/>
                <c:pt idx="0">
                  <c:v>0</c:v>
                </c:pt>
                <c:pt idx="1">
                  <c:v>54</c:v>
                </c:pt>
                <c:pt idx="2">
                  <c:v>239</c:v>
                </c:pt>
                <c:pt idx="3">
                  <c:v>567</c:v>
                </c:pt>
                <c:pt idx="4">
                  <c:v>365</c:v>
                </c:pt>
                <c:pt idx="5">
                  <c:v>215</c:v>
                </c:pt>
                <c:pt idx="6">
                  <c:v>32</c:v>
                </c:pt>
              </c:numCache>
            </c:numRef>
          </c:val>
          <c:extLst>
            <c:ext xmlns:c16="http://schemas.microsoft.com/office/drawing/2014/chart" uri="{C3380CC4-5D6E-409C-BE32-E72D297353CC}">
              <c16:uniqueId val="{00000001-EA75-4B0D-9B93-D355535ADCBF}"/>
            </c:ext>
          </c:extLst>
        </c:ser>
        <c:dLbls>
          <c:dLblPos val="outEnd"/>
          <c:showLegendKey val="0"/>
          <c:showVal val="1"/>
          <c:showCatName val="0"/>
          <c:showSerName val="0"/>
          <c:showPercent val="0"/>
          <c:showBubbleSize val="0"/>
        </c:dLbls>
        <c:gapWidth val="199"/>
        <c:axId val="518492288"/>
        <c:axId val="518490648"/>
      </c:barChart>
      <c:catAx>
        <c:axId val="5184922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50" b="0" i="0" u="none" strike="noStrike" kern="1200" cap="none" spc="0" normalizeH="0" baseline="0">
                <a:solidFill>
                  <a:schemeClr val="dk1"/>
                </a:solidFill>
                <a:latin typeface="Times New Roman" panose="02020603050405020304" pitchFamily="18" charset="0"/>
                <a:ea typeface="+mn-ea"/>
                <a:cs typeface="Times New Roman" panose="02020603050405020304" pitchFamily="18" charset="0"/>
              </a:defRPr>
            </a:pPr>
            <a:endParaRPr lang="pt-BR"/>
          </a:p>
        </c:txPr>
        <c:crossAx val="518490648"/>
        <c:crosses val="autoZero"/>
        <c:auto val="1"/>
        <c:lblAlgn val="ctr"/>
        <c:lblOffset val="100"/>
        <c:noMultiLvlLbl val="0"/>
      </c:catAx>
      <c:valAx>
        <c:axId val="518490648"/>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5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pt-BR"/>
          </a:p>
        </c:txPr>
        <c:crossAx val="518492288"/>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105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pt-BR"/>
        </a:p>
      </c:txPr>
    </c:legend>
    <c:plotVisOnly val="1"/>
    <c:dispBlanksAs val="gap"/>
    <c:showDLblsOverMax val="0"/>
  </c:chart>
  <c:spPr>
    <a:solidFill>
      <a:schemeClr val="lt1"/>
    </a:solidFill>
    <a:ln w="12700" cap="flat" cmpd="sng" algn="ctr">
      <a:solidFill>
        <a:schemeClr val="dk1"/>
      </a:solidFill>
      <a:prstDash val="solid"/>
      <a:miter lim="800000"/>
    </a:ln>
    <a:effectLst/>
  </c:spPr>
  <c:txPr>
    <a:bodyPr/>
    <a:lstStyle/>
    <a:p>
      <a:pPr>
        <a:defRPr sz="1050">
          <a:solidFill>
            <a:schemeClr val="dk1"/>
          </a:solidFill>
          <a:latin typeface="Times New Roman" panose="02020603050405020304" pitchFamily="18" charset="0"/>
          <a:ea typeface="+mn-ea"/>
          <a:cs typeface="Times New Roman" panose="02020603050405020304" pitchFamily="18" charset="0"/>
        </a:defRPr>
      </a:pPr>
      <a:endParaRPr lang="pt-BR"/>
    </a:p>
  </c:txPr>
  <c:externalData r:id="rId3">
    <c:autoUpdate val="0"/>
  </c:externalData>
</c:chartSpace>
</file>

<file path=word/charts/colors1.xml><?xml version="1.0" encoding="utf-8"?>
<cs:colorStyle xmlns:cs="http://schemas.microsoft.com/office/drawing/2012/chartStyle" xmlns:a="http://schemas.openxmlformats.org/drawingml/2006/main" meth="withinLinear" id="14">
  <a:schemeClr val="accent1"/>
</cs:colorStyle>
</file>

<file path=word/charts/colors2.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withinLinear" id="14">
  <a:schemeClr val="accent1"/>
</cs:colorStyle>
</file>

<file path=word/charts/colors4.xml><?xml version="1.0" encoding="utf-8"?>
<cs:colorStyle xmlns:cs="http://schemas.microsoft.com/office/drawing/2012/chartStyle" xmlns:a="http://schemas.openxmlformats.org/drawingml/2006/main" meth="withinLinear" id="14">
  <a:schemeClr val="accent1"/>
</cs:colorStyle>
</file>

<file path=word/charts/style1.xml><?xml version="1.0" encoding="utf-8"?>
<cs:chartStyle xmlns:cs="http://schemas.microsoft.com/office/drawing/2012/chartStyle" xmlns:a="http://schemas.openxmlformats.org/drawingml/2006/main" id="21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b="0" kern="1200" cap="none" spc="0" normalizeH="0" baseline="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3810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8"/>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000" b="0" kern="1200" cap="none" spc="0" normalizeH="0" baseline="0"/>
  </cs:title>
  <cs:trendline>
    <cs:lnRef idx="0">
      <cs:styleClr val="auto"/>
    </cs:lnRef>
    <cs:fillRef idx="0"/>
    <cs:effectRef idx="0"/>
    <cs:fontRef idx="minor">
      <a:schemeClr val="dk1"/>
    </cs:fontRef>
    <cs:spPr>
      <a:ln w="19050" cap="rnd">
        <a:solidFill>
          <a:schemeClr val="phClr"/>
        </a:solidFill>
        <a:round/>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306">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b="0" kern="1200" cap="none" spc="0" normalizeH="0" baseline="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3810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8"/>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000" b="0" kern="1200" cap="none" spc="0" normalizeH="0" baseline="0"/>
  </cs:title>
  <cs:trendline>
    <cs:lnRef idx="0">
      <cs:styleClr val="auto"/>
    </cs:lnRef>
    <cs:fillRef idx="0"/>
    <cs:effectRef idx="0"/>
    <cs:fontRef idx="minor">
      <a:schemeClr val="dk1"/>
    </cs:fontRef>
    <cs:spPr>
      <a:ln w="19050" cap="rnd">
        <a:solidFill>
          <a:schemeClr val="phClr"/>
        </a:solidFill>
        <a:round/>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1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b="0" kern="1200" cap="none" spc="0" normalizeH="0" baseline="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3810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8"/>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000" b="0" kern="1200" cap="none" spc="0" normalizeH="0" baseline="0"/>
  </cs:title>
  <cs:trendline>
    <cs:lnRef idx="0">
      <cs:styleClr val="auto"/>
    </cs:lnRef>
    <cs:fillRef idx="0"/>
    <cs:effectRef idx="0"/>
    <cs:fontRef idx="minor">
      <a:schemeClr val="dk1"/>
    </cs:fontRef>
    <cs:spPr>
      <a:ln w="19050" cap="rnd">
        <a:solidFill>
          <a:schemeClr val="phClr"/>
        </a:solidFill>
        <a:round/>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1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b="0" kern="1200" cap="none" spc="0" normalizeH="0" baseline="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3810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8"/>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000" b="0" kern="1200" cap="none" spc="0" normalizeH="0" baseline="0"/>
  </cs:title>
  <cs:trendline>
    <cs:lnRef idx="0">
      <cs:styleClr val="auto"/>
    </cs:lnRef>
    <cs:fillRef idx="0"/>
    <cs:effectRef idx="0"/>
    <cs:fontRef idx="minor">
      <a:schemeClr val="dk1"/>
    </cs:fontRef>
    <cs:spPr>
      <a:ln w="19050" cap="rnd">
        <a:solidFill>
          <a:schemeClr val="phClr"/>
        </a:solidFill>
        <a:round/>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086F4A2-6347-48B5-9335-B7C0535C85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10852</Words>
  <Characters>58604</Characters>
  <Application>Microsoft Office Word</Application>
  <DocSecurity>0</DocSecurity>
  <Lines>488</Lines>
  <Paragraphs>138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69318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2022-07-08T17:47:00Z</dcterms:created>
  <dcterms:modified xsi:type="dcterms:W3CDTF">2022-07-08T18:23:00Z</dcterms:modified>
</cp:coreProperties>
</file>