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FB6AC" w14:textId="77777777" w:rsidR="00F17B19" w:rsidRPr="00F17B19" w:rsidRDefault="00F17B19" w:rsidP="00F17B19">
      <w:pPr>
        <w:spacing w:after="0" w:line="360" w:lineRule="auto"/>
        <w:jc w:val="center"/>
        <w:rPr>
          <w:rFonts w:ascii="Times New Roman" w:eastAsia="Times New Roman" w:hAnsi="Times New Roman" w:cs="Times New Roman"/>
          <w:b/>
          <w:sz w:val="28"/>
          <w:szCs w:val="28"/>
          <w:lang w:eastAsia="pt-BR"/>
        </w:rPr>
      </w:pPr>
      <w:bookmarkStart w:id="0" w:name="_Hlk94170320"/>
      <w:bookmarkStart w:id="1" w:name="_Toc95609339"/>
      <w:bookmarkStart w:id="2" w:name="_Toc95777139"/>
      <w:r w:rsidRPr="00F17B19">
        <w:rPr>
          <w:rFonts w:ascii="Times New Roman" w:eastAsia="Times New Roman" w:hAnsi="Times New Roman" w:cs="Times New Roman"/>
          <w:b/>
          <w:sz w:val="28"/>
          <w:szCs w:val="28"/>
          <w:lang w:eastAsia="pt-BR"/>
        </w:rPr>
        <w:t xml:space="preserve">ENTRE RESISTÊNCIAS E COLONIALISMOS: </w:t>
      </w:r>
      <w:bookmarkEnd w:id="0"/>
      <w:r w:rsidRPr="00F17B19">
        <w:rPr>
          <w:rFonts w:ascii="Times New Roman" w:eastAsia="Times New Roman" w:hAnsi="Times New Roman" w:cs="Times New Roman"/>
          <w:b/>
          <w:sz w:val="28"/>
          <w:szCs w:val="28"/>
          <w:lang w:eastAsia="pt-BR"/>
        </w:rPr>
        <w:t>reflexões a contrapelo</w:t>
      </w:r>
      <w:bookmarkEnd w:id="1"/>
      <w:bookmarkEnd w:id="2"/>
    </w:p>
    <w:p w14:paraId="1F27B7D4" w14:textId="77777777" w:rsidR="0049535C" w:rsidRDefault="0049535C">
      <w:pPr>
        <w:spacing w:after="0" w:line="360" w:lineRule="auto"/>
        <w:jc w:val="center"/>
        <w:rPr>
          <w:rFonts w:ascii="Times New Roman" w:hAnsi="Times New Roman" w:cs="Times New Roman"/>
          <w:sz w:val="28"/>
          <w:szCs w:val="28"/>
        </w:rPr>
      </w:pPr>
    </w:p>
    <w:p w14:paraId="51C40FF7" w14:textId="77777777" w:rsidR="0049535C" w:rsidRPr="00151436" w:rsidRDefault="00000000">
      <w:pPr>
        <w:pStyle w:val="Ttulo"/>
        <w:jc w:val="both"/>
        <w:rPr>
          <w:rFonts w:ascii="Times New Roman" w:hAnsi="Times New Roman"/>
          <w:sz w:val="24"/>
          <w:lang w:val="pt-BR"/>
        </w:rPr>
      </w:pPr>
      <w:r w:rsidRPr="00151436">
        <w:rPr>
          <w:rFonts w:ascii="Times New Roman" w:hAnsi="Times New Roman"/>
          <w:sz w:val="24"/>
          <w:lang w:val="pt-BR"/>
        </w:rPr>
        <w:t>RESUMO</w:t>
      </w:r>
    </w:p>
    <w:p w14:paraId="344F5000" w14:textId="77777777" w:rsidR="00F17B19" w:rsidRPr="00F17B19" w:rsidRDefault="00F17B19" w:rsidP="00F17B19">
      <w:pPr>
        <w:spacing w:after="0" w:line="240" w:lineRule="auto"/>
        <w:jc w:val="both"/>
        <w:rPr>
          <w:rFonts w:ascii="Times New Roman" w:hAnsi="Times New Roman" w:cs="Times New Roman"/>
          <w:sz w:val="24"/>
        </w:rPr>
      </w:pPr>
      <w:r w:rsidRPr="00F17B19">
        <w:rPr>
          <w:rFonts w:ascii="Times New Roman" w:hAnsi="Times New Roman" w:cs="Times New Roman"/>
          <w:sz w:val="24"/>
        </w:rPr>
        <w:t xml:space="preserve">Discursos e registros relativos aos processos de colonialidades, que trouxeram “desenvolvimento” para o Brasil, pouco ou raramente se atém a discutir a contribuição forçada de negras e negros escravizadas(os) sequestrados do continente africano. Esta comunicação busca socializar algumas reflexões a partir de estudos, pesquisas e discussões envolvendo conceitos que circunscrevem situações de colonização e escravização históricas impetradas a negros e negras afrodiaspóricos em território brasileiro. De caráter bibliográfico os resultados indicam a produção de um sistema </w:t>
      </w:r>
      <w:r w:rsidRPr="00F17B19">
        <w:rPr>
          <w:rFonts w:ascii="Times New Roman" w:hAnsi="Times New Roman" w:cs="Times New Roman"/>
          <w:i/>
          <w:iCs/>
          <w:sz w:val="24"/>
        </w:rPr>
        <w:t>coloniescravizador a</w:t>
      </w:r>
      <w:r w:rsidRPr="00F17B19">
        <w:rPr>
          <w:rFonts w:ascii="Times New Roman" w:hAnsi="Times New Roman" w:cs="Times New Roman"/>
          <w:sz w:val="24"/>
        </w:rPr>
        <w:t xml:space="preserve"> produzir historicamente territórios de segregação racial; processos de r-existência coletiva; </w:t>
      </w:r>
      <w:r w:rsidRPr="00F17B19">
        <w:rPr>
          <w:rFonts w:ascii="Times New Roman" w:hAnsi="Times New Roman" w:cs="Times New Roman"/>
          <w:i/>
          <w:iCs/>
          <w:sz w:val="24"/>
        </w:rPr>
        <w:t>desafios</w:t>
      </w:r>
      <w:r w:rsidRPr="00F17B19">
        <w:rPr>
          <w:rFonts w:ascii="Times New Roman" w:hAnsi="Times New Roman" w:cs="Times New Roman"/>
          <w:sz w:val="24"/>
        </w:rPr>
        <w:t xml:space="preserve"> e </w:t>
      </w:r>
      <w:r w:rsidRPr="00F17B19">
        <w:rPr>
          <w:rFonts w:ascii="Times New Roman" w:hAnsi="Times New Roman" w:cs="Times New Roman"/>
          <w:i/>
          <w:sz w:val="24"/>
        </w:rPr>
        <w:t>possibilidades</w:t>
      </w:r>
      <w:r w:rsidRPr="00F17B19">
        <w:rPr>
          <w:rFonts w:ascii="Times New Roman" w:hAnsi="Times New Roman" w:cs="Times New Roman"/>
          <w:sz w:val="24"/>
        </w:rPr>
        <w:t xml:space="preserve"> na direção de processos de visibilização, reconhecimento e desenvolvimento para a população negra no Brasil.  </w:t>
      </w:r>
    </w:p>
    <w:p w14:paraId="04F9EF42" w14:textId="1C6DF244" w:rsidR="0049535C" w:rsidRDefault="00000000" w:rsidP="00F17B19">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F17B19" w:rsidRPr="00F17B19">
        <w:rPr>
          <w:rFonts w:ascii="Times New Roman" w:hAnsi="Times New Roman" w:cs="Times New Roman"/>
          <w:sz w:val="24"/>
          <w:szCs w:val="24"/>
        </w:rPr>
        <w:t>Populações negras; Coloniescravização; Territórios; Culturas; Desenvolvimento Regional.</w:t>
      </w:r>
    </w:p>
    <w:p w14:paraId="035C7A1E" w14:textId="77777777" w:rsidR="0049535C" w:rsidRDefault="0049535C">
      <w:pPr>
        <w:spacing w:after="0" w:line="360" w:lineRule="auto"/>
        <w:jc w:val="both"/>
        <w:rPr>
          <w:rFonts w:ascii="Times New Roman" w:hAnsi="Times New Roman" w:cs="Times New Roman"/>
          <w:sz w:val="24"/>
          <w:szCs w:val="24"/>
        </w:rPr>
      </w:pPr>
    </w:p>
    <w:p w14:paraId="0DC57AC9" w14:textId="0C1AC8EA" w:rsidR="0049535C"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w:t>
      </w:r>
      <w:r w:rsidR="00F17B19" w:rsidRPr="00F17B19">
        <w:rPr>
          <w:rFonts w:ascii="Times New Roman" w:hAnsi="Times New Roman" w:cs="Times New Roman"/>
          <w:b/>
          <w:bCs/>
          <w:sz w:val="24"/>
          <w:szCs w:val="24"/>
        </w:rPr>
        <w:t xml:space="preserve">Nº 05: </w:t>
      </w:r>
      <w:r w:rsidR="00F17B19" w:rsidRPr="00F17B19">
        <w:rPr>
          <w:rFonts w:ascii="Times New Roman" w:hAnsi="Times New Roman" w:cs="Times New Roman"/>
          <w:sz w:val="24"/>
          <w:szCs w:val="24"/>
        </w:rPr>
        <w:t>Ambiente, Populações e Desenvolvimento</w:t>
      </w:r>
    </w:p>
    <w:p w14:paraId="6C043919" w14:textId="77777777" w:rsidR="0049535C" w:rsidRDefault="0049535C">
      <w:pPr>
        <w:spacing w:after="0" w:line="360" w:lineRule="auto"/>
        <w:jc w:val="both"/>
        <w:rPr>
          <w:rFonts w:ascii="Times New Roman" w:hAnsi="Times New Roman" w:cs="Times New Roman"/>
          <w:sz w:val="24"/>
          <w:szCs w:val="24"/>
        </w:rPr>
      </w:pPr>
    </w:p>
    <w:p w14:paraId="790F6A3E" w14:textId="77777777" w:rsidR="0049535C"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737F5874" w14:textId="77777777" w:rsidR="00F17B19" w:rsidRPr="00F17B19" w:rsidRDefault="00F17B19" w:rsidP="00F17B19">
      <w:pPr>
        <w:spacing w:after="0" w:line="240" w:lineRule="auto"/>
        <w:ind w:left="4253"/>
        <w:jc w:val="right"/>
        <w:rPr>
          <w:rFonts w:ascii="Times New Roman" w:hAnsi="Times New Roman" w:cs="Times New Roman"/>
          <w:i/>
          <w:iCs/>
          <w:sz w:val="24"/>
        </w:rPr>
      </w:pPr>
      <w:r w:rsidRPr="00F17B19">
        <w:rPr>
          <w:rFonts w:ascii="Times New Roman" w:hAnsi="Times New Roman" w:cs="Times New Roman"/>
          <w:i/>
          <w:iCs/>
          <w:sz w:val="24"/>
        </w:rPr>
        <w:t>[...] Então as histórias não são inventadas? Mesmo as reais, quando são contadas. Desafio alguém a relatar fielmente algo que aconteceu. Entre o acontecimento e a narração do fato, alguma coisa se perde e por isso se acrescenta. O real vivido fica comprometido. E, quando se escreve, o comprometimento (ou o não comprometimento) entre o vivido e o escrito aprofunda mais o fosso. (CONCEIÇÃO EVARISTO, 2016, p. 06).</w:t>
      </w:r>
    </w:p>
    <w:p w14:paraId="777140DD" w14:textId="77777777" w:rsidR="00F17B19" w:rsidRPr="00F17B19" w:rsidRDefault="00F17B19" w:rsidP="00F17B19">
      <w:pPr>
        <w:spacing w:after="0" w:line="240" w:lineRule="auto"/>
        <w:jc w:val="both"/>
        <w:rPr>
          <w:rFonts w:ascii="Times New Roman" w:hAnsi="Times New Roman" w:cs="Times New Roman"/>
          <w:i/>
          <w:iCs/>
          <w:sz w:val="24"/>
        </w:rPr>
      </w:pPr>
    </w:p>
    <w:p w14:paraId="4ED25FB0" w14:textId="77777777" w:rsidR="00F17B19" w:rsidRPr="00F17B19" w:rsidRDefault="00F17B19" w:rsidP="00F17B19">
      <w:pPr>
        <w:spacing w:after="0" w:line="360" w:lineRule="auto"/>
        <w:ind w:firstLine="709"/>
        <w:jc w:val="both"/>
        <w:rPr>
          <w:rFonts w:ascii="Times New Roman" w:hAnsi="Times New Roman" w:cs="Times New Roman"/>
          <w:sz w:val="24"/>
        </w:rPr>
      </w:pPr>
      <w:r w:rsidRPr="00F17B19">
        <w:rPr>
          <w:rFonts w:ascii="Times New Roman" w:hAnsi="Times New Roman" w:cs="Times New Roman"/>
          <w:sz w:val="24"/>
        </w:rPr>
        <w:t xml:space="preserve">Conceição Evaristo (2016) nos questiona se as histórias não são inventadas. Se formos capazes de perceber os diferentes contextos formadores de nossa história, não precisaremos de muito tempo para perceber que durante um longo período do que entendemos como tempo muitas das histórias consideradas válidas, ou que foram validadas ao longo do tempo por fazer parte do cânone e da vontade europeia. E mais, sempre foram contadas e escritas pelos grupos que dominavam. </w:t>
      </w:r>
    </w:p>
    <w:p w14:paraId="77ADB116" w14:textId="77777777" w:rsidR="00F17B19" w:rsidRPr="00F17B19" w:rsidRDefault="00F17B19" w:rsidP="00F17B19">
      <w:pPr>
        <w:spacing w:after="0" w:line="360" w:lineRule="auto"/>
        <w:ind w:firstLine="709"/>
        <w:jc w:val="both"/>
        <w:rPr>
          <w:rFonts w:ascii="Times New Roman" w:hAnsi="Times New Roman" w:cs="Times New Roman"/>
          <w:sz w:val="24"/>
        </w:rPr>
      </w:pPr>
      <w:r w:rsidRPr="00F17B19">
        <w:rPr>
          <w:rFonts w:ascii="Times New Roman" w:hAnsi="Times New Roman" w:cs="Times New Roman"/>
          <w:sz w:val="24"/>
        </w:rPr>
        <w:t xml:space="preserve">Esses grupos por sua vez, se não dominavam todo o mundo ao menos dominavam a maior parte conhecida. Entretanto, isto não os impediu de buscar ampliar seus territórios </w:t>
      </w:r>
      <w:r w:rsidRPr="00F17B19">
        <w:rPr>
          <w:rFonts w:ascii="Times New Roman" w:hAnsi="Times New Roman" w:cs="Times New Roman"/>
          <w:sz w:val="24"/>
        </w:rPr>
        <w:lastRenderedPageBreak/>
        <w:t xml:space="preserve">invadindo e conquistando </w:t>
      </w:r>
      <w:r w:rsidRPr="00F17B19">
        <w:rPr>
          <w:rFonts w:ascii="Times New Roman" w:hAnsi="Times New Roman" w:cs="Times New Roman"/>
          <w:i/>
          <w:iCs/>
          <w:sz w:val="24"/>
        </w:rPr>
        <w:t>espaços</w:t>
      </w:r>
      <w:r w:rsidRPr="00F17B19">
        <w:rPr>
          <w:rFonts w:ascii="Times New Roman" w:hAnsi="Times New Roman" w:cs="Times New Roman"/>
          <w:sz w:val="24"/>
        </w:rPr>
        <w:t xml:space="preserve"> alheios, via movimentos e ações coloniais que violentavam, escravizavam e usurpavam territórios e territorialidades, em detrimento da experiência, conhecimento, memória e história local.</w:t>
      </w:r>
      <w:bookmarkStart w:id="3" w:name="_Hlk94019604"/>
      <w:r w:rsidRPr="00F17B19">
        <w:rPr>
          <w:rFonts w:ascii="Times New Roman" w:hAnsi="Times New Roman" w:cs="Times New Roman"/>
          <w:sz w:val="24"/>
        </w:rPr>
        <w:t xml:space="preserve">  Segundo Certeau (1982, p. 9-10), “[...] uma colonização do corpo pelo discurso do poder” que buscava transformar “[...] o espaço do outro num campo de expansão para um sistema de produção. A partir de um corte entre um sujeito e um objeto de operação, entre um </w:t>
      </w:r>
      <w:r w:rsidRPr="00F17B19">
        <w:rPr>
          <w:rFonts w:ascii="Times New Roman" w:hAnsi="Times New Roman" w:cs="Times New Roman"/>
          <w:i/>
          <w:iCs/>
          <w:sz w:val="24"/>
        </w:rPr>
        <w:t xml:space="preserve">querer escrever e um corpo escrito </w:t>
      </w:r>
      <w:r w:rsidRPr="00F17B19">
        <w:rPr>
          <w:rFonts w:ascii="Times New Roman" w:hAnsi="Times New Roman" w:cs="Times New Roman"/>
          <w:sz w:val="24"/>
        </w:rPr>
        <w:t>(ou a escrever), fabrica a história ocidental”.</w:t>
      </w:r>
    </w:p>
    <w:p w14:paraId="5D6F8423" w14:textId="77777777" w:rsidR="00F17B19" w:rsidRPr="00F17B19" w:rsidRDefault="00F17B19" w:rsidP="00F17B19">
      <w:pPr>
        <w:spacing w:after="0" w:line="360" w:lineRule="auto"/>
        <w:ind w:firstLine="709"/>
        <w:jc w:val="both"/>
        <w:rPr>
          <w:rFonts w:ascii="Times New Roman" w:hAnsi="Times New Roman" w:cs="Times New Roman"/>
          <w:sz w:val="24"/>
        </w:rPr>
      </w:pPr>
      <w:r w:rsidRPr="00F17B19">
        <w:rPr>
          <w:rFonts w:ascii="Times New Roman" w:hAnsi="Times New Roman" w:cs="Times New Roman"/>
          <w:sz w:val="24"/>
        </w:rPr>
        <w:t>Uma história e cultura, que a</w:t>
      </w:r>
      <w:r w:rsidRPr="00F17B19">
        <w:rPr>
          <w:rFonts w:ascii="Times New Roman" w:hAnsi="Times New Roman" w:cs="Times New Roman"/>
          <w:i/>
          <w:iCs/>
          <w:sz w:val="24"/>
        </w:rPr>
        <w:t xml:space="preserve"> fórceps </w:t>
      </w:r>
      <w:r w:rsidRPr="00F17B19">
        <w:rPr>
          <w:rFonts w:ascii="Times New Roman" w:hAnsi="Times New Roman" w:cs="Times New Roman"/>
          <w:sz w:val="24"/>
        </w:rPr>
        <w:t>buscou extirpar a história e cultura do Outro – arrancar de suas estranhas em consecutivos atos de violência, desprezo e desumanidade os referenciais constituidores de suas identidades (RAMPINELLI; OURIQUES, 1999). Embora o jugo fosse imensurável a força de seus ancestrais e cultura milenar sustentavam seus corpos e espíritos em movimentos e resistências individuais e coletivas, buscando resguardar suas origens e identidades ameaçadas pelo colonizador, que as buscava diluir em um único termo:</w:t>
      </w:r>
      <w:r w:rsidRPr="00F17B19">
        <w:rPr>
          <w:rFonts w:ascii="Times New Roman" w:hAnsi="Times New Roman" w:cs="Times New Roman"/>
          <w:i/>
          <w:sz w:val="24"/>
        </w:rPr>
        <w:t xml:space="preserve"> “negro/s”</w:t>
      </w:r>
      <w:r w:rsidRPr="00F17B19">
        <w:rPr>
          <w:rFonts w:ascii="Times New Roman" w:hAnsi="Times New Roman" w:cs="Times New Roman"/>
          <w:sz w:val="24"/>
        </w:rPr>
        <w:t xml:space="preserve"> negando sua história, culturas e/m singularidades – língua, oralidade e religiosidade.</w:t>
      </w:r>
    </w:p>
    <w:p w14:paraId="1A2D2954" w14:textId="77777777" w:rsidR="00F17B19" w:rsidRPr="00F17B19" w:rsidRDefault="00F17B19" w:rsidP="00F17B19">
      <w:pPr>
        <w:spacing w:after="0" w:line="360" w:lineRule="auto"/>
        <w:ind w:firstLine="709"/>
        <w:jc w:val="both"/>
        <w:rPr>
          <w:rFonts w:ascii="Times New Roman" w:hAnsi="Times New Roman" w:cs="Times New Roman"/>
          <w:sz w:val="24"/>
        </w:rPr>
      </w:pPr>
      <w:r w:rsidRPr="00F17B19">
        <w:rPr>
          <w:rFonts w:ascii="Times New Roman" w:hAnsi="Times New Roman" w:cs="Times New Roman"/>
          <w:sz w:val="24"/>
        </w:rPr>
        <w:t>Durante séculos a pena e a tinta do colonizador buscaram justificar e/ou ocultar as atrocidades cometidas contra negras e negros sequestrados da distante África, mercadejados e submetidos as maiores ignomínias em solo brasileiro. Na narrativa colonial a realidade foi vituperada - negras e negros, vítimas no processo escravizador foram demonizados e tidos como merecedores dos flagelos a eles imputados, enquanto os colonizadores eram vistos como vítimas e/ou até benfeitores dos primeiros.</w:t>
      </w:r>
    </w:p>
    <w:p w14:paraId="51974399" w14:textId="77777777" w:rsidR="00F17B19" w:rsidRPr="00F17B19" w:rsidRDefault="00F17B19" w:rsidP="00F17B19">
      <w:pPr>
        <w:spacing w:after="0" w:line="360" w:lineRule="auto"/>
        <w:ind w:firstLine="709"/>
        <w:jc w:val="both"/>
        <w:rPr>
          <w:rFonts w:ascii="Times New Roman" w:hAnsi="Times New Roman" w:cs="Times New Roman"/>
          <w:sz w:val="24"/>
        </w:rPr>
      </w:pPr>
      <w:r w:rsidRPr="00F17B19">
        <w:rPr>
          <w:rFonts w:ascii="Times New Roman" w:hAnsi="Times New Roman" w:cs="Times New Roman"/>
          <w:sz w:val="24"/>
        </w:rPr>
        <w:t xml:space="preserve">Urgem tempos de/para outras escritas – assunção de muitas e outras histórias – movidas a </w:t>
      </w:r>
      <w:r w:rsidRPr="00F17B19">
        <w:rPr>
          <w:rFonts w:ascii="Times New Roman" w:hAnsi="Times New Roman" w:cs="Times New Roman"/>
          <w:i/>
          <w:iCs/>
          <w:sz w:val="24"/>
        </w:rPr>
        <w:t>leituras e olhares a contrapelo</w:t>
      </w:r>
      <w:r w:rsidRPr="00F17B19">
        <w:rPr>
          <w:rFonts w:ascii="Times New Roman" w:hAnsi="Times New Roman" w:cs="Times New Roman"/>
          <w:sz w:val="24"/>
        </w:rPr>
        <w:t xml:space="preserve">. Se faz mister acessar ao legado memorial resguardado nos veios do aquífero ancestral dos corpos resistentes e resilientes na atualidade brasileira e trazê-lo à luz em narrativas que façam jus a sua riqueza, força. Este </w:t>
      </w:r>
      <w:bookmarkStart w:id="4" w:name="_Hlk93677546"/>
      <w:r w:rsidRPr="00F17B19">
        <w:rPr>
          <w:rFonts w:ascii="Times New Roman" w:hAnsi="Times New Roman" w:cs="Times New Roman"/>
          <w:sz w:val="24"/>
        </w:rPr>
        <w:t xml:space="preserve">artigo se põe a caminho sob a égide do ideograma Sankofa a desafiar, mobilizar e orientar a premência em </w:t>
      </w:r>
      <w:r w:rsidRPr="00F17B19">
        <w:rPr>
          <w:rFonts w:ascii="Times New Roman" w:hAnsi="Times New Roman" w:cs="Times New Roman"/>
          <w:i/>
          <w:iCs/>
          <w:sz w:val="24"/>
        </w:rPr>
        <w:t>possiblidades</w:t>
      </w:r>
      <w:r w:rsidRPr="00F17B19">
        <w:rPr>
          <w:rFonts w:ascii="Times New Roman" w:hAnsi="Times New Roman" w:cs="Times New Roman"/>
          <w:sz w:val="24"/>
        </w:rPr>
        <w:t xml:space="preserve"> da construção de outras vivências pois, </w:t>
      </w:r>
      <w:r w:rsidRPr="00F17B19">
        <w:rPr>
          <w:rFonts w:ascii="Times New Roman" w:hAnsi="Times New Roman" w:cs="Times New Roman"/>
          <w:i/>
          <w:iCs/>
          <w:sz w:val="24"/>
        </w:rPr>
        <w:t>“Sempre podemos retornar e apanhar aquilo que ficou para trás. Sempre podemos retificar nossos erros, aprendendo com o passado para construir o presente e o futuro</w:t>
      </w:r>
      <w:bookmarkStart w:id="5" w:name="_Hlk92632273"/>
      <w:r w:rsidRPr="00F17B19">
        <w:rPr>
          <w:rFonts w:ascii="Times New Roman" w:hAnsi="Times New Roman" w:cs="Times New Roman"/>
          <w:b/>
          <w:bCs/>
          <w:i/>
          <w:iCs/>
          <w:sz w:val="24"/>
        </w:rPr>
        <w:t xml:space="preserve"> </w:t>
      </w:r>
      <w:r w:rsidRPr="00F17B19">
        <w:rPr>
          <w:rFonts w:ascii="Times New Roman" w:hAnsi="Times New Roman" w:cs="Times New Roman"/>
          <w:sz w:val="24"/>
        </w:rPr>
        <w:t>(NASCIMENTO, 2008, p. 38)</w:t>
      </w:r>
      <w:bookmarkEnd w:id="5"/>
      <w:r w:rsidRPr="00F17B19">
        <w:rPr>
          <w:rFonts w:ascii="Times New Roman" w:hAnsi="Times New Roman" w:cs="Times New Roman"/>
          <w:sz w:val="24"/>
        </w:rPr>
        <w:t xml:space="preserve">. </w:t>
      </w:r>
    </w:p>
    <w:p w14:paraId="3ED5D79E" w14:textId="48F4576F" w:rsidR="0049535C" w:rsidRDefault="00F17B19" w:rsidP="00F17B19">
      <w:pPr>
        <w:spacing w:after="0" w:line="360" w:lineRule="auto"/>
        <w:ind w:firstLine="709"/>
        <w:jc w:val="both"/>
        <w:rPr>
          <w:rFonts w:ascii="Times New Roman" w:hAnsi="Times New Roman" w:cs="Times New Roman"/>
          <w:sz w:val="24"/>
          <w:szCs w:val="24"/>
        </w:rPr>
      </w:pPr>
      <w:r w:rsidRPr="00F17B19">
        <w:rPr>
          <w:rFonts w:ascii="Times New Roman" w:hAnsi="Times New Roman" w:cs="Times New Roman"/>
          <w:sz w:val="24"/>
        </w:rPr>
        <w:t xml:space="preserve">Neste sentido e compromisso de buscas e ensaios a outros voos para com conhecimento, sabedoria e alteridade </w:t>
      </w:r>
      <w:bookmarkEnd w:id="3"/>
      <w:bookmarkEnd w:id="4"/>
      <w:r w:rsidRPr="00F17B19">
        <w:rPr>
          <w:rFonts w:ascii="Times New Roman" w:hAnsi="Times New Roman" w:cs="Times New Roman"/>
          <w:sz w:val="24"/>
        </w:rPr>
        <w:t xml:space="preserve">aqui nos dispomos a compartilhar algumas reflexões e/m registros, subsídios na condução e elaboração de estudos e pesquisas no cotidiano de nosso devir </w:t>
      </w:r>
      <w:r w:rsidRPr="00F17B19">
        <w:rPr>
          <w:rFonts w:ascii="Times New Roman" w:hAnsi="Times New Roman" w:cs="Times New Roman"/>
          <w:sz w:val="24"/>
        </w:rPr>
        <w:lastRenderedPageBreak/>
        <w:t xml:space="preserve">acadêmico, na busca e construção de outros olhares e leituras visando práticas diferenciadas das colonizantes, monoculturais e desenvolvimentistas em diferentes </w:t>
      </w:r>
      <w:r w:rsidRPr="00F17B19">
        <w:rPr>
          <w:rFonts w:ascii="Times New Roman" w:hAnsi="Times New Roman" w:cs="Times New Roman"/>
          <w:i/>
          <w:iCs/>
          <w:sz w:val="24"/>
        </w:rPr>
        <w:t>tempos/espaços/lugares</w:t>
      </w:r>
      <w:r w:rsidRPr="00F17B19">
        <w:rPr>
          <w:rFonts w:ascii="Times New Roman" w:hAnsi="Times New Roman" w:cs="Times New Roman"/>
          <w:sz w:val="24"/>
        </w:rPr>
        <w:t xml:space="preserve"> na história e atualidade brasileira. </w:t>
      </w:r>
    </w:p>
    <w:p w14:paraId="2CBD9BF2" w14:textId="77777777" w:rsidR="0049535C" w:rsidRDefault="0049535C">
      <w:pPr>
        <w:spacing w:after="0" w:line="240" w:lineRule="auto"/>
        <w:jc w:val="both"/>
        <w:rPr>
          <w:rFonts w:ascii="Times New Roman" w:hAnsi="Times New Roman" w:cs="Times New Roman"/>
          <w:sz w:val="24"/>
          <w:szCs w:val="24"/>
        </w:rPr>
      </w:pPr>
    </w:p>
    <w:p w14:paraId="01145AB3" w14:textId="21EB2A5C" w:rsidR="0049535C"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 ASPECTOS METODOLÓGICOS</w:t>
      </w:r>
    </w:p>
    <w:p w14:paraId="55C4DD9E" w14:textId="77777777" w:rsidR="00162086" w:rsidRDefault="00162086">
      <w:pPr>
        <w:spacing w:after="0" w:line="240" w:lineRule="auto"/>
        <w:jc w:val="both"/>
        <w:rPr>
          <w:rFonts w:ascii="Times New Roman" w:hAnsi="Times New Roman" w:cs="Times New Roman"/>
          <w:sz w:val="24"/>
          <w:szCs w:val="24"/>
        </w:rPr>
      </w:pPr>
    </w:p>
    <w:p w14:paraId="123FD6BA" w14:textId="77777777" w:rsidR="00F17B19" w:rsidRPr="00F17B19" w:rsidRDefault="00F17B19" w:rsidP="00F17B19">
      <w:pPr>
        <w:spacing w:after="0" w:line="360" w:lineRule="auto"/>
        <w:ind w:firstLine="851"/>
        <w:jc w:val="both"/>
        <w:rPr>
          <w:rFonts w:ascii="Times New Roman" w:eastAsia="Times New Roman" w:hAnsi="Times New Roman" w:cs="Times New Roman"/>
          <w:sz w:val="20"/>
          <w:szCs w:val="20"/>
          <w:lang w:eastAsia="pt-BR"/>
        </w:rPr>
      </w:pPr>
      <w:r w:rsidRPr="00F17B19">
        <w:rPr>
          <w:rFonts w:ascii="Times New Roman" w:eastAsia="Times New Roman" w:hAnsi="Times New Roman" w:cs="Times New Roman"/>
          <w:sz w:val="24"/>
          <w:szCs w:val="24"/>
          <w:lang w:eastAsia="pt-BR"/>
        </w:rPr>
        <w:t>Entendemos que, na América Latina, não é possível realizar um estudo e/ou pesquisa se antes não buscarmos auscultar tramas e urdiduras de seu tecido histórico e colonial. Por esse motivo é imprescindível se dispor a “SULear” (CAMPOS, 2019) com o auxílio de diálogos feitos com outras/os pesquisadoras/es comprometidas/os com as “epistemologias do sul”.</w:t>
      </w:r>
      <w:r w:rsidRPr="00F17B19">
        <w:rPr>
          <w:rFonts w:ascii="Times New Roman" w:eastAsia="Times New Roman" w:hAnsi="Times New Roman" w:cs="Times New Roman"/>
          <w:sz w:val="20"/>
          <w:szCs w:val="20"/>
          <w:lang w:eastAsia="pt-BR"/>
        </w:rPr>
        <w:t xml:space="preserve"> </w:t>
      </w:r>
    </w:p>
    <w:p w14:paraId="361D4A9A" w14:textId="77777777" w:rsidR="00F17B19" w:rsidRPr="00F17B19" w:rsidRDefault="00F17B19" w:rsidP="00F17B19">
      <w:pPr>
        <w:spacing w:after="0" w:line="360" w:lineRule="auto"/>
        <w:ind w:firstLine="851"/>
        <w:jc w:val="both"/>
        <w:rPr>
          <w:rFonts w:ascii="Times New Roman" w:eastAsia="Times New Roman" w:hAnsi="Times New Roman" w:cs="Times New Roman"/>
          <w:sz w:val="24"/>
          <w:szCs w:val="24"/>
          <w:lang w:eastAsia="pt-BR"/>
        </w:rPr>
      </w:pPr>
      <w:r w:rsidRPr="00F17B19">
        <w:rPr>
          <w:rFonts w:ascii="Times New Roman" w:eastAsia="Times New Roman" w:hAnsi="Times New Roman" w:cs="Times New Roman"/>
          <w:sz w:val="24"/>
          <w:szCs w:val="24"/>
          <w:lang w:eastAsia="pt-BR"/>
        </w:rPr>
        <w:t>De acordo com Santos (2020, p. 17) “as epistemologias do Sul referem-se à produção e validação de conhecimentos ancorados nas experiências de resistência de todos os grupos sociais que têm sido sistematicamente vítimas da injustiça, da opressão e da destruição causados pelo capitalismo, pelo colonialismo e pelo patriarcado”. O autor acrescenta ainda que não se trata simplesmente de pensar o Sul geopolítico, mas “trata-se de um Sul epistemológico, não-geográfico, composto por muitos suis epistemológicos que têm em comum o fato de serem conhecimentos nascidos em lutas contra o capitalismo, o colonialismo e o patriarcado. São produzidos onde quer que ocorram essas lutas, tanto no norte geográfico como no sul geográfico”.</w:t>
      </w:r>
    </w:p>
    <w:p w14:paraId="1CC3D628" w14:textId="77777777" w:rsidR="00F17B19" w:rsidRPr="00F17B19" w:rsidRDefault="00F17B19" w:rsidP="00F17B19">
      <w:pPr>
        <w:spacing w:after="0" w:line="360" w:lineRule="auto"/>
        <w:ind w:firstLine="851"/>
        <w:jc w:val="both"/>
        <w:rPr>
          <w:rFonts w:ascii="Times New Roman" w:eastAsia="Times New Roman" w:hAnsi="Times New Roman" w:cs="Times New Roman"/>
          <w:sz w:val="24"/>
          <w:szCs w:val="24"/>
          <w:lang w:eastAsia="pt-BR"/>
        </w:rPr>
      </w:pPr>
      <w:r w:rsidRPr="00F17B19">
        <w:rPr>
          <w:rFonts w:ascii="Times New Roman" w:eastAsia="Times New Roman" w:hAnsi="Times New Roman" w:cs="Times New Roman"/>
          <w:sz w:val="24"/>
          <w:szCs w:val="24"/>
          <w:lang w:eastAsia="pt-BR"/>
        </w:rPr>
        <w:t xml:space="preserve">Como nos lembra Fals-Borda (2015), é nossa responsabilidade como participantes da comunidade científica saber interpretar as transformações históricas e sociais, apresentar dados para entendê-la e dessa forma, ajudar a construir o futuro. Neste sentido, este breve ensaio resultado de uma pesquisa bibliográfica em sua limitação e provisoriedade próprias de um registro desta natureza, busca contribuir nesta direção. Seus referenciais integram o </w:t>
      </w:r>
      <w:r w:rsidRPr="00F17B19">
        <w:rPr>
          <w:rFonts w:ascii="Times New Roman" w:eastAsia="Times New Roman" w:hAnsi="Times New Roman" w:cs="Times New Roman"/>
          <w:i/>
          <w:iCs/>
          <w:sz w:val="24"/>
          <w:szCs w:val="24"/>
          <w:lang w:eastAsia="pt-BR"/>
        </w:rPr>
        <w:t>corpus</w:t>
      </w:r>
      <w:r w:rsidRPr="00F17B19">
        <w:rPr>
          <w:rFonts w:ascii="Times New Roman" w:eastAsia="Times New Roman" w:hAnsi="Times New Roman" w:cs="Times New Roman"/>
          <w:sz w:val="24"/>
          <w:szCs w:val="24"/>
          <w:lang w:eastAsia="pt-BR"/>
        </w:rPr>
        <w:t xml:space="preserve"> da pesquisa: O</w:t>
      </w:r>
      <w:r w:rsidRPr="00F17B19">
        <w:rPr>
          <w:rFonts w:ascii="Times New Roman" w:eastAsia="Times New Roman" w:hAnsi="Times New Roman" w:cs="Times New Roman"/>
          <w:color w:val="000000"/>
          <w:sz w:val="24"/>
          <w:szCs w:val="24"/>
          <w:lang w:eastAsia="pt-BR"/>
        </w:rPr>
        <w:t xml:space="preserve"> voo da Sankofa: percursos e participação de negras e negros afrodiaspóricos e desenvolvimento no Alto Vale do Itajaí (CARDOSO, 2022).</w:t>
      </w:r>
    </w:p>
    <w:p w14:paraId="0EB10D85" w14:textId="77777777" w:rsidR="0049535C" w:rsidRDefault="0049535C">
      <w:pPr>
        <w:spacing w:after="0" w:line="240" w:lineRule="auto"/>
        <w:jc w:val="both"/>
        <w:rPr>
          <w:rFonts w:ascii="Times New Roman" w:hAnsi="Times New Roman" w:cs="Times New Roman"/>
          <w:sz w:val="24"/>
          <w:szCs w:val="24"/>
        </w:rPr>
      </w:pPr>
    </w:p>
    <w:p w14:paraId="396060CA" w14:textId="77777777" w:rsidR="0049535C"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217B115D" w14:textId="77777777" w:rsidR="00F17B19" w:rsidRPr="00F17B19" w:rsidRDefault="00F17B19" w:rsidP="00F17B19">
      <w:pPr>
        <w:keepNext/>
        <w:keepLines/>
        <w:spacing w:before="120" w:after="120" w:line="360" w:lineRule="auto"/>
        <w:outlineLvl w:val="1"/>
        <w:rPr>
          <w:rFonts w:ascii="Times New Roman" w:eastAsia="Calibri" w:hAnsi="Times New Roman" w:cs="Times New Roman"/>
          <w:caps/>
          <w:sz w:val="24"/>
          <w:szCs w:val="24"/>
          <w:lang w:eastAsia="pt-BR"/>
        </w:rPr>
      </w:pPr>
      <w:bookmarkStart w:id="6" w:name="_Toc95609340"/>
      <w:bookmarkStart w:id="7" w:name="_Toc95777140"/>
      <w:bookmarkStart w:id="8" w:name="_Hlk94018769"/>
      <w:bookmarkStart w:id="9" w:name="_Hlk94343660"/>
      <w:r w:rsidRPr="00F17B19">
        <w:rPr>
          <w:rFonts w:ascii="Times New Roman" w:eastAsia="Calibri" w:hAnsi="Times New Roman" w:cs="Calibri"/>
          <w:caps/>
          <w:sz w:val="24"/>
          <w:szCs w:val="36"/>
          <w:lang w:eastAsia="pt-BR"/>
        </w:rPr>
        <w:t>3.1 COLONIESCRAVIZAÇÃO: A EXPERIÊNCIA DO ABISMO</w:t>
      </w:r>
      <w:bookmarkEnd w:id="6"/>
      <w:bookmarkEnd w:id="7"/>
      <w:r w:rsidRPr="00F17B19">
        <w:rPr>
          <w:rFonts w:ascii="Times New Roman" w:eastAsia="Calibri" w:hAnsi="Times New Roman" w:cs="Calibri"/>
          <w:caps/>
          <w:sz w:val="24"/>
          <w:szCs w:val="36"/>
          <w:lang w:eastAsia="pt-BR"/>
        </w:rPr>
        <w:t xml:space="preserve"> </w:t>
      </w:r>
      <w:bookmarkEnd w:id="8"/>
      <w:bookmarkEnd w:id="9"/>
    </w:p>
    <w:p w14:paraId="0955DE47" w14:textId="77777777" w:rsidR="00F17B19" w:rsidRPr="00F17B19" w:rsidRDefault="00F17B19" w:rsidP="00F17B19">
      <w:pPr>
        <w:spacing w:after="0" w:line="360" w:lineRule="auto"/>
        <w:ind w:firstLine="851"/>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Andrade, Fernandes e Carli (2015) refletem sobre o fato de vivermos em uma sociedade contemporânea brasileira, que embora tenha posto fim ao escravismo formal, abrindo uma possibilidade de inserção social para a população negra lhe assegurando alguns </w:t>
      </w:r>
      <w:r w:rsidRPr="00F17B19">
        <w:rPr>
          <w:rFonts w:ascii="Times New Roman" w:eastAsia="Calibri" w:hAnsi="Times New Roman" w:cs="Times New Roman"/>
          <w:sz w:val="24"/>
          <w:szCs w:val="24"/>
          <w:lang w:eastAsia="pt-BR"/>
        </w:rPr>
        <w:lastRenderedPageBreak/>
        <w:t>mecanismos institucionais de reivindicação como o “fato da escravidão não se verificar mais enquanto projeto político concreto”, continua permitindo e fomentando sua existência sob outras formas. Diariamente podemos constatar que vivemos,</w:t>
      </w:r>
    </w:p>
    <w:p w14:paraId="3E3CF3D4" w14:textId="77777777" w:rsidR="00F17B19" w:rsidRPr="00F17B19" w:rsidRDefault="00F17B19" w:rsidP="00F17B19">
      <w:pPr>
        <w:spacing w:after="0" w:line="240" w:lineRule="auto"/>
        <w:ind w:left="2268"/>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 na sociedade do escravismo sem fim, onde se evidencia ainda a persistência do trabalho escravo e de um racismo estrutural nas mais diversas esferas da realidade social brasileira, o que nos levou a buscar o conceito de pós-escravismo como importante referencial para a análise aqui empreendida (ANDRADE; FERNANDES; CARLI, 2015, p. 590-591). </w:t>
      </w:r>
    </w:p>
    <w:p w14:paraId="4362E209" w14:textId="77777777" w:rsidR="00F17B19" w:rsidRPr="00F17B19" w:rsidRDefault="00F17B19" w:rsidP="00F17B19">
      <w:pPr>
        <w:spacing w:after="0" w:line="240" w:lineRule="auto"/>
        <w:ind w:left="2268"/>
        <w:jc w:val="both"/>
        <w:rPr>
          <w:rFonts w:ascii="Times New Roman" w:eastAsia="Calibri" w:hAnsi="Times New Roman" w:cs="Times New Roman"/>
          <w:sz w:val="20"/>
          <w:szCs w:val="20"/>
          <w:lang w:eastAsia="pt-BR"/>
        </w:rPr>
      </w:pPr>
    </w:p>
    <w:p w14:paraId="43863AD3"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Nos jogos de poder determinados estratos da sociedade buscam constantemente a manutenção do </w:t>
      </w:r>
      <w:r w:rsidRPr="00F17B19">
        <w:rPr>
          <w:rFonts w:ascii="Times New Roman" w:eastAsia="Calibri" w:hAnsi="Times New Roman" w:cs="Times New Roman"/>
          <w:i/>
          <w:iCs/>
          <w:sz w:val="24"/>
          <w:szCs w:val="24"/>
          <w:lang w:eastAsia="pt-BR"/>
        </w:rPr>
        <w:t>status quo</w:t>
      </w:r>
      <w:r w:rsidRPr="00F17B19">
        <w:rPr>
          <w:rFonts w:ascii="Times New Roman" w:eastAsia="Calibri" w:hAnsi="Times New Roman" w:cs="Times New Roman"/>
          <w:sz w:val="24"/>
          <w:szCs w:val="24"/>
          <w:lang w:eastAsia="pt-BR"/>
        </w:rPr>
        <w:t xml:space="preserve"> do qual se beneficiaram historicamente. A Lei Áurea é um dos seus maiores trunfos, visto que ainda se crê na falácia da libertação dos escravizados, jamais lutará por liberdade, pois acredita ser livre, ao mesmo tempo que diminui o peso na consciência daqueles que acreditam ser os benfeitores da liberação</w:t>
      </w:r>
      <w:r w:rsidRPr="00F17B19">
        <w:rPr>
          <w:rFonts w:ascii="Times New Roman" w:eastAsia="Calibri" w:hAnsi="Times New Roman" w:cs="Times New Roman"/>
          <w:sz w:val="24"/>
          <w:szCs w:val="24"/>
          <w:vertAlign w:val="superscript"/>
          <w:lang w:eastAsia="pt-BR"/>
        </w:rPr>
        <w:footnoteReference w:id="1"/>
      </w:r>
      <w:r w:rsidRPr="00F17B19">
        <w:rPr>
          <w:rFonts w:ascii="Times New Roman" w:eastAsia="Calibri" w:hAnsi="Times New Roman" w:cs="Times New Roman"/>
          <w:sz w:val="24"/>
          <w:szCs w:val="24"/>
          <w:lang w:eastAsia="pt-BR"/>
        </w:rPr>
        <w:t xml:space="preserve">. Levemos em conta também a crença fundada no mito de democracia racial, do qual já tratamos em outros momentos, que se baseia na ideia de harmonia entre as diferentes etnias que formaram o Brasil, indígenas, brancos europeus, negras e negros. </w:t>
      </w:r>
    </w:p>
    <w:p w14:paraId="0F8B9C67"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Urge algo que ultrapasse os seus limites e o podemos pensar a partir das ideias de “pós-escravismo” (ANDRADE; FERNANDES; CARLI, 2015). Nos somamos aos autores e buscamos contribuir ao posto com um termo/ideia, que caminhe nesta direção: a ideia da presença de uma </w:t>
      </w:r>
      <w:r w:rsidRPr="00F17B19">
        <w:rPr>
          <w:rFonts w:ascii="Times New Roman" w:eastAsia="Calibri" w:hAnsi="Times New Roman" w:cs="Times New Roman"/>
          <w:i/>
          <w:iCs/>
          <w:sz w:val="24"/>
          <w:szCs w:val="24"/>
          <w:lang w:eastAsia="pt-BR"/>
        </w:rPr>
        <w:t>coloniescravização</w:t>
      </w:r>
      <w:r w:rsidRPr="00F17B19">
        <w:rPr>
          <w:rFonts w:ascii="Times New Roman" w:eastAsia="Calibri" w:hAnsi="Times New Roman" w:cs="Times New Roman"/>
          <w:sz w:val="24"/>
          <w:szCs w:val="24"/>
          <w:lang w:eastAsia="pt-BR"/>
        </w:rPr>
        <w:t xml:space="preserve"> atemporal que viceja no Brasil, América Latina e Caribe e outras partes do globo ininterruptamente - um </w:t>
      </w:r>
      <w:r w:rsidRPr="00F17B19">
        <w:rPr>
          <w:rFonts w:ascii="Times New Roman" w:eastAsia="Calibri" w:hAnsi="Times New Roman" w:cs="Times New Roman"/>
          <w:i/>
          <w:iCs/>
          <w:sz w:val="24"/>
          <w:szCs w:val="24"/>
          <w:lang w:eastAsia="pt-BR"/>
        </w:rPr>
        <w:t>tempo/espaço/lugar</w:t>
      </w:r>
      <w:r w:rsidRPr="00F17B19">
        <w:rPr>
          <w:rFonts w:ascii="Times New Roman" w:eastAsia="Calibri" w:hAnsi="Times New Roman" w:cs="Times New Roman"/>
          <w:sz w:val="24"/>
          <w:szCs w:val="24"/>
          <w:lang w:eastAsia="pt-BR"/>
        </w:rPr>
        <w:t xml:space="preserve"> onde inexiste uma data fim para movimentos e processos de colonização via escravização. Embora, oficialmente a Lei Áurea (1888), no Brasil tenha legislado o fim do período escravocrata via comércio de compra e venda de corpos de negras e negros pela elite mercantil,</w:t>
      </w:r>
      <w:r w:rsidRPr="00F17B19">
        <w:rPr>
          <w:rFonts w:ascii="Times New Roman" w:eastAsia="Calibri" w:hAnsi="Times New Roman" w:cs="Times New Roman"/>
          <w:color w:val="0070C0"/>
          <w:sz w:val="24"/>
          <w:szCs w:val="24"/>
          <w:lang w:eastAsia="pt-BR"/>
        </w:rPr>
        <w:t xml:space="preserve"> </w:t>
      </w:r>
      <w:r w:rsidRPr="00F17B19">
        <w:rPr>
          <w:rFonts w:ascii="Times New Roman" w:eastAsia="Calibri" w:hAnsi="Times New Roman" w:cs="Times New Roman"/>
          <w:sz w:val="24"/>
          <w:szCs w:val="24"/>
          <w:lang w:eastAsia="pt-BR"/>
        </w:rPr>
        <w:t xml:space="preserve">uma mudança na forma como ela passou a existir e se configurar continuou e continua a existir, passando a ser </w:t>
      </w:r>
      <w:bookmarkStart w:id="10" w:name="_Hlk94345224"/>
      <w:r w:rsidRPr="00F17B19">
        <w:rPr>
          <w:rFonts w:ascii="Times New Roman" w:eastAsia="Calibri" w:hAnsi="Times New Roman" w:cs="Times New Roman"/>
          <w:sz w:val="24"/>
          <w:szCs w:val="24"/>
          <w:lang w:eastAsia="pt-BR"/>
        </w:rPr>
        <w:t>vivenciada por negras e negros, seus descendentes, embranquecidos ou não – funesta e cruel herança do sequestro liberado nos territórios de “Santa Cruz”</w:t>
      </w:r>
      <w:bookmarkEnd w:id="10"/>
      <w:r w:rsidRPr="00F17B19">
        <w:rPr>
          <w:rFonts w:ascii="Times New Roman" w:eastAsia="Calibri" w:hAnsi="Times New Roman" w:cs="Times New Roman"/>
          <w:sz w:val="24"/>
          <w:szCs w:val="24"/>
          <w:lang w:eastAsia="pt-BR"/>
        </w:rPr>
        <w:t xml:space="preserve"> – colonialidades </w:t>
      </w:r>
      <w:r w:rsidRPr="00F17B19">
        <w:rPr>
          <w:rFonts w:ascii="Times New Roman" w:eastAsia="Calibri" w:hAnsi="Times New Roman" w:cs="Times New Roman"/>
          <w:i/>
          <w:iCs/>
          <w:sz w:val="24"/>
          <w:szCs w:val="24"/>
          <w:lang w:eastAsia="pt-BR"/>
        </w:rPr>
        <w:t>in continuum</w:t>
      </w:r>
      <w:r w:rsidRPr="00F17B19">
        <w:rPr>
          <w:rFonts w:ascii="Times New Roman" w:eastAsia="Calibri" w:hAnsi="Times New Roman" w:cs="Times New Roman"/>
          <w:sz w:val="24"/>
          <w:szCs w:val="24"/>
          <w:lang w:eastAsia="pt-BR"/>
        </w:rPr>
        <w:t xml:space="preserve">. </w:t>
      </w:r>
    </w:p>
    <w:p w14:paraId="79FBD688" w14:textId="77777777" w:rsidR="00F17B19" w:rsidRPr="00F17B19" w:rsidRDefault="00F17B19" w:rsidP="00F17B19">
      <w:pPr>
        <w:spacing w:after="0" w:line="360" w:lineRule="auto"/>
        <w:ind w:firstLine="709"/>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4"/>
          <w:szCs w:val="24"/>
          <w:lang w:eastAsia="pt-BR"/>
        </w:rPr>
        <w:t xml:space="preserve">Segundo Osterhammel e Jansen (2019), </w:t>
      </w:r>
    </w:p>
    <w:p w14:paraId="4D622BAC" w14:textId="77777777" w:rsidR="00F17B19" w:rsidRPr="00F17B19" w:rsidRDefault="00F17B19" w:rsidP="00F17B19">
      <w:pPr>
        <w:spacing w:before="120" w:after="120" w:line="240" w:lineRule="auto"/>
        <w:ind w:left="2268"/>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0"/>
          <w:szCs w:val="20"/>
          <w:lang w:eastAsia="pt-BR"/>
        </w:rPr>
        <w:t xml:space="preserve">O ‘colonialismo’ parece ainda mais presente hoje do que há algum tempo. Eventos particularmente violentos ocorreram recentemente em vários países que são uma </w:t>
      </w:r>
      <w:r w:rsidRPr="00F17B19">
        <w:rPr>
          <w:rFonts w:ascii="Times New Roman" w:eastAsia="Calibri" w:hAnsi="Times New Roman" w:cs="Times New Roman"/>
          <w:sz w:val="20"/>
          <w:szCs w:val="20"/>
          <w:lang w:eastAsia="pt-BR"/>
        </w:rPr>
        <w:lastRenderedPageBreak/>
        <w:t>reminiscência poderosa do passado colonial. Aspectos significativos como heteronomia, racismo, usurpação violenta e apropriação ilegítima também marcam o uso metafórico de ‘colonialismo’ na controvérsia política. Por trás disso está a avaliação negativa de tudo relacionado ao ‘colonialismo’. Mas o que deve ser entendido por ‘colonialismo’ em uma descrição de princípio neutro? Quais são as características desse fenômeno que o distinguem da multiplicidade de relações de dominação e processos de expansão conhecidos na história mundial? Em outras palavras: como tornar o conceito histórico de ‘colonialismo’ suficientemente distinto? Como situá-lo em relação aos termos ‘colonização’, ‘colônia’, ‘imperialismo”’ e ‘expansão europeia’? Como a peculiaridade da colonização moderna e a formação de colônias devem ser enfrentadas em uma primeira abordagem conceitual?</w:t>
      </w:r>
      <w:r w:rsidRPr="00F17B19">
        <w:rPr>
          <w:rFonts w:ascii="Times New Roman" w:eastAsia="Calibri" w:hAnsi="Times New Roman" w:cs="Times New Roman"/>
          <w:sz w:val="24"/>
          <w:szCs w:val="24"/>
          <w:lang w:eastAsia="pt-BR"/>
        </w:rPr>
        <w:t xml:space="preserve"> </w:t>
      </w:r>
      <w:r w:rsidRPr="00F17B19">
        <w:rPr>
          <w:rFonts w:ascii="Times New Roman" w:eastAsia="Calibri" w:hAnsi="Times New Roman" w:cs="Times New Roman"/>
          <w:sz w:val="20"/>
          <w:szCs w:val="20"/>
          <w:lang w:eastAsia="pt-BR"/>
        </w:rPr>
        <w:t>(OSTERHAMMEL; JANSEN, 2019, p. 7).</w:t>
      </w:r>
    </w:p>
    <w:p w14:paraId="4A324086"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Os questionamentos realizados pelos autores nos propõem outras indagações.  É possível uma descrição de princípio neutro? Ao buscar construir um princípio neutro, não estamos invariavelmente nos posicionando em um dos lados? O que nos faz recordar Freire (2019) quando afirma que não existe imparcialidade, por todos nós possuímos uma base ideológica, resta saber se as bases ideológicas sobre as quais alicerçamos o nosso ser/fazer</w:t>
      </w:r>
      <w:r w:rsidRPr="00F17B19">
        <w:rPr>
          <w:rFonts w:ascii="Times New Roman" w:eastAsia="Calibri" w:hAnsi="Times New Roman" w:cs="Times New Roman"/>
          <w:color w:val="FF0000"/>
          <w:sz w:val="24"/>
          <w:szCs w:val="24"/>
          <w:lang w:eastAsia="pt-BR"/>
        </w:rPr>
        <w:t xml:space="preserve"> </w:t>
      </w:r>
      <w:r w:rsidRPr="00F17B19">
        <w:rPr>
          <w:rFonts w:ascii="Times New Roman" w:eastAsia="Calibri" w:hAnsi="Times New Roman" w:cs="Times New Roman"/>
          <w:sz w:val="24"/>
          <w:szCs w:val="24"/>
          <w:lang w:eastAsia="pt-BR"/>
        </w:rPr>
        <w:t xml:space="preserve">pedagógico, mas também ontológico e político. </w:t>
      </w:r>
    </w:p>
    <w:p w14:paraId="04E222C2" w14:textId="77777777" w:rsidR="00F17B19" w:rsidRPr="00F17B19" w:rsidRDefault="00F17B19" w:rsidP="00F17B19">
      <w:pPr>
        <w:spacing w:after="0" w:line="360" w:lineRule="auto"/>
        <w:ind w:firstLine="709"/>
        <w:jc w:val="both"/>
        <w:rPr>
          <w:rFonts w:ascii="Calibri" w:eastAsia="Calibri" w:hAnsi="Calibri" w:cs="Times New Roman"/>
          <w:lang w:eastAsia="pt-BR"/>
        </w:rPr>
      </w:pPr>
      <w:bookmarkStart w:id="11" w:name="_Hlk95242651"/>
      <w:r w:rsidRPr="00F17B19">
        <w:rPr>
          <w:rFonts w:ascii="Times New Roman" w:eastAsia="Calibri" w:hAnsi="Times New Roman" w:cs="Times New Roman"/>
          <w:sz w:val="24"/>
          <w:szCs w:val="24"/>
          <w:lang w:eastAsia="pt-BR"/>
        </w:rPr>
        <w:t xml:space="preserve">Osterhammel e Jansen </w:t>
      </w:r>
      <w:bookmarkEnd w:id="11"/>
      <w:r w:rsidRPr="00F17B19">
        <w:rPr>
          <w:rFonts w:ascii="Times New Roman" w:eastAsia="Calibri" w:hAnsi="Times New Roman" w:cs="Times New Roman"/>
          <w:sz w:val="24"/>
          <w:szCs w:val="24"/>
          <w:lang w:eastAsia="pt-BR"/>
        </w:rPr>
        <w:t xml:space="preserve">registram que, não existe consenso entre as definições dadas sobre o que foi, ou seja, o colonialismo, visto uma série de fatores devam ser levados em consideração. Compreendem que “‘Colonização’ refere-se a um </w:t>
      </w:r>
      <w:r w:rsidRPr="00F17B19">
        <w:rPr>
          <w:rFonts w:ascii="Times New Roman" w:eastAsia="Calibri" w:hAnsi="Times New Roman" w:cs="Times New Roman"/>
          <w:i/>
          <w:iCs/>
          <w:sz w:val="24"/>
          <w:szCs w:val="24"/>
          <w:lang w:eastAsia="pt-BR"/>
        </w:rPr>
        <w:t>processo</w:t>
      </w:r>
      <w:r w:rsidRPr="00F17B19">
        <w:rPr>
          <w:rFonts w:ascii="Times New Roman" w:eastAsia="Calibri" w:hAnsi="Times New Roman" w:cs="Times New Roman"/>
          <w:sz w:val="24"/>
          <w:szCs w:val="24"/>
          <w:lang w:eastAsia="pt-BR"/>
        </w:rPr>
        <w:t xml:space="preserve"> de conquista e apropriação de terras; ‘Colônia’, para um tipo especial de </w:t>
      </w:r>
      <w:r w:rsidRPr="00F17B19">
        <w:rPr>
          <w:rFonts w:ascii="Times New Roman" w:eastAsia="Calibri" w:hAnsi="Times New Roman" w:cs="Times New Roman"/>
          <w:i/>
          <w:iCs/>
          <w:sz w:val="24"/>
          <w:szCs w:val="24"/>
          <w:lang w:eastAsia="pt-BR"/>
        </w:rPr>
        <w:t>grupo</w:t>
      </w:r>
      <w:r w:rsidRPr="00F17B19">
        <w:rPr>
          <w:rFonts w:ascii="Times New Roman" w:eastAsia="Calibri" w:hAnsi="Times New Roman" w:cs="Times New Roman"/>
          <w:sz w:val="24"/>
          <w:szCs w:val="24"/>
          <w:lang w:eastAsia="pt-BR"/>
        </w:rPr>
        <w:t xml:space="preserve"> político-social </w:t>
      </w:r>
      <w:r w:rsidRPr="00F17B19">
        <w:rPr>
          <w:rFonts w:ascii="Times New Roman" w:eastAsia="Calibri" w:hAnsi="Times New Roman" w:cs="Times New Roman"/>
          <w:i/>
          <w:iCs/>
          <w:sz w:val="24"/>
          <w:szCs w:val="24"/>
          <w:lang w:eastAsia="pt-BR"/>
        </w:rPr>
        <w:t>de pessoas</w:t>
      </w:r>
      <w:r w:rsidRPr="00F17B19">
        <w:rPr>
          <w:rFonts w:ascii="Times New Roman" w:eastAsia="Calibri" w:hAnsi="Times New Roman" w:cs="Times New Roman"/>
          <w:sz w:val="24"/>
          <w:szCs w:val="24"/>
          <w:lang w:eastAsia="pt-BR"/>
        </w:rPr>
        <w:t xml:space="preserve">; e </w:t>
      </w:r>
      <w:r w:rsidRPr="00F17B19">
        <w:rPr>
          <w:rFonts w:ascii="Times New Roman" w:eastAsia="Calibri" w:hAnsi="Times New Roman" w:cs="Times New Roman"/>
          <w:i/>
          <w:iCs/>
          <w:sz w:val="24"/>
          <w:szCs w:val="24"/>
          <w:lang w:eastAsia="pt-BR"/>
        </w:rPr>
        <w:t>‘colonialismo’,</w:t>
      </w:r>
      <w:r w:rsidRPr="00F17B19">
        <w:rPr>
          <w:rFonts w:ascii="Times New Roman" w:eastAsia="Calibri" w:hAnsi="Times New Roman" w:cs="Times New Roman"/>
          <w:sz w:val="24"/>
          <w:szCs w:val="24"/>
          <w:lang w:eastAsia="pt-BR"/>
        </w:rPr>
        <w:t xml:space="preserve"> a uma </w:t>
      </w:r>
      <w:r w:rsidRPr="00F17B19">
        <w:rPr>
          <w:rFonts w:ascii="Times New Roman" w:eastAsia="Calibri" w:hAnsi="Times New Roman" w:cs="Times New Roman"/>
          <w:i/>
          <w:iCs/>
          <w:sz w:val="24"/>
          <w:szCs w:val="24"/>
          <w:lang w:eastAsia="pt-BR"/>
        </w:rPr>
        <w:t>relação</w:t>
      </w:r>
      <w:r w:rsidRPr="00F17B19">
        <w:rPr>
          <w:rFonts w:ascii="Times New Roman" w:eastAsia="Calibri" w:hAnsi="Times New Roman" w:cs="Times New Roman"/>
          <w:sz w:val="24"/>
          <w:szCs w:val="24"/>
          <w:lang w:eastAsia="pt-BR"/>
        </w:rPr>
        <w:t xml:space="preserve"> de </w:t>
      </w:r>
      <w:r w:rsidRPr="00F17B19">
        <w:rPr>
          <w:rFonts w:ascii="Times New Roman" w:eastAsia="Calibri" w:hAnsi="Times New Roman" w:cs="Times New Roman"/>
          <w:i/>
          <w:iCs/>
          <w:sz w:val="24"/>
          <w:szCs w:val="24"/>
          <w:lang w:eastAsia="pt-BR"/>
        </w:rPr>
        <w:t>domínio</w:t>
      </w:r>
      <w:r w:rsidRPr="00F17B19">
        <w:rPr>
          <w:rFonts w:ascii="Times New Roman" w:eastAsia="Calibri" w:hAnsi="Times New Roman" w:cs="Times New Roman"/>
          <w:sz w:val="24"/>
          <w:szCs w:val="24"/>
          <w:lang w:eastAsia="pt-BR"/>
        </w:rPr>
        <w:t xml:space="preserve"> ou </w:t>
      </w:r>
      <w:r w:rsidRPr="00F17B19">
        <w:rPr>
          <w:rFonts w:ascii="Times New Roman" w:eastAsia="Calibri" w:hAnsi="Times New Roman" w:cs="Times New Roman"/>
          <w:i/>
          <w:iCs/>
          <w:sz w:val="24"/>
          <w:szCs w:val="24"/>
          <w:lang w:eastAsia="pt-BR"/>
        </w:rPr>
        <w:t>senhorio (grifos dos autores)</w:t>
      </w:r>
      <w:r w:rsidRPr="00F17B19">
        <w:rPr>
          <w:rFonts w:ascii="Times New Roman" w:eastAsia="Calibri" w:hAnsi="Times New Roman" w:cs="Times New Roman"/>
          <w:sz w:val="24"/>
          <w:szCs w:val="24"/>
          <w:lang w:eastAsia="pt-BR"/>
        </w:rPr>
        <w:t xml:space="preserve"> (OSTERHAMMEL; JANSEN, 2019, p. 9). </w:t>
      </w:r>
    </w:p>
    <w:p w14:paraId="725C2A4A" w14:textId="77777777" w:rsidR="00F17B19" w:rsidRPr="00F17B19" w:rsidRDefault="00F17B19" w:rsidP="00F17B19">
      <w:pPr>
        <w:keepNext/>
        <w:spacing w:after="120" w:line="240" w:lineRule="auto"/>
        <w:jc w:val="center"/>
        <w:rPr>
          <w:rFonts w:ascii="Times New Roman" w:eastAsia="Calibri" w:hAnsi="Times New Roman" w:cs="Calibri"/>
          <w:iCs/>
          <w:color w:val="000000"/>
          <w:sz w:val="24"/>
          <w:szCs w:val="18"/>
          <w:lang w:eastAsia="pt-BR"/>
        </w:rPr>
      </w:pPr>
      <w:bookmarkStart w:id="12" w:name="_Toc95773338"/>
      <w:r w:rsidRPr="00F17B19">
        <w:rPr>
          <w:rFonts w:ascii="Times New Roman" w:eastAsia="Calibri" w:hAnsi="Times New Roman" w:cs="Calibri"/>
          <w:iCs/>
          <w:color w:val="000000"/>
          <w:sz w:val="24"/>
          <w:szCs w:val="18"/>
          <w:lang w:eastAsia="pt-BR"/>
        </w:rPr>
        <w:t xml:space="preserve">Quadro </w:t>
      </w:r>
      <w:r w:rsidRPr="00F17B19">
        <w:rPr>
          <w:rFonts w:ascii="Times New Roman" w:eastAsia="Calibri" w:hAnsi="Times New Roman" w:cs="Calibri"/>
          <w:iCs/>
          <w:color w:val="000000"/>
          <w:sz w:val="24"/>
          <w:szCs w:val="18"/>
          <w:lang w:eastAsia="pt-BR"/>
        </w:rPr>
        <w:fldChar w:fldCharType="begin"/>
      </w:r>
      <w:r w:rsidRPr="00F17B19">
        <w:rPr>
          <w:rFonts w:ascii="Times New Roman" w:eastAsia="Calibri" w:hAnsi="Times New Roman" w:cs="Calibri"/>
          <w:iCs/>
          <w:color w:val="000000"/>
          <w:sz w:val="24"/>
          <w:szCs w:val="18"/>
          <w:lang w:eastAsia="pt-BR"/>
        </w:rPr>
        <w:instrText xml:space="preserve"> SEQ Quadro \* ARABIC </w:instrText>
      </w:r>
      <w:r w:rsidRPr="00F17B19">
        <w:rPr>
          <w:rFonts w:ascii="Times New Roman" w:eastAsia="Calibri" w:hAnsi="Times New Roman" w:cs="Calibri"/>
          <w:iCs/>
          <w:color w:val="000000"/>
          <w:sz w:val="24"/>
          <w:szCs w:val="18"/>
          <w:lang w:eastAsia="pt-BR"/>
        </w:rPr>
        <w:fldChar w:fldCharType="separate"/>
      </w:r>
      <w:r w:rsidRPr="00F17B19">
        <w:rPr>
          <w:rFonts w:ascii="Times New Roman" w:eastAsia="Calibri" w:hAnsi="Times New Roman" w:cs="Calibri"/>
          <w:iCs/>
          <w:noProof/>
          <w:color w:val="000000"/>
          <w:sz w:val="24"/>
          <w:szCs w:val="18"/>
          <w:lang w:eastAsia="pt-BR"/>
        </w:rPr>
        <w:t>1</w:t>
      </w:r>
      <w:r w:rsidRPr="00F17B19">
        <w:rPr>
          <w:rFonts w:ascii="Times New Roman" w:eastAsia="Calibri" w:hAnsi="Times New Roman" w:cs="Calibri"/>
          <w:iCs/>
          <w:noProof/>
          <w:color w:val="000000"/>
          <w:sz w:val="24"/>
          <w:szCs w:val="18"/>
          <w:lang w:eastAsia="pt-BR"/>
        </w:rPr>
        <w:fldChar w:fldCharType="end"/>
      </w:r>
      <w:r w:rsidRPr="00F17B19">
        <w:rPr>
          <w:rFonts w:ascii="Times New Roman" w:eastAsia="Calibri" w:hAnsi="Times New Roman" w:cs="Calibri"/>
          <w:iCs/>
          <w:color w:val="000000"/>
          <w:sz w:val="24"/>
          <w:szCs w:val="18"/>
          <w:lang w:eastAsia="pt-BR"/>
        </w:rPr>
        <w:t xml:space="preserve"> - Tipos de Colônia</w:t>
      </w:r>
      <w:bookmarkEnd w:id="12"/>
    </w:p>
    <w:tbl>
      <w:tblPr>
        <w:tblStyle w:val="Tabelacomgrade"/>
        <w:tblW w:w="0" w:type="auto"/>
        <w:tblLook w:val="04A0" w:firstRow="1" w:lastRow="0" w:firstColumn="1" w:lastColumn="0" w:noHBand="0" w:noVBand="1"/>
      </w:tblPr>
      <w:tblGrid>
        <w:gridCol w:w="1627"/>
        <w:gridCol w:w="2493"/>
        <w:gridCol w:w="2459"/>
        <w:gridCol w:w="2482"/>
      </w:tblGrid>
      <w:tr w:rsidR="00F17B19" w:rsidRPr="00F17B19" w14:paraId="30C1DC5D" w14:textId="77777777" w:rsidTr="00AD6BAA">
        <w:tc>
          <w:tcPr>
            <w:tcW w:w="0" w:type="auto"/>
            <w:gridSpan w:val="4"/>
          </w:tcPr>
          <w:p w14:paraId="54CF5377" w14:textId="77777777" w:rsidR="00F17B19" w:rsidRPr="00F17B19" w:rsidRDefault="00F17B19" w:rsidP="00F17B19">
            <w:pPr>
              <w:spacing w:after="200" w:line="276" w:lineRule="auto"/>
              <w:jc w:val="center"/>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PRINCIPAIS TIPOS DE COLÔNIA - OSTERHAMMEL; JANSEN, 2019</w:t>
            </w:r>
          </w:p>
        </w:tc>
      </w:tr>
      <w:tr w:rsidR="00F17B19" w:rsidRPr="00F17B19" w14:paraId="2DCE4FD0" w14:textId="77777777" w:rsidTr="00AD6BAA">
        <w:tc>
          <w:tcPr>
            <w:tcW w:w="0" w:type="auto"/>
          </w:tcPr>
          <w:p w14:paraId="182FB75A"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TIPOS DE COLÔNIA</w:t>
            </w:r>
          </w:p>
        </w:tc>
        <w:tc>
          <w:tcPr>
            <w:tcW w:w="0" w:type="auto"/>
          </w:tcPr>
          <w:p w14:paraId="7999A9D2"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COLÔNIAS DE DOMINAÇÃO</w:t>
            </w:r>
          </w:p>
        </w:tc>
        <w:tc>
          <w:tcPr>
            <w:tcW w:w="0" w:type="auto"/>
          </w:tcPr>
          <w:p w14:paraId="1714CAFD"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COLÔNIAS DE PONTO DE APOIO</w:t>
            </w:r>
          </w:p>
        </w:tc>
        <w:tc>
          <w:tcPr>
            <w:tcW w:w="0" w:type="auto"/>
          </w:tcPr>
          <w:p w14:paraId="13BBFC64"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COLÔNIAS DE ASSENTAMENTO</w:t>
            </w:r>
          </w:p>
        </w:tc>
      </w:tr>
      <w:tr w:rsidR="00F17B19" w:rsidRPr="00F17B19" w14:paraId="2FE062BD" w14:textId="77777777" w:rsidTr="00AD6BAA">
        <w:tc>
          <w:tcPr>
            <w:tcW w:w="0" w:type="auto"/>
          </w:tcPr>
          <w:p w14:paraId="5ED89CFA"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RESULTADOS</w:t>
            </w:r>
          </w:p>
        </w:tc>
        <w:tc>
          <w:tcPr>
            <w:tcW w:w="0" w:type="auto"/>
          </w:tcPr>
          <w:p w14:paraId="370B086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Conquista militar, muitas vezes após longas fases de contato não agressivo</w:t>
            </w:r>
          </w:p>
        </w:tc>
        <w:tc>
          <w:tcPr>
            <w:tcW w:w="0" w:type="auto"/>
          </w:tcPr>
          <w:p w14:paraId="3D4EFCC3"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Resultado da ação de frotas.</w:t>
            </w:r>
          </w:p>
        </w:tc>
        <w:tc>
          <w:tcPr>
            <w:tcW w:w="0" w:type="auto"/>
          </w:tcPr>
          <w:p w14:paraId="1A43A367"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Resultado de processos de colonização sob proteção militar.</w:t>
            </w:r>
          </w:p>
        </w:tc>
      </w:tr>
      <w:tr w:rsidR="00F17B19" w:rsidRPr="00F17B19" w14:paraId="0FE1F0B7" w14:textId="77777777" w:rsidTr="00AD6BAA">
        <w:tc>
          <w:tcPr>
            <w:tcW w:w="0" w:type="auto"/>
          </w:tcPr>
          <w:p w14:paraId="4E38A89A"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OBJETIVOS</w:t>
            </w:r>
          </w:p>
        </w:tc>
        <w:tc>
          <w:tcPr>
            <w:tcW w:w="0" w:type="auto"/>
          </w:tcPr>
          <w:p w14:paraId="6EA901C5"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Exploração econômica (através de monopólios comerciais, exploração de recursos minerais cobrança de impostos), garantia estratégica da política </w:t>
            </w:r>
            <w:r w:rsidRPr="00F17B19">
              <w:rPr>
                <w:rFonts w:ascii="Times New Roman" w:eastAsia="Calibri" w:hAnsi="Times New Roman" w:cs="Times New Roman"/>
                <w:sz w:val="20"/>
                <w:szCs w:val="20"/>
                <w:lang w:eastAsia="pt-BR"/>
              </w:rPr>
              <w:lastRenderedPageBreak/>
              <w:t>imperial, obtenção de maior prestígio.</w:t>
            </w:r>
          </w:p>
        </w:tc>
        <w:tc>
          <w:tcPr>
            <w:tcW w:w="0" w:type="auto"/>
          </w:tcPr>
          <w:p w14:paraId="64B5DCFF"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 xml:space="preserve">Uso comercial indireto do interior de um país ou contribuição para a logística de desenvolvimento de uma potência marítima e controle informal de estados </w:t>
            </w:r>
            <w:r w:rsidRPr="00F17B19">
              <w:rPr>
                <w:rFonts w:ascii="Times New Roman" w:eastAsia="Calibri" w:hAnsi="Times New Roman" w:cs="Times New Roman"/>
                <w:sz w:val="20"/>
                <w:szCs w:val="20"/>
                <w:lang w:eastAsia="pt-BR"/>
              </w:rPr>
              <w:lastRenderedPageBreak/>
              <w:t>formalmente independentes (‘política de canhoneiras’).</w:t>
            </w:r>
          </w:p>
        </w:tc>
        <w:tc>
          <w:tcPr>
            <w:tcW w:w="0" w:type="auto"/>
          </w:tcPr>
          <w:p w14:paraId="2FEC1B59"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Aproveitamento de terras e mão-de-obra barata (estrangeira), prática de modos de vida socio-culturais minoritários, questionada na ‘pátria mãe’.</w:t>
            </w:r>
          </w:p>
        </w:tc>
      </w:tr>
      <w:tr w:rsidR="00F17B19" w:rsidRPr="00F17B19" w14:paraId="0FC90FCD" w14:textId="77777777" w:rsidTr="00AD6BAA">
        <w:tc>
          <w:tcPr>
            <w:tcW w:w="0" w:type="auto"/>
          </w:tcPr>
          <w:p w14:paraId="69DC459D"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PRESENÇA</w:t>
            </w:r>
          </w:p>
        </w:tc>
        <w:tc>
          <w:tcPr>
            <w:tcW w:w="0" w:type="auto"/>
          </w:tcPr>
          <w:p w14:paraId="42678D86"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Presença colonial, relativamente insignificante do ponto de vista numérico, principalmente na forma de enviados, burocratas civis que retornam à “pátria” após o término da atividade, soldados e empresários (não-colonos assentados).</w:t>
            </w:r>
          </w:p>
        </w:tc>
        <w:tc>
          <w:tcPr>
            <w:tcW w:w="0" w:type="auto"/>
          </w:tcPr>
          <w:p w14:paraId="19AD2054"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tcPr>
          <w:p w14:paraId="21BDF768"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Presença colonial, principalmente na forma de fazendeiros e fazendeiros residentes permanentemente.</w:t>
            </w:r>
          </w:p>
        </w:tc>
      </w:tr>
      <w:tr w:rsidR="00F17B19" w:rsidRPr="00F17B19" w14:paraId="4DFB5D70" w14:textId="77777777" w:rsidTr="00AD6BAA">
        <w:tc>
          <w:tcPr>
            <w:tcW w:w="0" w:type="auto"/>
          </w:tcPr>
          <w:p w14:paraId="2F6FD5BC"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MODELO DE GOVERNO</w:t>
            </w:r>
          </w:p>
        </w:tc>
        <w:tc>
          <w:tcPr>
            <w:tcW w:w="0" w:type="auto"/>
          </w:tcPr>
          <w:p w14:paraId="706751DB"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Governo autocrático da metrópole (sistema de governantes), com elementos de assistência paternalista à população indígena.</w:t>
            </w:r>
          </w:p>
        </w:tc>
        <w:tc>
          <w:tcPr>
            <w:tcW w:w="0" w:type="auto"/>
          </w:tcPr>
          <w:p w14:paraId="46BC201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tcPr>
          <w:p w14:paraId="3A28E58E"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Primeiras tentativas de autogoverno dos colonos “brancos”, desrespeitando os direitos e interesses indígenas.</w:t>
            </w:r>
          </w:p>
        </w:tc>
      </w:tr>
      <w:tr w:rsidR="00F17B19" w:rsidRPr="00F17B19" w14:paraId="655DBB29" w14:textId="77777777" w:rsidTr="00AD6BAA">
        <w:trPr>
          <w:trHeight w:val="1196"/>
        </w:trPr>
        <w:tc>
          <w:tcPr>
            <w:tcW w:w="0" w:type="auto"/>
            <w:vMerge w:val="restart"/>
          </w:tcPr>
          <w:p w14:paraId="3F3C7E42"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EXEMPLOS</w:t>
            </w:r>
          </w:p>
        </w:tc>
        <w:tc>
          <w:tcPr>
            <w:tcW w:w="0" w:type="auto"/>
            <w:vMerge w:val="restart"/>
          </w:tcPr>
          <w:p w14:paraId="0EC48B63"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Índia (Britânica), Indochina (França), Egito (Britânica), Togo (Alemã), Filipinas (EUA), Taiwan (Japão).</w:t>
            </w:r>
          </w:p>
        </w:tc>
        <w:tc>
          <w:tcPr>
            <w:tcW w:w="0" w:type="auto"/>
            <w:vMerge w:val="restart"/>
          </w:tcPr>
          <w:p w14:paraId="25240D8A"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Malaca (Portugal), Batávia (Nova Zelândia), Hong Kong, Cingapura, Áden (todos britânicos), Xangai (internacional.</w:t>
            </w:r>
          </w:p>
        </w:tc>
        <w:tc>
          <w:tcPr>
            <w:tcW w:w="0" w:type="auto"/>
          </w:tcPr>
          <w:p w14:paraId="73281FE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A – Tipo </w:t>
            </w:r>
            <w:r w:rsidRPr="00F17B19">
              <w:rPr>
                <w:rFonts w:ascii="Times New Roman" w:eastAsia="Calibri" w:hAnsi="Times New Roman" w:cs="Times New Roman"/>
                <w:b/>
                <w:bCs/>
                <w:sz w:val="20"/>
                <w:szCs w:val="20"/>
                <w:lang w:eastAsia="pt-BR"/>
              </w:rPr>
              <w:t>Neoinglês</w:t>
            </w:r>
            <w:r w:rsidRPr="00F17B19">
              <w:rPr>
                <w:rFonts w:ascii="Times New Roman" w:eastAsia="Calibri" w:hAnsi="Times New Roman" w:cs="Times New Roman"/>
                <w:sz w:val="20"/>
                <w:szCs w:val="20"/>
                <w:lang w:eastAsia="pt-BR"/>
              </w:rPr>
              <w:t>: as colônias britânicas da Nova Inglaterra, Canadá (francesa/britânica), Australia;</w:t>
            </w:r>
          </w:p>
        </w:tc>
      </w:tr>
      <w:tr w:rsidR="00F17B19" w:rsidRPr="00F17B19" w14:paraId="4CCA83D1" w14:textId="77777777" w:rsidTr="00AD6BAA">
        <w:trPr>
          <w:trHeight w:val="529"/>
        </w:trPr>
        <w:tc>
          <w:tcPr>
            <w:tcW w:w="0" w:type="auto"/>
            <w:vMerge/>
          </w:tcPr>
          <w:p w14:paraId="57E1FBAB"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vMerge/>
          </w:tcPr>
          <w:p w14:paraId="1380BEEB"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vMerge/>
          </w:tcPr>
          <w:p w14:paraId="4D28F125"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tcPr>
          <w:p w14:paraId="36B805F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 B – Tipo </w:t>
            </w:r>
            <w:r w:rsidRPr="00F17B19">
              <w:rPr>
                <w:rFonts w:ascii="Times New Roman" w:eastAsia="Calibri" w:hAnsi="Times New Roman" w:cs="Times New Roman"/>
                <w:b/>
                <w:bCs/>
                <w:sz w:val="20"/>
                <w:szCs w:val="20"/>
                <w:lang w:eastAsia="pt-BR"/>
              </w:rPr>
              <w:t>Africano</w:t>
            </w:r>
            <w:r w:rsidRPr="00F17B19">
              <w:rPr>
                <w:rFonts w:ascii="Times New Roman" w:eastAsia="Calibri" w:hAnsi="Times New Roman" w:cs="Times New Roman"/>
                <w:sz w:val="20"/>
                <w:szCs w:val="20"/>
                <w:lang w:eastAsia="pt-BR"/>
              </w:rPr>
              <w:t xml:space="preserve">: Argélia (França), Rodésia do Sul (britânica), África do Sul; </w:t>
            </w:r>
          </w:p>
        </w:tc>
      </w:tr>
      <w:tr w:rsidR="00F17B19" w:rsidRPr="00F17B19" w14:paraId="2A5D99E7" w14:textId="77777777" w:rsidTr="00AD6BAA">
        <w:trPr>
          <w:trHeight w:val="664"/>
        </w:trPr>
        <w:tc>
          <w:tcPr>
            <w:tcW w:w="0" w:type="auto"/>
            <w:vMerge/>
          </w:tcPr>
          <w:p w14:paraId="102FB8A7"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vMerge/>
          </w:tcPr>
          <w:p w14:paraId="11CB9C56"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vMerge/>
          </w:tcPr>
          <w:p w14:paraId="4B395586"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tcPr>
          <w:p w14:paraId="7192DE0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C – Tipo </w:t>
            </w:r>
            <w:r w:rsidRPr="00F17B19">
              <w:rPr>
                <w:rFonts w:ascii="Times New Roman" w:eastAsia="Calibri" w:hAnsi="Times New Roman" w:cs="Times New Roman"/>
                <w:b/>
                <w:bCs/>
                <w:sz w:val="20"/>
                <w:szCs w:val="20"/>
                <w:lang w:eastAsia="pt-BR"/>
              </w:rPr>
              <w:t>Caribenho</w:t>
            </w:r>
            <w:r w:rsidRPr="00F17B19">
              <w:rPr>
                <w:rFonts w:ascii="Times New Roman" w:eastAsia="Calibri" w:hAnsi="Times New Roman" w:cs="Times New Roman"/>
                <w:sz w:val="20"/>
                <w:szCs w:val="20"/>
                <w:lang w:eastAsia="pt-BR"/>
              </w:rPr>
              <w:t>: Barbados (britânica), Jamaica (britânica), Santo Domingo (francesa), Virginia (britânica), Cuba (espanhola), Brasil (portuguesa).</w:t>
            </w:r>
          </w:p>
        </w:tc>
      </w:tr>
      <w:tr w:rsidR="00F17B19" w:rsidRPr="00F17B19" w14:paraId="1D97FA33" w14:textId="77777777" w:rsidTr="00AD6BAA">
        <w:trPr>
          <w:trHeight w:val="1156"/>
        </w:trPr>
        <w:tc>
          <w:tcPr>
            <w:tcW w:w="0" w:type="auto"/>
            <w:vMerge w:val="restart"/>
          </w:tcPr>
          <w:p w14:paraId="63E5EC16"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VARIANTES</w:t>
            </w:r>
          </w:p>
        </w:tc>
        <w:tc>
          <w:tcPr>
            <w:tcW w:w="0" w:type="auto"/>
            <w:vMerge w:val="restart"/>
          </w:tcPr>
          <w:p w14:paraId="069EF88A"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Hispânico-americana: a imigração europeia leva a uma sociedade urbana mista com uma minoria crioula dominante.</w:t>
            </w:r>
          </w:p>
        </w:tc>
        <w:tc>
          <w:tcPr>
            <w:tcW w:w="0" w:type="auto"/>
            <w:vMerge w:val="restart"/>
          </w:tcPr>
          <w:p w14:paraId="1BB172DE"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tcPr>
          <w:p w14:paraId="019072F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A – Tipo </w:t>
            </w:r>
            <w:r w:rsidRPr="00F17B19">
              <w:rPr>
                <w:rFonts w:ascii="Times New Roman" w:eastAsia="Calibri" w:hAnsi="Times New Roman" w:cs="Times New Roman"/>
                <w:b/>
                <w:bCs/>
                <w:sz w:val="20"/>
                <w:szCs w:val="20"/>
                <w:lang w:eastAsia="pt-BR"/>
              </w:rPr>
              <w:t>Neoinglês</w:t>
            </w:r>
            <w:r w:rsidRPr="00F17B19">
              <w:rPr>
                <w:rFonts w:ascii="Times New Roman" w:eastAsia="Calibri" w:hAnsi="Times New Roman" w:cs="Times New Roman"/>
                <w:sz w:val="20"/>
                <w:szCs w:val="20"/>
                <w:lang w:eastAsia="pt-BR"/>
              </w:rPr>
              <w:t>: deslocamento e destruição parcial da população indígena economicamente dispensável;</w:t>
            </w:r>
          </w:p>
        </w:tc>
      </w:tr>
      <w:tr w:rsidR="00F17B19" w:rsidRPr="00F17B19" w14:paraId="3BE8CC32" w14:textId="77777777" w:rsidTr="00AD6BAA">
        <w:trPr>
          <w:trHeight w:val="704"/>
        </w:trPr>
        <w:tc>
          <w:tcPr>
            <w:tcW w:w="0" w:type="auto"/>
            <w:vMerge/>
          </w:tcPr>
          <w:p w14:paraId="6A664966"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vMerge/>
          </w:tcPr>
          <w:p w14:paraId="711AAF59"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vMerge/>
          </w:tcPr>
          <w:p w14:paraId="27C5D109"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tcPr>
          <w:p w14:paraId="6AF108BB"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B – Tipo </w:t>
            </w:r>
            <w:r w:rsidRPr="00F17B19">
              <w:rPr>
                <w:rFonts w:ascii="Times New Roman" w:eastAsia="Calibri" w:hAnsi="Times New Roman" w:cs="Times New Roman"/>
                <w:b/>
                <w:bCs/>
                <w:sz w:val="20"/>
                <w:szCs w:val="20"/>
                <w:lang w:eastAsia="pt-BR"/>
              </w:rPr>
              <w:t>Africano</w:t>
            </w:r>
            <w:r w:rsidRPr="00F17B19">
              <w:rPr>
                <w:rFonts w:ascii="Times New Roman" w:eastAsia="Calibri" w:hAnsi="Times New Roman" w:cs="Times New Roman"/>
                <w:sz w:val="20"/>
                <w:szCs w:val="20"/>
                <w:lang w:eastAsia="pt-BR"/>
              </w:rPr>
              <w:t>: dependência econômica da mão-de-obra nativa;</w:t>
            </w:r>
          </w:p>
        </w:tc>
      </w:tr>
      <w:tr w:rsidR="00F17B19" w:rsidRPr="00F17B19" w14:paraId="6E863D75" w14:textId="77777777" w:rsidTr="00AD6BAA">
        <w:trPr>
          <w:trHeight w:val="700"/>
        </w:trPr>
        <w:tc>
          <w:tcPr>
            <w:tcW w:w="0" w:type="auto"/>
            <w:vMerge/>
          </w:tcPr>
          <w:p w14:paraId="6CEE611E"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vMerge/>
          </w:tcPr>
          <w:p w14:paraId="1010BCA1"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vMerge/>
          </w:tcPr>
          <w:p w14:paraId="6D21225C"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0" w:type="auto"/>
          </w:tcPr>
          <w:p w14:paraId="2B301444"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C – Tipo </w:t>
            </w:r>
            <w:r w:rsidRPr="00F17B19">
              <w:rPr>
                <w:rFonts w:ascii="Times New Roman" w:eastAsia="Calibri" w:hAnsi="Times New Roman" w:cs="Times New Roman"/>
                <w:b/>
                <w:bCs/>
                <w:sz w:val="20"/>
                <w:szCs w:val="20"/>
                <w:lang w:eastAsia="pt-BR"/>
              </w:rPr>
              <w:t>Caribenho</w:t>
            </w:r>
            <w:r w:rsidRPr="00F17B19">
              <w:rPr>
                <w:rFonts w:ascii="Times New Roman" w:eastAsia="Calibri" w:hAnsi="Times New Roman" w:cs="Times New Roman"/>
                <w:sz w:val="20"/>
                <w:szCs w:val="20"/>
                <w:lang w:eastAsia="pt-BR"/>
              </w:rPr>
              <w:t>: importação de mão-de-obra escrava estrangeira.</w:t>
            </w:r>
          </w:p>
        </w:tc>
      </w:tr>
    </w:tbl>
    <w:p w14:paraId="2EF099A8"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Fonte: Adaptado pelo autor a partir de Osterhammel e Jansen (2019, p. 18-20).</w:t>
      </w:r>
    </w:p>
    <w:p w14:paraId="5F438816" w14:textId="77777777" w:rsidR="00F17B19" w:rsidRPr="00F17B19" w:rsidRDefault="00F17B19" w:rsidP="00F17B19">
      <w:pPr>
        <w:spacing w:after="0" w:line="360" w:lineRule="auto"/>
        <w:ind w:firstLine="709"/>
        <w:jc w:val="both"/>
        <w:rPr>
          <w:rFonts w:ascii="Calibri" w:eastAsia="Calibri" w:hAnsi="Calibri" w:cs="Calibri"/>
          <w:lang w:eastAsia="pt-BR"/>
        </w:rPr>
      </w:pPr>
      <w:r w:rsidRPr="00F17B19">
        <w:rPr>
          <w:rFonts w:ascii="Times New Roman" w:eastAsia="Calibri" w:hAnsi="Times New Roman" w:cs="Times New Roman"/>
          <w:sz w:val="24"/>
          <w:szCs w:val="24"/>
          <w:lang w:eastAsia="pt-BR"/>
        </w:rPr>
        <w:t>Com base nas construções feitas anteriormente Osterhammel e Jansen (2019) dialogam com o historiador africano Philip Curtin (1974) que fala muito genericamente sobre o que viria a ser o colonialismo, na concepção de Curtin o colonialismo consiste na “dominação por um povo de outra cultura”. Na opinião de Osterhammel e Jansen (2019, p. 22) a formulação contém dois elementos cruciais, “dominação” e “cultura estrangeira”, mas precisa ser mais especificada. No entendimento dos autores nem todo domínio de estrangeiros foi entendido pelos que estiveram sujeitos a ele como ilegítimo e questionável. Além disso os autores propõem que a fórmula básica de Curtin (1974) precisa ser suplementada com três componentes:</w:t>
      </w:r>
    </w:p>
    <w:p w14:paraId="3CC8ADD3" w14:textId="77777777" w:rsidR="00F17B19" w:rsidRPr="00F17B19" w:rsidRDefault="00F17B19" w:rsidP="00F17B19">
      <w:pPr>
        <w:keepNext/>
        <w:spacing w:after="120" w:line="240" w:lineRule="auto"/>
        <w:jc w:val="center"/>
        <w:rPr>
          <w:rFonts w:ascii="Times New Roman" w:eastAsia="Calibri" w:hAnsi="Times New Roman" w:cs="Calibri"/>
          <w:iCs/>
          <w:color w:val="000000"/>
          <w:sz w:val="24"/>
          <w:szCs w:val="18"/>
          <w:lang w:eastAsia="pt-BR"/>
        </w:rPr>
      </w:pPr>
      <w:bookmarkStart w:id="13" w:name="_Toc95773339"/>
      <w:r w:rsidRPr="00F17B19">
        <w:rPr>
          <w:rFonts w:ascii="Times New Roman" w:eastAsia="Calibri" w:hAnsi="Times New Roman" w:cs="Calibri"/>
          <w:iCs/>
          <w:color w:val="000000"/>
          <w:sz w:val="24"/>
          <w:szCs w:val="18"/>
          <w:lang w:eastAsia="pt-BR"/>
        </w:rPr>
        <w:t xml:space="preserve">Quadro </w:t>
      </w:r>
      <w:r w:rsidRPr="00F17B19">
        <w:rPr>
          <w:rFonts w:ascii="Times New Roman" w:eastAsia="Calibri" w:hAnsi="Times New Roman" w:cs="Calibri"/>
          <w:iCs/>
          <w:color w:val="000000"/>
          <w:sz w:val="24"/>
          <w:szCs w:val="18"/>
          <w:lang w:eastAsia="pt-BR"/>
        </w:rPr>
        <w:fldChar w:fldCharType="begin"/>
      </w:r>
      <w:r w:rsidRPr="00F17B19">
        <w:rPr>
          <w:rFonts w:ascii="Times New Roman" w:eastAsia="Calibri" w:hAnsi="Times New Roman" w:cs="Calibri"/>
          <w:iCs/>
          <w:color w:val="000000"/>
          <w:sz w:val="24"/>
          <w:szCs w:val="18"/>
          <w:lang w:eastAsia="pt-BR"/>
        </w:rPr>
        <w:instrText xml:space="preserve"> SEQ Quadro \* ARABIC </w:instrText>
      </w:r>
      <w:r w:rsidRPr="00F17B19">
        <w:rPr>
          <w:rFonts w:ascii="Times New Roman" w:eastAsia="Calibri" w:hAnsi="Times New Roman" w:cs="Calibri"/>
          <w:iCs/>
          <w:color w:val="000000"/>
          <w:sz w:val="24"/>
          <w:szCs w:val="18"/>
          <w:lang w:eastAsia="pt-BR"/>
        </w:rPr>
        <w:fldChar w:fldCharType="separate"/>
      </w:r>
      <w:r w:rsidRPr="00F17B19">
        <w:rPr>
          <w:rFonts w:ascii="Times New Roman" w:eastAsia="Calibri" w:hAnsi="Times New Roman" w:cs="Calibri"/>
          <w:iCs/>
          <w:noProof/>
          <w:color w:val="000000"/>
          <w:sz w:val="24"/>
          <w:szCs w:val="18"/>
          <w:lang w:eastAsia="pt-BR"/>
        </w:rPr>
        <w:t>2</w:t>
      </w:r>
      <w:r w:rsidRPr="00F17B19">
        <w:rPr>
          <w:rFonts w:ascii="Times New Roman" w:eastAsia="Calibri" w:hAnsi="Times New Roman" w:cs="Calibri"/>
          <w:iCs/>
          <w:noProof/>
          <w:color w:val="000000"/>
          <w:sz w:val="24"/>
          <w:szCs w:val="18"/>
          <w:lang w:eastAsia="pt-BR"/>
        </w:rPr>
        <w:fldChar w:fldCharType="end"/>
      </w:r>
      <w:r w:rsidRPr="00F17B19">
        <w:rPr>
          <w:rFonts w:ascii="Times New Roman" w:eastAsia="Calibri" w:hAnsi="Times New Roman" w:cs="Calibri"/>
          <w:iCs/>
          <w:color w:val="000000"/>
          <w:sz w:val="24"/>
          <w:szCs w:val="18"/>
          <w:lang w:eastAsia="pt-BR"/>
        </w:rPr>
        <w:t xml:space="preserve"> - Componentes caracterizadores do colonialismo</w:t>
      </w:r>
      <w:bookmarkEnd w:id="13"/>
    </w:p>
    <w:tbl>
      <w:tblPr>
        <w:tblStyle w:val="Tabelacomgrade"/>
        <w:tblW w:w="0" w:type="auto"/>
        <w:tblLook w:val="04A0" w:firstRow="1" w:lastRow="0" w:firstColumn="1" w:lastColumn="0" w:noHBand="0" w:noVBand="1"/>
      </w:tblPr>
      <w:tblGrid>
        <w:gridCol w:w="3020"/>
        <w:gridCol w:w="3020"/>
        <w:gridCol w:w="3021"/>
      </w:tblGrid>
      <w:tr w:rsidR="00F17B19" w:rsidRPr="00F17B19" w14:paraId="1C880728" w14:textId="77777777" w:rsidTr="00AD6BAA">
        <w:tc>
          <w:tcPr>
            <w:tcW w:w="3020" w:type="dxa"/>
          </w:tcPr>
          <w:p w14:paraId="79C15ED3" w14:textId="77777777" w:rsidR="00F17B19" w:rsidRPr="00F17B19" w:rsidRDefault="00F17B19" w:rsidP="00F17B19">
            <w:pPr>
              <w:spacing w:after="200" w:line="276" w:lineRule="auto"/>
              <w:jc w:val="center"/>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ROUBO</w:t>
            </w:r>
          </w:p>
        </w:tc>
        <w:tc>
          <w:tcPr>
            <w:tcW w:w="3020" w:type="dxa"/>
          </w:tcPr>
          <w:p w14:paraId="0A5FC96E" w14:textId="77777777" w:rsidR="00F17B19" w:rsidRPr="00F17B19" w:rsidRDefault="00F17B19" w:rsidP="00F17B19">
            <w:pPr>
              <w:spacing w:after="200" w:line="276" w:lineRule="auto"/>
              <w:jc w:val="center"/>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HIERARQUIA RACIAL</w:t>
            </w:r>
          </w:p>
        </w:tc>
        <w:tc>
          <w:tcPr>
            <w:tcW w:w="3021" w:type="dxa"/>
          </w:tcPr>
          <w:p w14:paraId="17BF2F58" w14:textId="77777777" w:rsidR="00F17B19" w:rsidRPr="00F17B19" w:rsidRDefault="00F17B19" w:rsidP="00F17B19">
            <w:pPr>
              <w:spacing w:after="200" w:line="276" w:lineRule="auto"/>
              <w:jc w:val="center"/>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PROGRAMA IDEOLÓGICO</w:t>
            </w:r>
          </w:p>
        </w:tc>
      </w:tr>
      <w:tr w:rsidR="00F17B19" w:rsidRPr="00F17B19" w14:paraId="05A9DB91" w14:textId="77777777" w:rsidTr="00AD6BAA">
        <w:tc>
          <w:tcPr>
            <w:tcW w:w="3020" w:type="dxa"/>
          </w:tcPr>
          <w:p w14:paraId="2987483F"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O colonialismo não é qualquer relação entre senhores e servos, mas uma relação em que toda a sociedade é </w:t>
            </w:r>
            <w:r w:rsidRPr="00F17B19">
              <w:rPr>
                <w:rFonts w:ascii="Times New Roman" w:eastAsia="Calibri" w:hAnsi="Times New Roman" w:cs="Times New Roman"/>
                <w:b/>
                <w:bCs/>
                <w:i/>
                <w:iCs/>
                <w:sz w:val="20"/>
                <w:szCs w:val="20"/>
                <w:lang w:eastAsia="pt-BR"/>
              </w:rPr>
              <w:t>roubada, externamente controlada</w:t>
            </w:r>
            <w:r w:rsidRPr="00F17B19">
              <w:rPr>
                <w:rFonts w:ascii="Times New Roman" w:eastAsia="Calibri" w:hAnsi="Times New Roman" w:cs="Times New Roman"/>
                <w:sz w:val="20"/>
                <w:szCs w:val="20"/>
                <w:lang w:eastAsia="pt-BR"/>
              </w:rPr>
              <w:t xml:space="preserve"> e </w:t>
            </w:r>
            <w:r w:rsidRPr="00F17B19">
              <w:rPr>
                <w:rFonts w:ascii="Times New Roman" w:eastAsia="Calibri" w:hAnsi="Times New Roman" w:cs="Times New Roman"/>
                <w:b/>
                <w:bCs/>
                <w:i/>
                <w:iCs/>
                <w:sz w:val="20"/>
                <w:szCs w:val="20"/>
                <w:lang w:eastAsia="pt-BR"/>
              </w:rPr>
              <w:t>perturbada</w:t>
            </w:r>
            <w:r w:rsidRPr="00F17B19">
              <w:rPr>
                <w:rFonts w:ascii="Times New Roman" w:eastAsia="Calibri" w:hAnsi="Times New Roman" w:cs="Times New Roman"/>
                <w:sz w:val="20"/>
                <w:szCs w:val="20"/>
                <w:lang w:eastAsia="pt-BR"/>
              </w:rPr>
              <w:t xml:space="preserve"> em seu próprio desenvolvimento, em benefício das necessidades e interesses – econômicos – dos senhores coloniais. Os governos coloniais raramente teriam alcançado um objetivo tão ambicioso na prática, muitas vezes não tinham os meios para fazê-lo, é de segunda ordem em termos de adequação teórica do conceito. O colonialismo moderno se baseia na vontade de colocar as sociedades “periféricas” a serviço das “metrópoles”.</w:t>
            </w:r>
          </w:p>
        </w:tc>
        <w:tc>
          <w:tcPr>
            <w:tcW w:w="3020" w:type="dxa"/>
          </w:tcPr>
          <w:p w14:paraId="45EB7400"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O tipo de </w:t>
            </w:r>
            <w:r w:rsidRPr="00F17B19">
              <w:rPr>
                <w:rFonts w:ascii="Times New Roman" w:eastAsia="Calibri" w:hAnsi="Times New Roman" w:cs="Times New Roman"/>
                <w:b/>
                <w:bCs/>
                <w:i/>
                <w:iCs/>
                <w:sz w:val="20"/>
                <w:szCs w:val="20"/>
                <w:lang w:eastAsia="pt-BR"/>
              </w:rPr>
              <w:t>estranheza (extranjeridad)</w:t>
            </w:r>
            <w:r w:rsidRPr="00F17B19">
              <w:rPr>
                <w:rFonts w:ascii="Times New Roman" w:eastAsia="Calibri" w:hAnsi="Times New Roman" w:cs="Times New Roman"/>
                <w:sz w:val="20"/>
                <w:szCs w:val="20"/>
                <w:lang w:eastAsia="pt-BR"/>
              </w:rPr>
              <w:t xml:space="preserve"> entre colonizadores e colonizados é de grande importância. Esta é uma característica do colonialismo moderno a rara relutância dos novos senhores, historicamente, em tratar as sociedades subjugadas com deferência cultural. A expansão europeia nunca produziu uma síntese cultural “helenística”. Dos colonizados se esperava e pretendia uma </w:t>
            </w:r>
            <w:r w:rsidRPr="00F17B19">
              <w:rPr>
                <w:rFonts w:ascii="Times New Roman" w:eastAsia="Calibri" w:hAnsi="Times New Roman" w:cs="Times New Roman"/>
                <w:b/>
                <w:bCs/>
                <w:i/>
                <w:iCs/>
                <w:sz w:val="20"/>
                <w:szCs w:val="20"/>
                <w:lang w:eastAsia="pt-BR"/>
              </w:rPr>
              <w:t>aculturação</w:t>
            </w:r>
            <w:r w:rsidRPr="00F17B19">
              <w:rPr>
                <w:rFonts w:ascii="Times New Roman" w:eastAsia="Calibri" w:hAnsi="Times New Roman" w:cs="Times New Roman"/>
                <w:sz w:val="20"/>
                <w:szCs w:val="20"/>
                <w:lang w:eastAsia="pt-BR"/>
              </w:rPr>
              <w:t xml:space="preserve"> extensiva e uma conversão aos valores práticos e hábitos da Europa; raramente houve uma contra-aculturação significativa do colonizador por meio de sua aquisição e incorporação de elementos das civilizações dominadas. No século XIX, a impossibilidade de tais abordagens baseava-se na existência de </w:t>
            </w:r>
            <w:r w:rsidRPr="00F17B19">
              <w:rPr>
                <w:rFonts w:ascii="Times New Roman" w:eastAsia="Calibri" w:hAnsi="Times New Roman" w:cs="Times New Roman"/>
                <w:b/>
                <w:bCs/>
                <w:i/>
                <w:iCs/>
                <w:sz w:val="20"/>
                <w:szCs w:val="20"/>
                <w:lang w:eastAsia="pt-BR"/>
              </w:rPr>
              <w:t>hierarquias “raciais”</w:t>
            </w:r>
            <w:r w:rsidRPr="00F17B19">
              <w:rPr>
                <w:rFonts w:ascii="Times New Roman" w:eastAsia="Calibri" w:hAnsi="Times New Roman" w:cs="Times New Roman"/>
                <w:sz w:val="20"/>
                <w:szCs w:val="20"/>
                <w:lang w:eastAsia="pt-BR"/>
              </w:rPr>
              <w:t xml:space="preserve"> supostamente intransponíveis. </w:t>
            </w:r>
            <w:r w:rsidRPr="00F17B19">
              <w:rPr>
                <w:rFonts w:ascii="Times New Roman" w:eastAsia="Calibri" w:hAnsi="Times New Roman" w:cs="Times New Roman"/>
                <w:sz w:val="20"/>
                <w:szCs w:val="20"/>
                <w:lang w:eastAsia="pt-BR"/>
              </w:rPr>
              <w:lastRenderedPageBreak/>
              <w:t>Uma definição de colonialismo deve levar em conta a falta de adaptabilidade dos senhores coloniais.</w:t>
            </w:r>
          </w:p>
          <w:p w14:paraId="74CDF90A"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c>
          <w:tcPr>
            <w:tcW w:w="3021" w:type="dxa"/>
          </w:tcPr>
          <w:p w14:paraId="1CD7FB0F"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 xml:space="preserve">O colonialismo moderno não é apenas uma relação de dominação que pode ser descrita como </w:t>
            </w:r>
            <w:r w:rsidRPr="00F17B19">
              <w:rPr>
                <w:rFonts w:ascii="Times New Roman" w:eastAsia="Calibri" w:hAnsi="Times New Roman" w:cs="Times New Roman"/>
                <w:b/>
                <w:bCs/>
                <w:i/>
                <w:iCs/>
                <w:sz w:val="20"/>
                <w:szCs w:val="20"/>
                <w:lang w:eastAsia="pt-BR"/>
              </w:rPr>
              <w:t>“estrutural e histórica”</w:t>
            </w:r>
            <w:r w:rsidRPr="00F17B19">
              <w:rPr>
                <w:rFonts w:ascii="Times New Roman" w:eastAsia="Calibri" w:hAnsi="Times New Roman" w:cs="Times New Roman"/>
                <w:sz w:val="20"/>
                <w:szCs w:val="20"/>
                <w:lang w:eastAsia="pt-BR"/>
              </w:rPr>
              <w:t xml:space="preserve">, mas, ao mesmo tempo, uma </w:t>
            </w:r>
            <w:r w:rsidRPr="00F17B19">
              <w:rPr>
                <w:rFonts w:ascii="Times New Roman" w:eastAsia="Calibri" w:hAnsi="Times New Roman" w:cs="Times New Roman"/>
                <w:b/>
                <w:bCs/>
                <w:i/>
                <w:iCs/>
                <w:sz w:val="20"/>
                <w:szCs w:val="20"/>
                <w:lang w:eastAsia="pt-BR"/>
              </w:rPr>
              <w:t>interpretação</w:t>
            </w:r>
            <w:r w:rsidRPr="00F17B19">
              <w:rPr>
                <w:rFonts w:ascii="Times New Roman" w:eastAsia="Calibri" w:hAnsi="Times New Roman" w:cs="Times New Roman"/>
                <w:sz w:val="20"/>
                <w:szCs w:val="20"/>
                <w:lang w:eastAsia="pt-BR"/>
              </w:rPr>
              <w:t xml:space="preserve"> especial </w:t>
            </w:r>
            <w:r w:rsidRPr="00F17B19">
              <w:rPr>
                <w:rFonts w:ascii="Times New Roman" w:eastAsia="Calibri" w:hAnsi="Times New Roman" w:cs="Times New Roman"/>
                <w:b/>
                <w:bCs/>
                <w:i/>
                <w:iCs/>
                <w:sz w:val="20"/>
                <w:szCs w:val="20"/>
                <w:lang w:eastAsia="pt-BR"/>
              </w:rPr>
              <w:t>dessa relação</w:t>
            </w:r>
            <w:r w:rsidRPr="00F17B19">
              <w:rPr>
                <w:rFonts w:ascii="Times New Roman" w:eastAsia="Calibri" w:hAnsi="Times New Roman" w:cs="Times New Roman"/>
                <w:sz w:val="20"/>
                <w:szCs w:val="20"/>
                <w:lang w:eastAsia="pt-BR"/>
              </w:rPr>
              <w:t xml:space="preserve">. Em sua essência, há uma atitude específica da consciência; inclusive já foi dito que é acionado por um </w:t>
            </w:r>
            <w:r w:rsidRPr="00F17B19">
              <w:rPr>
                <w:rFonts w:ascii="Times New Roman" w:eastAsia="Calibri" w:hAnsi="Times New Roman" w:cs="Times New Roman"/>
                <w:b/>
                <w:bCs/>
                <w:i/>
                <w:iCs/>
                <w:sz w:val="20"/>
                <w:szCs w:val="20"/>
                <w:lang w:eastAsia="pt-BR"/>
              </w:rPr>
              <w:t>“programa ideológico”</w:t>
            </w:r>
            <w:r w:rsidRPr="00F17B19">
              <w:rPr>
                <w:rFonts w:ascii="Times New Roman" w:eastAsia="Calibri" w:hAnsi="Times New Roman" w:cs="Times New Roman"/>
                <w:sz w:val="20"/>
                <w:szCs w:val="20"/>
                <w:lang w:eastAsia="pt-BR"/>
              </w:rPr>
              <w:t xml:space="preserve">. Dos teóricos coloniais ibéricos e ingleses do século XVI, a expansão europeia foi grandemente apresentada como o cumprimento de uma missão universal; como uma contribuição para um plano divino a ser executado entre os pagãos, como um mandato secular para o colonialismo </w:t>
            </w:r>
            <w:r w:rsidRPr="00F17B19">
              <w:rPr>
                <w:rFonts w:ascii="Times New Roman" w:eastAsia="Calibri" w:hAnsi="Times New Roman" w:cs="Times New Roman"/>
                <w:b/>
                <w:bCs/>
                <w:i/>
                <w:iCs/>
                <w:sz w:val="20"/>
                <w:szCs w:val="20"/>
                <w:lang w:eastAsia="pt-BR"/>
              </w:rPr>
              <w:t>“civilizar” os “bárbaros” ou “selvagens”, como um “fardo privilegiado do homem branco”</w:t>
            </w:r>
            <w:r w:rsidRPr="00F17B19">
              <w:rPr>
                <w:rFonts w:ascii="Times New Roman" w:eastAsia="Calibri" w:hAnsi="Times New Roman" w:cs="Times New Roman"/>
                <w:sz w:val="20"/>
                <w:szCs w:val="20"/>
                <w:lang w:eastAsia="pt-BR"/>
              </w:rPr>
              <w:t xml:space="preserve">. Ele sempre apresentou como razão a convicção de sua própria superioridade cultural. </w:t>
            </w:r>
          </w:p>
          <w:p w14:paraId="24C71CD5"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p>
        </w:tc>
      </w:tr>
    </w:tbl>
    <w:p w14:paraId="60590864" w14:textId="77777777" w:rsidR="00F17B19" w:rsidRPr="00F17B19" w:rsidRDefault="00F17B19" w:rsidP="00F17B19">
      <w:pPr>
        <w:spacing w:after="0" w:line="360" w:lineRule="auto"/>
        <w:jc w:val="both"/>
        <w:rPr>
          <w:rFonts w:ascii="Times New Roman" w:eastAsia="Calibri" w:hAnsi="Times New Roman" w:cs="Times New Roman"/>
          <w:noProof/>
          <w:sz w:val="20"/>
          <w:szCs w:val="20"/>
          <w:lang w:eastAsia="pt-BR"/>
        </w:rPr>
      </w:pPr>
      <w:r w:rsidRPr="00F17B19">
        <w:rPr>
          <w:rFonts w:ascii="Times New Roman" w:eastAsia="Calibri" w:hAnsi="Times New Roman" w:cs="Times New Roman"/>
          <w:noProof/>
          <w:sz w:val="20"/>
          <w:szCs w:val="20"/>
          <w:lang w:eastAsia="pt-BR"/>
        </w:rPr>
        <w:lastRenderedPageBreak/>
        <w:t>Fonte: Adaptado pelo autor a partir de Osterhammel e Jansen (2019, p. 22-23).</w:t>
      </w:r>
    </w:p>
    <w:p w14:paraId="52A3BF71"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p>
    <w:p w14:paraId="6EF42718" w14:textId="77777777" w:rsidR="00F17B19" w:rsidRPr="00F17B19" w:rsidRDefault="00F17B19" w:rsidP="00F17B19">
      <w:pPr>
        <w:spacing w:after="0" w:line="360" w:lineRule="auto"/>
        <w:ind w:firstLine="709"/>
        <w:jc w:val="both"/>
        <w:rPr>
          <w:rFonts w:ascii="Times New Roman" w:eastAsia="Calibri" w:hAnsi="Times New Roman" w:cs="Times New Roman"/>
          <w:color w:val="FF0000"/>
          <w:sz w:val="24"/>
          <w:szCs w:val="24"/>
          <w:lang w:eastAsia="pt-BR"/>
        </w:rPr>
      </w:pPr>
      <w:r w:rsidRPr="00F17B19">
        <w:rPr>
          <w:rFonts w:ascii="Times New Roman" w:eastAsia="Calibri" w:hAnsi="Times New Roman" w:cs="Times New Roman"/>
          <w:sz w:val="24"/>
          <w:szCs w:val="24"/>
          <w:lang w:eastAsia="pt-BR"/>
        </w:rPr>
        <w:t xml:space="preserve">Com base nesses pressupostos os autores definem que, </w:t>
      </w:r>
    </w:p>
    <w:p w14:paraId="278CA3C7" w14:textId="77777777" w:rsidR="00F17B19" w:rsidRPr="00F17B19" w:rsidRDefault="00F17B19" w:rsidP="00F17B19">
      <w:pPr>
        <w:spacing w:before="120" w:after="120" w:line="240" w:lineRule="auto"/>
        <w:ind w:left="2268"/>
        <w:jc w:val="both"/>
        <w:rPr>
          <w:rFonts w:ascii="Times New Roman" w:eastAsia="Calibri" w:hAnsi="Times New Roman" w:cs="Times New Roman"/>
          <w:color w:val="FF0000"/>
          <w:sz w:val="20"/>
          <w:szCs w:val="20"/>
          <w:lang w:val="es-CR" w:eastAsia="pt-BR"/>
        </w:rPr>
      </w:pPr>
      <w:r w:rsidRPr="00F17B19">
        <w:rPr>
          <w:rFonts w:ascii="Times New Roman" w:eastAsia="Calibri" w:hAnsi="Times New Roman" w:cs="Times New Roman"/>
          <w:i/>
          <w:iCs/>
          <w:sz w:val="20"/>
          <w:szCs w:val="20"/>
          <w:lang w:val="es-CR" w:eastAsia="pt-BR"/>
        </w:rPr>
        <w:t>El colonialismo es una relación de dominio entre colectivos, en la que las decisiones fundamentales sobre la forma de vida de los colonizados son tomadas y hechas cumplir por una minoría cultural diferente y poco dispuesta a la conciliación de amos coloniales que dan prioridad a sus intereses externos. Esto se vincula usualmente em los tiempos modernos con doctrinas justificativas ideológicas del tipo misionero, que se basan en la convicción de los amos coloniales de su propia superioridad cultural</w:t>
      </w:r>
      <w:r w:rsidRPr="00F17B19">
        <w:rPr>
          <w:rFonts w:ascii="Times New Roman" w:eastAsia="Calibri" w:hAnsi="Times New Roman" w:cs="Times New Roman"/>
          <w:sz w:val="20"/>
          <w:szCs w:val="20"/>
          <w:vertAlign w:val="superscript"/>
          <w:lang w:eastAsia="pt-BR"/>
        </w:rPr>
        <w:footnoteReference w:id="2"/>
      </w:r>
      <w:r w:rsidRPr="00F17B19">
        <w:rPr>
          <w:rFonts w:ascii="Times New Roman" w:eastAsia="Calibri" w:hAnsi="Times New Roman" w:cs="Times New Roman"/>
          <w:sz w:val="20"/>
          <w:szCs w:val="20"/>
          <w:lang w:val="es-CR" w:eastAsia="pt-BR"/>
        </w:rPr>
        <w:t xml:space="preserve"> (OSTERHAMMEL; JANSEN, 2019, p. 24).</w:t>
      </w:r>
    </w:p>
    <w:p w14:paraId="5973DE09"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Embora a definição construída por Osterhammel e Jansen (2019) leve em consideração alguns dos elementos que eles consideram importantes para compreender o processo, “dominação”, “cultura estrangeira”, “hierarquia racial” e o “programa ideológico de superioridade cultural”, deixa de incluir o roubo e a espoliação dos territórios colonizados, deixando claro o seu lugar de análise, um lugar de colonizador, que reconhece a influência do colonialismo, mas que do nosso ponto de vista, tenta ameniza-lo. </w:t>
      </w:r>
    </w:p>
    <w:p w14:paraId="4D19E9D1"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De nossa parte entendemos o colonialismo a partir do entendimento construído por Rufino (2021, p. 11), como “um evento que primeiramente opera no ataque aos seres, produzindo assassinatos, encarceramentos, estupro, humilhação, subordinação, esquecimento e desvio existencial. Esses ataques vão desde os limites do corpo físico até as mais profundas e sensíveis camadas da existência”.  A partir desse entendimento o autor prossegue circunscrevendo a colonização como sendo “uma grande engenharia de destruição de existências e corpos e de produção de um mundo monológico, adoecido pela ganância, escasso de beleza e poesia” (Idem). </w:t>
      </w:r>
    </w:p>
    <w:p w14:paraId="762BDC00" w14:textId="77777777" w:rsidR="00F17B19" w:rsidRPr="00F17B19" w:rsidRDefault="00F17B19" w:rsidP="00F17B19">
      <w:pPr>
        <w:spacing w:after="0" w:line="360" w:lineRule="auto"/>
        <w:ind w:firstLine="709"/>
        <w:jc w:val="both"/>
        <w:rPr>
          <w:rFonts w:ascii="Calibri" w:eastAsia="Calibri" w:hAnsi="Calibri" w:cs="Times New Roman"/>
          <w:i/>
          <w:iCs/>
          <w:szCs w:val="24"/>
          <w:lang w:eastAsia="pt-BR"/>
        </w:rPr>
      </w:pPr>
      <w:r w:rsidRPr="00F17B19">
        <w:rPr>
          <w:rFonts w:ascii="Times New Roman" w:eastAsia="Calibri" w:hAnsi="Times New Roman" w:cs="Times New Roman"/>
          <w:sz w:val="24"/>
          <w:szCs w:val="24"/>
          <w:lang w:eastAsia="pt-BR"/>
        </w:rPr>
        <w:lastRenderedPageBreak/>
        <w:t xml:space="preserve">Entre as armas que o colonialismo utiliza para nos atacar, estão os diferentes tipos de Colonialidade, Fleuri </w:t>
      </w:r>
      <w:r w:rsidRPr="00F17B19">
        <w:rPr>
          <w:rFonts w:ascii="Times New Roman" w:eastAsia="Calibri" w:hAnsi="Times New Roman" w:cs="Times New Roman"/>
          <w:i/>
          <w:iCs/>
          <w:sz w:val="24"/>
          <w:szCs w:val="24"/>
          <w:lang w:eastAsia="pt-BR"/>
        </w:rPr>
        <w:t>et al.</w:t>
      </w:r>
      <w:r w:rsidRPr="00F17B19">
        <w:rPr>
          <w:rFonts w:ascii="Times New Roman" w:eastAsia="Calibri" w:hAnsi="Times New Roman" w:cs="Times New Roman"/>
          <w:sz w:val="24"/>
          <w:szCs w:val="24"/>
          <w:lang w:eastAsia="pt-BR"/>
        </w:rPr>
        <w:t xml:space="preserve"> (2009, p. 32) entendem que a Colonialidade “atravessa praticamente todos os aspectos da vida, [...] a partir de quatro eixos entrelaçados”. Refletindo a partir do pensamento de Catherine Walsh os autores constroem:</w:t>
      </w:r>
    </w:p>
    <w:p w14:paraId="0BA3ED7B" w14:textId="77777777" w:rsidR="00F17B19" w:rsidRPr="00F17B19" w:rsidRDefault="00F17B19" w:rsidP="00F17B19">
      <w:pPr>
        <w:keepNext/>
        <w:spacing w:after="120" w:line="240" w:lineRule="auto"/>
        <w:jc w:val="center"/>
        <w:rPr>
          <w:rFonts w:ascii="Times New Roman" w:eastAsia="Calibri" w:hAnsi="Times New Roman" w:cs="Calibri"/>
          <w:iCs/>
          <w:color w:val="000000"/>
          <w:sz w:val="24"/>
          <w:szCs w:val="18"/>
          <w:lang w:eastAsia="pt-BR"/>
        </w:rPr>
      </w:pPr>
      <w:bookmarkStart w:id="14" w:name="_Toc95773340"/>
      <w:r w:rsidRPr="00F17B19">
        <w:rPr>
          <w:rFonts w:ascii="Times New Roman" w:eastAsia="Calibri" w:hAnsi="Times New Roman" w:cs="Calibri"/>
          <w:iCs/>
          <w:color w:val="000000"/>
          <w:sz w:val="24"/>
          <w:szCs w:val="18"/>
          <w:lang w:eastAsia="pt-BR"/>
        </w:rPr>
        <w:t xml:space="preserve">Quadro </w:t>
      </w:r>
      <w:r w:rsidRPr="00F17B19">
        <w:rPr>
          <w:rFonts w:ascii="Times New Roman" w:eastAsia="Calibri" w:hAnsi="Times New Roman" w:cs="Calibri"/>
          <w:iCs/>
          <w:color w:val="000000"/>
          <w:sz w:val="24"/>
          <w:szCs w:val="18"/>
          <w:lang w:eastAsia="pt-BR"/>
        </w:rPr>
        <w:fldChar w:fldCharType="begin"/>
      </w:r>
      <w:r w:rsidRPr="00F17B19">
        <w:rPr>
          <w:rFonts w:ascii="Times New Roman" w:eastAsia="Calibri" w:hAnsi="Times New Roman" w:cs="Calibri"/>
          <w:iCs/>
          <w:color w:val="000000"/>
          <w:sz w:val="24"/>
          <w:szCs w:val="18"/>
          <w:lang w:eastAsia="pt-BR"/>
        </w:rPr>
        <w:instrText xml:space="preserve"> SEQ Quadro \* ARABIC </w:instrText>
      </w:r>
      <w:r w:rsidRPr="00F17B19">
        <w:rPr>
          <w:rFonts w:ascii="Times New Roman" w:eastAsia="Calibri" w:hAnsi="Times New Roman" w:cs="Calibri"/>
          <w:iCs/>
          <w:color w:val="000000"/>
          <w:sz w:val="24"/>
          <w:szCs w:val="18"/>
          <w:lang w:eastAsia="pt-BR"/>
        </w:rPr>
        <w:fldChar w:fldCharType="separate"/>
      </w:r>
      <w:r w:rsidRPr="00F17B19">
        <w:rPr>
          <w:rFonts w:ascii="Times New Roman" w:eastAsia="Calibri" w:hAnsi="Times New Roman" w:cs="Calibri"/>
          <w:iCs/>
          <w:noProof/>
          <w:color w:val="000000"/>
          <w:sz w:val="24"/>
          <w:szCs w:val="18"/>
          <w:lang w:eastAsia="pt-BR"/>
        </w:rPr>
        <w:t>3</w:t>
      </w:r>
      <w:r w:rsidRPr="00F17B19">
        <w:rPr>
          <w:rFonts w:ascii="Times New Roman" w:eastAsia="Calibri" w:hAnsi="Times New Roman" w:cs="Calibri"/>
          <w:iCs/>
          <w:noProof/>
          <w:color w:val="000000"/>
          <w:sz w:val="24"/>
          <w:szCs w:val="18"/>
          <w:lang w:eastAsia="pt-BR"/>
        </w:rPr>
        <w:fldChar w:fldCharType="end"/>
      </w:r>
      <w:r w:rsidRPr="00F17B19">
        <w:rPr>
          <w:rFonts w:ascii="Times New Roman" w:eastAsia="Calibri" w:hAnsi="Times New Roman" w:cs="Calibri"/>
          <w:iCs/>
          <w:color w:val="000000"/>
          <w:sz w:val="24"/>
          <w:szCs w:val="18"/>
          <w:lang w:eastAsia="pt-BR"/>
        </w:rPr>
        <w:t xml:space="preserve"> - Quatro eixos da Colonialidade</w:t>
      </w:r>
      <w:bookmarkEnd w:id="14"/>
    </w:p>
    <w:tbl>
      <w:tblPr>
        <w:tblStyle w:val="Tabelacomgrade"/>
        <w:tblW w:w="0" w:type="auto"/>
        <w:tblLook w:val="04A0" w:firstRow="1" w:lastRow="0" w:firstColumn="1" w:lastColumn="0" w:noHBand="0" w:noVBand="1"/>
      </w:tblPr>
      <w:tblGrid>
        <w:gridCol w:w="2275"/>
        <w:gridCol w:w="2358"/>
        <w:gridCol w:w="1957"/>
        <w:gridCol w:w="2471"/>
      </w:tblGrid>
      <w:tr w:rsidR="00F17B19" w:rsidRPr="00F17B19" w14:paraId="13B6428F" w14:textId="77777777" w:rsidTr="00AD6BAA">
        <w:tc>
          <w:tcPr>
            <w:tcW w:w="0" w:type="auto"/>
          </w:tcPr>
          <w:p w14:paraId="2ADA365E"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Primeiro Eixo: Colonialidade do </w:t>
            </w:r>
            <w:r w:rsidRPr="00F17B19">
              <w:rPr>
                <w:rFonts w:ascii="Times New Roman" w:eastAsia="Calibri" w:hAnsi="Times New Roman" w:cs="Times New Roman"/>
                <w:b/>
                <w:bCs/>
                <w:sz w:val="20"/>
                <w:szCs w:val="20"/>
                <w:lang w:eastAsia="pt-BR"/>
              </w:rPr>
              <w:t>PODER</w:t>
            </w:r>
          </w:p>
        </w:tc>
        <w:tc>
          <w:tcPr>
            <w:tcW w:w="0" w:type="auto"/>
          </w:tcPr>
          <w:p w14:paraId="10646DD9"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Segundo eixo: Colonialidade do </w:t>
            </w:r>
            <w:r w:rsidRPr="00F17B19">
              <w:rPr>
                <w:rFonts w:ascii="Times New Roman" w:eastAsia="Calibri" w:hAnsi="Times New Roman" w:cs="Times New Roman"/>
                <w:b/>
                <w:bCs/>
                <w:sz w:val="20"/>
                <w:szCs w:val="20"/>
                <w:lang w:eastAsia="pt-BR"/>
              </w:rPr>
              <w:t>SABER</w:t>
            </w:r>
          </w:p>
        </w:tc>
        <w:tc>
          <w:tcPr>
            <w:tcW w:w="0" w:type="auto"/>
          </w:tcPr>
          <w:p w14:paraId="77D6CC0F"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Terceiro eixo: Colonialidade do </w:t>
            </w:r>
            <w:r w:rsidRPr="00F17B19">
              <w:rPr>
                <w:rFonts w:ascii="Times New Roman" w:eastAsia="Calibri" w:hAnsi="Times New Roman" w:cs="Times New Roman"/>
                <w:b/>
                <w:bCs/>
                <w:sz w:val="20"/>
                <w:szCs w:val="20"/>
                <w:lang w:eastAsia="pt-BR"/>
              </w:rPr>
              <w:t>SER</w:t>
            </w:r>
          </w:p>
        </w:tc>
        <w:tc>
          <w:tcPr>
            <w:tcW w:w="0" w:type="auto"/>
          </w:tcPr>
          <w:p w14:paraId="065F5E6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Quarto eixo: Colonialidade do </w:t>
            </w:r>
            <w:r w:rsidRPr="00F17B19">
              <w:rPr>
                <w:rFonts w:ascii="Times New Roman" w:eastAsia="Calibri" w:hAnsi="Times New Roman" w:cs="Times New Roman"/>
                <w:b/>
                <w:bCs/>
                <w:sz w:val="20"/>
                <w:szCs w:val="20"/>
                <w:lang w:eastAsia="pt-BR"/>
              </w:rPr>
              <w:t>VIVER</w:t>
            </w:r>
          </w:p>
        </w:tc>
      </w:tr>
      <w:tr w:rsidR="00F17B19" w:rsidRPr="00F17B19" w14:paraId="415D7145" w14:textId="77777777" w:rsidTr="00AD6BAA">
        <w:tc>
          <w:tcPr>
            <w:tcW w:w="0" w:type="auto"/>
          </w:tcPr>
          <w:p w14:paraId="52241BF3"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Estabelecimento de um sistema de classificação social baseado na categoria de “raça”, como critério fundamental para a distribuição, dominação e exploração da população mundial no contexto capitalista-global do trabalho. [...]. É a partir da categoria de raça que se configuram todas as relações de dominação, incluindo as de classe, gênero, sexualidade, geração, limitações físicas e mentais, entre outras.</w:t>
            </w:r>
          </w:p>
        </w:tc>
        <w:tc>
          <w:tcPr>
            <w:tcW w:w="0" w:type="auto"/>
          </w:tcPr>
          <w:p w14:paraId="4E51155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Suposição de que a Europa se constituía como centro de produção do conhecimento descarta a visibilidade de outras racionalidades epistêmicas e de outros conhecimentos que não sejam os dos homens brancos europeus ou europeizados. Esse eixo da colonialidade penetra e organiza os marcos epistemológicos, acadêmicos e disciplinares, induzindo a caracterizar como fundamentalistas, essencialistas e racistas tanto as lógicas desenvolvidas por comunidades ancestrais quanto as novas tentativas desses povos, assim como levando grupos sociais, historicamente subalternizados, a desenvolverem formas próprias e não-coloniais de pensamento.</w:t>
            </w:r>
          </w:p>
        </w:tc>
        <w:tc>
          <w:tcPr>
            <w:tcW w:w="0" w:type="auto"/>
          </w:tcPr>
          <w:p w14:paraId="17AD73B1"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Colonialidade que se exerce por meio da subalternização e desumanização dos sujeitos colonizados. O valor humano e as faculdades cognitivas dessas pessoas são desacreditados pela sua cor e pelas suas raízes ancestrais, que as distanciam da modernidade e da “razão”.</w:t>
            </w:r>
          </w:p>
        </w:tc>
        <w:tc>
          <w:tcPr>
            <w:tcW w:w="0" w:type="auto"/>
          </w:tcPr>
          <w:p w14:paraId="743C1E25"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Com base na divisão binária natureza/sociedade se nega a relação milenar entre mundos bio-físicos, humanos e espirituais, descartando o mágico-espiritual-social que dá sustentação aos sistemas integrais de vida e de conhecimento dos povos ancestrais. Para estes, a natureza é a mãe de todos os seres, é a que confere o sentido ao universo e à vida, tecendo conhecimentos, território e história dentro de um marco cosmológico relacional e complementar de convivência. Desacreditar tal relação com a natureza, tecida pelos povos ancestrais, é a condição que torna possível desconsiderar os modos de ser, de conhecer e de se organizar desses povos e, assim, subalternizá-los e sustentar a matriz racista que constitui a diferença colonial na modernidade.</w:t>
            </w:r>
          </w:p>
        </w:tc>
      </w:tr>
    </w:tbl>
    <w:p w14:paraId="38CF3969"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Fonte: Adaptado pelo autor de Fleuri et al. (2009, p. 32-33).</w:t>
      </w:r>
    </w:p>
    <w:p w14:paraId="00DA46B8"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p>
    <w:p w14:paraId="50D79E97"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Apoiados pelo Quadro 3, podemos então perceber os efeitos das colonialidades do </w:t>
      </w:r>
      <w:r w:rsidRPr="00F17B19">
        <w:rPr>
          <w:rFonts w:ascii="Times New Roman" w:eastAsia="Calibri" w:hAnsi="Times New Roman" w:cs="Times New Roman"/>
          <w:i/>
          <w:iCs/>
          <w:sz w:val="24"/>
          <w:szCs w:val="24"/>
          <w:lang w:eastAsia="pt-BR"/>
        </w:rPr>
        <w:t>poder, saber, ser e viver</w:t>
      </w:r>
      <w:r w:rsidRPr="00F17B19">
        <w:rPr>
          <w:rFonts w:ascii="Times New Roman" w:eastAsia="Calibri" w:hAnsi="Times New Roman" w:cs="Times New Roman"/>
          <w:sz w:val="24"/>
          <w:szCs w:val="24"/>
          <w:lang w:eastAsia="pt-BR"/>
        </w:rPr>
        <w:t xml:space="preserve">, sobre as vivências do povo brasileiro, especialmente daqueles </w:t>
      </w:r>
      <w:r w:rsidRPr="00F17B19">
        <w:rPr>
          <w:rFonts w:ascii="Times New Roman" w:eastAsia="Calibri" w:hAnsi="Times New Roman" w:cs="Times New Roman"/>
          <w:sz w:val="24"/>
          <w:szCs w:val="24"/>
          <w:lang w:eastAsia="pt-BR"/>
        </w:rPr>
        <w:lastRenderedPageBreak/>
        <w:t xml:space="preserve">entendidos como “racializados” e/ou povos que tem sua cosmopercepção alicerçada na ancestralidade - Povos originários da Abia Ayala (Américas) e África. Essas não são as únicas colonialidades, poderíamos pensar outras, como a </w:t>
      </w:r>
      <w:r w:rsidRPr="00F17B19">
        <w:rPr>
          <w:rFonts w:ascii="Times New Roman" w:eastAsia="Calibri" w:hAnsi="Times New Roman" w:cs="Times New Roman"/>
          <w:i/>
          <w:iCs/>
          <w:sz w:val="24"/>
          <w:szCs w:val="24"/>
          <w:lang w:eastAsia="pt-BR"/>
        </w:rPr>
        <w:t>Colonialidade do espaço/território</w:t>
      </w:r>
      <w:r w:rsidRPr="00F17B19">
        <w:rPr>
          <w:rFonts w:ascii="Times New Roman" w:eastAsia="Calibri" w:hAnsi="Times New Roman" w:cs="Times New Roman"/>
          <w:sz w:val="24"/>
          <w:szCs w:val="24"/>
          <w:lang w:eastAsia="pt-BR"/>
        </w:rPr>
        <w:t xml:space="preserve">; para além da Colonialidade do ser, podemos pensar em uma </w:t>
      </w:r>
      <w:r w:rsidRPr="00F17B19">
        <w:rPr>
          <w:rFonts w:ascii="Times New Roman" w:eastAsia="Calibri" w:hAnsi="Times New Roman" w:cs="Times New Roman"/>
          <w:i/>
          <w:iCs/>
          <w:sz w:val="24"/>
          <w:szCs w:val="24"/>
          <w:lang w:eastAsia="pt-BR"/>
        </w:rPr>
        <w:t>Colonialidade do corpo</w:t>
      </w:r>
      <w:r w:rsidRPr="00F17B19">
        <w:rPr>
          <w:rFonts w:ascii="Times New Roman" w:eastAsia="Calibri" w:hAnsi="Times New Roman" w:cs="Times New Roman"/>
          <w:sz w:val="24"/>
          <w:szCs w:val="24"/>
          <w:lang w:eastAsia="pt-BR"/>
        </w:rPr>
        <w:t>, e muitas outras levando-se em consideração as particularidades dos entes que compõem o território e, formas de negação e invisibilização que incidem sobre eles.</w:t>
      </w:r>
      <w:bookmarkStart w:id="15" w:name="_Hlk92634275"/>
      <w:r w:rsidRPr="00F17B19">
        <w:rPr>
          <w:rFonts w:ascii="Times New Roman" w:eastAsia="Calibri" w:hAnsi="Times New Roman" w:cs="Times New Roman"/>
          <w:sz w:val="24"/>
          <w:szCs w:val="24"/>
          <w:lang w:eastAsia="pt-BR"/>
        </w:rPr>
        <w:t xml:space="preserve"> </w:t>
      </w:r>
    </w:p>
    <w:p w14:paraId="7AEBE4F7"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A manutenção da Colonialidade em nosso meio se dá das mais diferentes formas, a principal delas, podemos considerar a cultura esse organismo vivo da/na sociedade moderna. Essa mesma cultura que como veremos mais adiante, tem lugar central na formação de identidades, diversidades e subjetividades. Estas por sua vez moldam a sociedade e a subjetividade coletiva, afirmando e criando um código de conduta não escrito, não verbal, mas repleto de subentendidos, que em muitas das vezes, são discriminatórios, preconceituosos, racistas, machistas, eugenistas, capacitistas, LGBTfóbicos, etc.. Tais praticas acabam por fazer parte de um senso comum, que boa parte da população não sabe de onde veio, ou para o que serve podendo ser entendidas como parte de um contrato social que inscreve a todas, todes e todos. A exemplo daqueles que nunca tiveram a oportunidade de se aparelhar com habilidades e competências necessárias a realizar sua leitura e compreender o seu peso nas relações humanas a que estamos expostos todos os dias.</w:t>
      </w:r>
    </w:p>
    <w:p w14:paraId="46BBC26E"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É esse colonialismo, imposto pela colonização, armado pelas diversas colonialidades que institui a configuração dos territórios oficiais, territórios esses que desde a colonização, por exemplo, tem negado espaço a indígenas por meio de uma política de assassinato, seguida do aldeamento, separando os “selvagens dos civilizados”, fazendo acreditar que os selvagens eram os indígenas. Na sequência foi a vez de mulheres e homens africanos, que tiveram roubada sua pessoalidade, para serem transformados somente em negros, pretos, crioulos – braços e não corpos/vidas humanas - escravos. A história durante muito tempo negou-lhes também a pessoalidade ao mesmo tempo que lhes roubou a história e a identidade - apagando seus nomes originários e dando-lhes nome cristão pelo batismo; sequestrando, estuprando, violentando de diversas formas e, quando o colonizador assim o achasse justo – os matando.</w:t>
      </w:r>
    </w:p>
    <w:p w14:paraId="2C1EC29D"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O único território que contariam para isso seria seu próprio </w:t>
      </w:r>
      <w:r w:rsidRPr="00F17B19">
        <w:rPr>
          <w:rFonts w:ascii="Times New Roman" w:eastAsia="Calibri" w:hAnsi="Times New Roman" w:cs="Times New Roman"/>
          <w:i/>
          <w:iCs/>
          <w:sz w:val="24"/>
          <w:szCs w:val="24"/>
          <w:lang w:eastAsia="pt-BR"/>
        </w:rPr>
        <w:t>corpo-território</w:t>
      </w:r>
      <w:r w:rsidRPr="00F17B19">
        <w:rPr>
          <w:rFonts w:ascii="Times New Roman" w:eastAsia="Calibri" w:hAnsi="Times New Roman" w:cs="Times New Roman"/>
          <w:sz w:val="24"/>
          <w:szCs w:val="24"/>
          <w:lang w:eastAsia="pt-BR"/>
        </w:rPr>
        <w:t xml:space="preserve"> (MIRANDA, 2020), um corpo que partilha com a terra lembranças, memórias de tempos imemoriais, um entendimento de tempo e de vida que ultrapassa o entendimento de tempo </w:t>
      </w:r>
      <w:r w:rsidRPr="00F17B19">
        <w:rPr>
          <w:rFonts w:ascii="Times New Roman" w:eastAsia="Calibri" w:hAnsi="Times New Roman" w:cs="Times New Roman"/>
          <w:sz w:val="24"/>
          <w:szCs w:val="24"/>
          <w:lang w:eastAsia="pt-BR"/>
        </w:rPr>
        <w:lastRenderedPageBreak/>
        <w:t xml:space="preserve">capitalista-moderno imposto pelo colonialismo-moderno-ocidental. Ao se encontrarem esses corpos-território por meio de uma espiritualidade particular própria desenham novas territorialidades, sobrepondo as fronteiras duras das colonialidades, refundando e rearticulando o território reeducando a si próprios e os seus pela conscientização de quem são, e de quem podem vir a ser em devir a partir do respeito a história de seus ancestrais e da própria terra que os acolhe e as futuras gerações. </w:t>
      </w:r>
    </w:p>
    <w:p w14:paraId="331CD3E8"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De forma que a </w:t>
      </w:r>
      <w:r w:rsidRPr="00F17B19">
        <w:rPr>
          <w:rFonts w:ascii="Times New Roman" w:eastAsia="Calibri" w:hAnsi="Times New Roman" w:cs="Times New Roman"/>
          <w:i/>
          <w:iCs/>
          <w:sz w:val="24"/>
          <w:szCs w:val="24"/>
          <w:lang w:eastAsia="pt-BR"/>
        </w:rPr>
        <w:t>coloniescravização,</w:t>
      </w:r>
      <w:r w:rsidRPr="00F17B19">
        <w:rPr>
          <w:rFonts w:ascii="Times New Roman" w:eastAsia="Calibri" w:hAnsi="Times New Roman" w:cs="Times New Roman"/>
          <w:sz w:val="24"/>
          <w:szCs w:val="24"/>
          <w:lang w:eastAsia="pt-BR"/>
        </w:rPr>
        <w:t xml:space="preserve"> que age sobre seus corpos-território e tenta os esmagar diariamente sob os quatro eixos de Colonialidade (</w:t>
      </w:r>
      <w:r w:rsidRPr="00F17B19">
        <w:rPr>
          <w:rFonts w:ascii="Times New Roman" w:eastAsia="Calibri" w:hAnsi="Times New Roman" w:cs="Times New Roman"/>
          <w:i/>
          <w:iCs/>
          <w:sz w:val="24"/>
          <w:szCs w:val="24"/>
          <w:lang w:eastAsia="pt-BR"/>
        </w:rPr>
        <w:t>poder, saber, ser, viver</w:t>
      </w:r>
      <w:r w:rsidRPr="00F17B19">
        <w:rPr>
          <w:rFonts w:ascii="Times New Roman" w:eastAsia="Calibri" w:hAnsi="Times New Roman" w:cs="Times New Roman"/>
          <w:sz w:val="24"/>
          <w:szCs w:val="24"/>
          <w:lang w:eastAsia="pt-BR"/>
        </w:rPr>
        <w:t xml:space="preserve">) - carrego colonial, podem ser “despachados”, carecem que continuemos a emacumbar - educar na roda dos diálogos de saber, reencantar na união das/os </w:t>
      </w:r>
      <w:r w:rsidRPr="00F17B19">
        <w:rPr>
          <w:rFonts w:ascii="Times New Roman" w:eastAsia="Calibri" w:hAnsi="Times New Roman" w:cs="Times New Roman"/>
          <w:i/>
          <w:iCs/>
          <w:sz w:val="24"/>
          <w:szCs w:val="24"/>
          <w:lang w:eastAsia="pt-BR"/>
        </w:rPr>
        <w:t>àgbàs</w:t>
      </w:r>
      <w:r w:rsidRPr="00F17B19">
        <w:rPr>
          <w:rFonts w:ascii="Times New Roman" w:eastAsia="Calibri" w:hAnsi="Times New Roman" w:cs="Times New Roman"/>
          <w:i/>
          <w:iCs/>
          <w:sz w:val="24"/>
          <w:szCs w:val="24"/>
          <w:vertAlign w:val="superscript"/>
          <w:lang w:eastAsia="pt-BR"/>
        </w:rPr>
        <w:footnoteReference w:id="3"/>
      </w:r>
      <w:r w:rsidRPr="00F17B19">
        <w:rPr>
          <w:rFonts w:ascii="Times New Roman" w:eastAsia="Calibri" w:hAnsi="Times New Roman" w:cs="Times New Roman"/>
          <w:i/>
          <w:iCs/>
          <w:sz w:val="24"/>
          <w:szCs w:val="24"/>
          <w:lang w:eastAsia="pt-BR"/>
        </w:rPr>
        <w:t>s</w:t>
      </w:r>
      <w:r w:rsidRPr="00F17B19">
        <w:rPr>
          <w:rFonts w:ascii="Times New Roman" w:eastAsia="Calibri" w:hAnsi="Times New Roman" w:cs="Times New Roman"/>
          <w:sz w:val="24"/>
          <w:szCs w:val="24"/>
          <w:lang w:eastAsia="pt-BR"/>
        </w:rPr>
        <w:t xml:space="preserve"> e dos </w:t>
      </w:r>
      <w:r w:rsidRPr="00F17B19">
        <w:rPr>
          <w:rFonts w:ascii="Times New Roman" w:eastAsia="Calibri" w:hAnsi="Times New Roman" w:cs="Times New Roman"/>
          <w:i/>
          <w:iCs/>
          <w:sz w:val="24"/>
          <w:szCs w:val="24"/>
          <w:lang w:eastAsia="pt-BR"/>
        </w:rPr>
        <w:t>ọmọdés</w:t>
      </w:r>
      <w:r w:rsidRPr="00F17B19">
        <w:rPr>
          <w:rFonts w:ascii="Times New Roman" w:eastAsia="Calibri" w:hAnsi="Times New Roman" w:cs="Times New Roman"/>
          <w:i/>
          <w:iCs/>
          <w:sz w:val="24"/>
          <w:szCs w:val="24"/>
          <w:vertAlign w:val="superscript"/>
          <w:lang w:eastAsia="pt-BR"/>
        </w:rPr>
        <w:footnoteReference w:id="4"/>
      </w:r>
      <w:r w:rsidRPr="00F17B19">
        <w:rPr>
          <w:rFonts w:ascii="Times New Roman" w:eastAsia="Calibri" w:hAnsi="Times New Roman" w:cs="Times New Roman"/>
          <w:i/>
          <w:iCs/>
          <w:sz w:val="24"/>
          <w:szCs w:val="24"/>
          <w:lang w:eastAsia="pt-BR"/>
        </w:rPr>
        <w:t>.</w:t>
      </w:r>
      <w:r w:rsidRPr="00F17B19">
        <w:rPr>
          <w:rFonts w:ascii="Times New Roman" w:eastAsia="Calibri" w:hAnsi="Times New Roman" w:cs="Times New Roman"/>
          <w:sz w:val="24"/>
          <w:szCs w:val="24"/>
          <w:lang w:eastAsia="pt-BR"/>
        </w:rPr>
        <w:t xml:space="preserve"> </w:t>
      </w:r>
      <w:r w:rsidRPr="00F17B19">
        <w:rPr>
          <w:rFonts w:ascii="Times New Roman" w:eastAsia="Calibri" w:hAnsi="Times New Roman" w:cs="Times New Roman"/>
          <w:sz w:val="24"/>
          <w:szCs w:val="24"/>
        </w:rPr>
        <w:t xml:space="preserve">Nesta direção, </w:t>
      </w:r>
      <w:r w:rsidRPr="00F17B19">
        <w:rPr>
          <w:rFonts w:ascii="Times New Roman" w:eastAsia="Calibri" w:hAnsi="Times New Roman" w:cs="Times New Roman"/>
          <w:sz w:val="24"/>
          <w:szCs w:val="24"/>
          <w:lang w:eastAsia="pt-BR"/>
        </w:rPr>
        <w:t xml:space="preserve">estudos e discussões de pesquisadores contemporâneos trazem diferentes contribuições em nível de reflexão ao </w:t>
      </w:r>
      <w:r w:rsidRPr="00F17B19">
        <w:rPr>
          <w:rFonts w:ascii="Times New Roman" w:eastAsia="Calibri" w:hAnsi="Times New Roman" w:cs="Times New Roman"/>
          <w:i/>
          <w:iCs/>
          <w:sz w:val="24"/>
          <w:szCs w:val="24"/>
          <w:lang w:eastAsia="pt-BR"/>
        </w:rPr>
        <w:t>lugar</w:t>
      </w:r>
      <w:r w:rsidRPr="00F17B19">
        <w:rPr>
          <w:rFonts w:ascii="Times New Roman" w:eastAsia="Calibri" w:hAnsi="Times New Roman" w:cs="Times New Roman"/>
          <w:sz w:val="24"/>
          <w:szCs w:val="24"/>
          <w:lang w:eastAsia="pt-BR"/>
        </w:rPr>
        <w:t xml:space="preserve"> e </w:t>
      </w:r>
      <w:r w:rsidRPr="00F17B19">
        <w:rPr>
          <w:rFonts w:ascii="Times New Roman" w:eastAsia="Calibri" w:hAnsi="Times New Roman" w:cs="Times New Roman"/>
          <w:i/>
          <w:iCs/>
          <w:sz w:val="24"/>
          <w:szCs w:val="24"/>
          <w:lang w:eastAsia="pt-BR"/>
        </w:rPr>
        <w:t>determinante</w:t>
      </w:r>
      <w:r w:rsidRPr="00F17B19">
        <w:rPr>
          <w:rFonts w:ascii="Times New Roman" w:eastAsia="Calibri" w:hAnsi="Times New Roman" w:cs="Times New Roman"/>
          <w:sz w:val="24"/>
          <w:szCs w:val="24"/>
          <w:lang w:eastAsia="pt-BR"/>
        </w:rPr>
        <w:t xml:space="preserve"> da(s) cultura(s) na construção dos territórios e territorialidades humanas.</w:t>
      </w:r>
    </w:p>
    <w:p w14:paraId="73FA4112"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p>
    <w:p w14:paraId="629F4EEA" w14:textId="77777777" w:rsidR="00F17B19" w:rsidRPr="00F17B19" w:rsidRDefault="00F17B19" w:rsidP="00F17B19">
      <w:pPr>
        <w:keepNext/>
        <w:keepLines/>
        <w:numPr>
          <w:ilvl w:val="1"/>
          <w:numId w:val="4"/>
        </w:numPr>
        <w:spacing w:before="120" w:after="120" w:line="360" w:lineRule="auto"/>
        <w:outlineLvl w:val="1"/>
        <w:rPr>
          <w:rFonts w:ascii="Times New Roman" w:eastAsia="Calibri" w:hAnsi="Times New Roman" w:cs="Calibri"/>
          <w:caps/>
          <w:sz w:val="24"/>
          <w:szCs w:val="36"/>
          <w:lang w:eastAsia="pt-BR"/>
        </w:rPr>
      </w:pPr>
      <w:bookmarkStart w:id="16" w:name="_Toc95609343"/>
      <w:bookmarkStart w:id="17" w:name="_Toc95777143"/>
      <w:bookmarkStart w:id="18" w:name="_Hlk94103313"/>
      <w:r w:rsidRPr="00F17B19">
        <w:rPr>
          <w:rFonts w:ascii="Times New Roman" w:eastAsia="Calibri" w:hAnsi="Times New Roman" w:cs="Calibri"/>
          <w:caps/>
          <w:sz w:val="24"/>
          <w:szCs w:val="36"/>
          <w:lang w:eastAsia="pt-BR"/>
        </w:rPr>
        <w:t>“DESENVOLVIMENTO” E DIVERSIDADE CULTURAL: ARREPIO DO CORPO E INCORPORAÇÃO DE OUTROS SABERES</w:t>
      </w:r>
      <w:bookmarkEnd w:id="16"/>
      <w:bookmarkEnd w:id="17"/>
      <w:r w:rsidRPr="00F17B19">
        <w:rPr>
          <w:rFonts w:ascii="Times New Roman" w:eastAsia="Calibri" w:hAnsi="Times New Roman" w:cs="Calibri"/>
          <w:caps/>
          <w:sz w:val="24"/>
          <w:szCs w:val="36"/>
          <w:lang w:eastAsia="pt-BR"/>
        </w:rPr>
        <w:t xml:space="preserve"> </w:t>
      </w:r>
      <w:bookmarkEnd w:id="15"/>
      <w:bookmarkEnd w:id="18"/>
    </w:p>
    <w:p w14:paraId="14A35F1F" w14:textId="77777777" w:rsidR="00F17B19" w:rsidRPr="00F17B19" w:rsidRDefault="00F17B19" w:rsidP="00F17B19">
      <w:pPr>
        <w:spacing w:after="0" w:line="360" w:lineRule="auto"/>
        <w:ind w:firstLine="709"/>
        <w:jc w:val="both"/>
        <w:rPr>
          <w:rFonts w:ascii="Times New Roman" w:eastAsia="Times New Roman" w:hAnsi="Times New Roman" w:cs="Times New Roman"/>
          <w:sz w:val="24"/>
          <w:szCs w:val="24"/>
          <w:lang w:eastAsia="pt-BR"/>
        </w:rPr>
      </w:pPr>
      <w:r w:rsidRPr="00F17B19">
        <w:rPr>
          <w:rFonts w:ascii="Times New Roman" w:eastAsia="Times New Roman" w:hAnsi="Times New Roman" w:cs="Times New Roman"/>
          <w:sz w:val="24"/>
          <w:szCs w:val="24"/>
          <w:lang w:eastAsia="pt-BR"/>
        </w:rPr>
        <w:t>Etimologicamente as “</w:t>
      </w:r>
      <w:r w:rsidRPr="00F17B19">
        <w:rPr>
          <w:rFonts w:ascii="Times New Roman" w:eastAsia="Calibri" w:hAnsi="Times New Roman" w:cs="Times New Roman"/>
          <w:sz w:val="24"/>
          <w:szCs w:val="24"/>
        </w:rPr>
        <w:t xml:space="preserve">[...] palavras </w:t>
      </w:r>
      <w:r w:rsidRPr="00F17B19">
        <w:rPr>
          <w:rFonts w:ascii="Times New Roman" w:eastAsia="Calibri" w:hAnsi="Times New Roman" w:cs="Times New Roman"/>
          <w:i/>
          <w:iCs/>
          <w:sz w:val="24"/>
          <w:szCs w:val="24"/>
        </w:rPr>
        <w:t>cultura</w:t>
      </w:r>
      <w:r w:rsidRPr="00F17B19">
        <w:rPr>
          <w:rFonts w:ascii="Times New Roman" w:eastAsia="Calibri" w:hAnsi="Times New Roman" w:cs="Times New Roman"/>
          <w:iCs/>
          <w:sz w:val="24"/>
          <w:szCs w:val="24"/>
        </w:rPr>
        <w:t xml:space="preserve">, </w:t>
      </w:r>
      <w:r w:rsidRPr="00F17B19">
        <w:rPr>
          <w:rFonts w:ascii="Times New Roman" w:eastAsia="Calibri" w:hAnsi="Times New Roman" w:cs="Times New Roman"/>
          <w:i/>
          <w:iCs/>
          <w:sz w:val="24"/>
          <w:szCs w:val="24"/>
        </w:rPr>
        <w:t>culto</w:t>
      </w:r>
      <w:r w:rsidRPr="00F17B19">
        <w:rPr>
          <w:rFonts w:ascii="Times New Roman" w:eastAsia="Calibri" w:hAnsi="Times New Roman" w:cs="Times New Roman"/>
          <w:iCs/>
          <w:sz w:val="24"/>
          <w:szCs w:val="24"/>
        </w:rPr>
        <w:t xml:space="preserve"> </w:t>
      </w:r>
      <w:r w:rsidRPr="00F17B19">
        <w:rPr>
          <w:rFonts w:ascii="Times New Roman" w:eastAsia="Calibri" w:hAnsi="Times New Roman" w:cs="Times New Roman"/>
          <w:sz w:val="24"/>
          <w:szCs w:val="24"/>
        </w:rPr>
        <w:t xml:space="preserve">e </w:t>
      </w:r>
      <w:r w:rsidRPr="00F17B19">
        <w:rPr>
          <w:rFonts w:ascii="Times New Roman" w:eastAsia="Calibri" w:hAnsi="Times New Roman" w:cs="Times New Roman"/>
          <w:i/>
          <w:iCs/>
          <w:sz w:val="24"/>
          <w:szCs w:val="24"/>
        </w:rPr>
        <w:t>colonização</w:t>
      </w:r>
      <w:r w:rsidRPr="00F17B19">
        <w:rPr>
          <w:rFonts w:ascii="Times New Roman" w:eastAsia="Times New Roman" w:hAnsi="Times New Roman" w:cs="Times New Roman"/>
          <w:sz w:val="24"/>
          <w:szCs w:val="24"/>
          <w:lang w:eastAsia="pt-BR"/>
        </w:rPr>
        <w:t xml:space="preserve"> </w:t>
      </w:r>
      <w:r w:rsidRPr="00F17B19">
        <w:rPr>
          <w:rFonts w:ascii="Times New Roman" w:eastAsia="Calibri" w:hAnsi="Times New Roman" w:cs="Times New Roman"/>
          <w:sz w:val="24"/>
          <w:szCs w:val="24"/>
        </w:rPr>
        <w:t xml:space="preserve">derivam do mesmo verbo latino </w:t>
      </w:r>
      <w:r w:rsidRPr="00F17B19">
        <w:rPr>
          <w:rFonts w:ascii="Times New Roman" w:eastAsia="Calibri" w:hAnsi="Times New Roman" w:cs="Times New Roman"/>
          <w:i/>
          <w:iCs/>
          <w:sz w:val="24"/>
          <w:szCs w:val="24"/>
        </w:rPr>
        <w:t>colo</w:t>
      </w:r>
      <w:r w:rsidRPr="00F17B19">
        <w:rPr>
          <w:rFonts w:ascii="Times New Roman" w:eastAsia="Calibri" w:hAnsi="Times New Roman" w:cs="Times New Roman"/>
          <w:iCs/>
          <w:sz w:val="24"/>
          <w:szCs w:val="24"/>
        </w:rPr>
        <w:t xml:space="preserve">, </w:t>
      </w:r>
      <w:r w:rsidRPr="00F17B19">
        <w:rPr>
          <w:rFonts w:ascii="Times New Roman" w:eastAsia="Calibri" w:hAnsi="Times New Roman" w:cs="Times New Roman"/>
          <w:sz w:val="24"/>
          <w:szCs w:val="24"/>
        </w:rPr>
        <w:t xml:space="preserve">cujo particípio passado é </w:t>
      </w:r>
      <w:r w:rsidRPr="00F17B19">
        <w:rPr>
          <w:rFonts w:ascii="Times New Roman" w:eastAsia="Calibri" w:hAnsi="Times New Roman" w:cs="Times New Roman"/>
          <w:i/>
          <w:iCs/>
          <w:sz w:val="24"/>
          <w:szCs w:val="24"/>
        </w:rPr>
        <w:t>cultus</w:t>
      </w:r>
      <w:r w:rsidRPr="00F17B19">
        <w:rPr>
          <w:rFonts w:ascii="Times New Roman" w:eastAsia="Calibri" w:hAnsi="Times New Roman" w:cs="Times New Roman"/>
          <w:iCs/>
          <w:sz w:val="24"/>
          <w:szCs w:val="24"/>
        </w:rPr>
        <w:t xml:space="preserve"> </w:t>
      </w:r>
      <w:r w:rsidRPr="00F17B19">
        <w:rPr>
          <w:rFonts w:ascii="Times New Roman" w:eastAsia="Calibri" w:hAnsi="Times New Roman" w:cs="Times New Roman"/>
          <w:sz w:val="24"/>
          <w:szCs w:val="24"/>
        </w:rPr>
        <w:t>e o particípio</w:t>
      </w:r>
      <w:r w:rsidRPr="00F17B19">
        <w:rPr>
          <w:rFonts w:ascii="Times New Roman" w:eastAsia="Times New Roman" w:hAnsi="Times New Roman" w:cs="Times New Roman"/>
          <w:sz w:val="24"/>
          <w:szCs w:val="24"/>
          <w:lang w:eastAsia="pt-BR"/>
        </w:rPr>
        <w:t xml:space="preserve"> </w:t>
      </w:r>
      <w:r w:rsidRPr="00F17B19">
        <w:rPr>
          <w:rFonts w:ascii="Times New Roman" w:eastAsia="Calibri" w:hAnsi="Times New Roman" w:cs="Times New Roman"/>
          <w:sz w:val="24"/>
          <w:szCs w:val="24"/>
        </w:rPr>
        <w:t xml:space="preserve">futuro é </w:t>
      </w:r>
      <w:r w:rsidRPr="00F17B19">
        <w:rPr>
          <w:rFonts w:ascii="Times New Roman" w:eastAsia="Calibri" w:hAnsi="Times New Roman" w:cs="Times New Roman"/>
          <w:i/>
          <w:iCs/>
          <w:sz w:val="24"/>
          <w:szCs w:val="24"/>
        </w:rPr>
        <w:t>culturus</w:t>
      </w:r>
      <w:r w:rsidRPr="00F17B19">
        <w:rPr>
          <w:rFonts w:ascii="Times New Roman" w:eastAsia="Calibri" w:hAnsi="Times New Roman" w:cs="Times New Roman"/>
          <w:iCs/>
          <w:sz w:val="24"/>
          <w:szCs w:val="24"/>
        </w:rPr>
        <w:t>” (BOSI, 1996, p. 05). Ainda segundo o autor “</w:t>
      </w:r>
      <w:r w:rsidRPr="00F17B19">
        <w:rPr>
          <w:rFonts w:ascii="Times New Roman" w:eastAsia="Calibri" w:hAnsi="Times New Roman" w:cs="Times New Roman"/>
          <w:i/>
          <w:iCs/>
          <w:sz w:val="24"/>
          <w:szCs w:val="24"/>
        </w:rPr>
        <w:t xml:space="preserve">colo </w:t>
      </w:r>
      <w:r w:rsidRPr="00F17B19">
        <w:rPr>
          <w:rFonts w:ascii="Times New Roman" w:eastAsia="Calibri" w:hAnsi="Times New Roman" w:cs="Times New Roman"/>
          <w:sz w:val="24"/>
          <w:szCs w:val="24"/>
        </w:rPr>
        <w:t xml:space="preserve">significou, na língua de Roma, </w:t>
      </w:r>
      <w:r w:rsidRPr="00F17B19">
        <w:rPr>
          <w:rFonts w:ascii="Times New Roman" w:eastAsia="Calibri" w:hAnsi="Times New Roman" w:cs="Times New Roman"/>
          <w:i/>
          <w:iCs/>
          <w:sz w:val="24"/>
          <w:szCs w:val="24"/>
        </w:rPr>
        <w:t xml:space="preserve">eumorp, eu ocupo a terra </w:t>
      </w:r>
      <w:r w:rsidRPr="00F17B19">
        <w:rPr>
          <w:rFonts w:ascii="Times New Roman" w:eastAsia="Calibri" w:hAnsi="Times New Roman" w:cs="Times New Roman"/>
          <w:sz w:val="24"/>
          <w:szCs w:val="24"/>
        </w:rPr>
        <w:t xml:space="preserve">e, por extensão, </w:t>
      </w:r>
      <w:r w:rsidRPr="00F17B19">
        <w:rPr>
          <w:rFonts w:ascii="Times New Roman" w:eastAsia="Calibri" w:hAnsi="Times New Roman" w:cs="Times New Roman"/>
          <w:i/>
          <w:iCs/>
          <w:sz w:val="24"/>
          <w:szCs w:val="24"/>
        </w:rPr>
        <w:t xml:space="preserve">eu trabalho, eu cultivo o campo”. </w:t>
      </w:r>
      <w:r w:rsidRPr="00F17B19">
        <w:rPr>
          <w:rFonts w:ascii="Times New Roman" w:eastAsia="Calibri" w:hAnsi="Times New Roman" w:cs="Times New Roman"/>
          <w:iCs/>
          <w:sz w:val="24"/>
          <w:szCs w:val="24"/>
        </w:rPr>
        <w:t>Assim,</w:t>
      </w:r>
      <w:r w:rsidRPr="00F17B19">
        <w:rPr>
          <w:rFonts w:ascii="Times New Roman" w:eastAsia="Calibri" w:hAnsi="Times New Roman" w:cs="Times New Roman"/>
          <w:i/>
          <w:iCs/>
          <w:sz w:val="24"/>
          <w:szCs w:val="24"/>
        </w:rPr>
        <w:t xml:space="preserve"> “</w:t>
      </w:r>
      <w:r w:rsidRPr="00F17B19">
        <w:rPr>
          <w:rFonts w:ascii="Times New Roman" w:eastAsia="Calibri" w:hAnsi="Times New Roman" w:cs="Times New Roman"/>
          <w:iCs/>
          <w:sz w:val="24"/>
          <w:szCs w:val="24"/>
        </w:rPr>
        <w:t>u</w:t>
      </w:r>
      <w:r w:rsidRPr="00F17B19">
        <w:rPr>
          <w:rFonts w:ascii="Times New Roman" w:eastAsia="Calibri" w:hAnsi="Times New Roman" w:cs="Times New Roman"/>
          <w:sz w:val="24"/>
          <w:szCs w:val="24"/>
        </w:rPr>
        <w:t xml:space="preserve">m herdeiro antigo de </w:t>
      </w:r>
      <w:r w:rsidRPr="00F17B19">
        <w:rPr>
          <w:rFonts w:ascii="Times New Roman" w:eastAsia="Calibri" w:hAnsi="Times New Roman" w:cs="Times New Roman"/>
          <w:i/>
          <w:iCs/>
          <w:sz w:val="24"/>
          <w:szCs w:val="24"/>
        </w:rPr>
        <w:t xml:space="preserve">colo </w:t>
      </w:r>
      <w:r w:rsidRPr="00F17B19">
        <w:rPr>
          <w:rFonts w:ascii="Times New Roman" w:eastAsia="Calibri" w:hAnsi="Times New Roman" w:cs="Times New Roman"/>
          <w:sz w:val="24"/>
          <w:szCs w:val="24"/>
        </w:rPr>
        <w:t xml:space="preserve">é </w:t>
      </w:r>
      <w:r w:rsidRPr="00F17B19">
        <w:rPr>
          <w:rFonts w:ascii="Times New Roman" w:eastAsia="Calibri" w:hAnsi="Times New Roman" w:cs="Times New Roman"/>
          <w:i/>
          <w:iCs/>
          <w:sz w:val="24"/>
          <w:szCs w:val="24"/>
        </w:rPr>
        <w:t xml:space="preserve">incola, </w:t>
      </w:r>
      <w:r w:rsidRPr="00F17B19">
        <w:rPr>
          <w:rFonts w:ascii="Times New Roman" w:eastAsia="Calibri" w:hAnsi="Times New Roman" w:cs="Times New Roman"/>
          <w:sz w:val="24"/>
          <w:szCs w:val="24"/>
        </w:rPr>
        <w:t xml:space="preserve">o habitante; outro é </w:t>
      </w:r>
      <w:r w:rsidRPr="00F17B19">
        <w:rPr>
          <w:rFonts w:ascii="Times New Roman" w:eastAsia="Calibri" w:hAnsi="Times New Roman" w:cs="Times New Roman"/>
          <w:i/>
          <w:iCs/>
          <w:sz w:val="24"/>
          <w:szCs w:val="24"/>
        </w:rPr>
        <w:t xml:space="preserve">inquilinus, </w:t>
      </w:r>
      <w:r w:rsidRPr="00F17B19">
        <w:rPr>
          <w:rFonts w:ascii="Times New Roman" w:eastAsia="Calibri" w:hAnsi="Times New Roman" w:cs="Times New Roman"/>
          <w:sz w:val="24"/>
          <w:szCs w:val="24"/>
        </w:rPr>
        <w:t xml:space="preserve">aquele que reside em terra alheia” (BOSI, 1996, p. 05). </w:t>
      </w:r>
      <w:r w:rsidRPr="00F17B19">
        <w:rPr>
          <w:rFonts w:ascii="Times New Roman" w:eastAsia="Times New Roman" w:hAnsi="Times New Roman" w:cs="Times New Roman"/>
          <w:sz w:val="24"/>
          <w:szCs w:val="24"/>
          <w:lang w:eastAsia="pt-BR"/>
        </w:rPr>
        <w:t>Buscar compreender um conceito em determinado contexto nos leva obrigatoriamente a pesquisar suas origens e diferentes apropriações territoriais, uma vez que os sentidos e significados podem ser alterados com o passar do tempo. “</w:t>
      </w:r>
      <w:r w:rsidRPr="00F17B19">
        <w:rPr>
          <w:rFonts w:ascii="Times New Roman" w:eastAsia="Calibri" w:hAnsi="Times New Roman" w:cs="Times New Roman"/>
          <w:sz w:val="24"/>
          <w:szCs w:val="24"/>
          <w:lang w:eastAsia="pt-BR"/>
        </w:rPr>
        <w:t>A cultura permite ao homem não somente adaptar-se a seu meio, mas também adaptar este meio ao próprio homem, a suas necessidades e seus projetos. Em suma, a cultura torna possível à transformação da natureza” (CUCHE, 2002, p. 9-10).</w:t>
      </w:r>
    </w:p>
    <w:p w14:paraId="5A84E241" w14:textId="77777777" w:rsidR="00F17B19" w:rsidRPr="00F17B19" w:rsidRDefault="00F17B19" w:rsidP="00F17B19">
      <w:pPr>
        <w:spacing w:after="0" w:line="360" w:lineRule="auto"/>
        <w:ind w:firstLine="851"/>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As culturas autóctones trazem no seu âmago “[...] os </w:t>
      </w:r>
      <w:r w:rsidRPr="00F17B19">
        <w:rPr>
          <w:rFonts w:ascii="Times New Roman" w:eastAsia="Calibri" w:hAnsi="Times New Roman" w:cs="Times New Roman"/>
          <w:i/>
          <w:sz w:val="24"/>
          <w:szCs w:val="24"/>
          <w:lang w:eastAsia="pt-BR"/>
        </w:rPr>
        <w:t>savoir-faire</w:t>
      </w:r>
      <w:r w:rsidRPr="00F17B19">
        <w:rPr>
          <w:rFonts w:ascii="Times New Roman" w:eastAsia="Calibri" w:hAnsi="Times New Roman" w:cs="Times New Roman"/>
          <w:sz w:val="24"/>
          <w:szCs w:val="24"/>
          <w:lang w:eastAsia="pt-BR"/>
        </w:rPr>
        <w:t xml:space="preserve"> tradicionais, como retratos da vida social, de importância inegável” ... “[...] que se refere ao simbólico (mitos, </w:t>
      </w:r>
      <w:r w:rsidRPr="00F17B19">
        <w:rPr>
          <w:rFonts w:ascii="Times New Roman" w:eastAsia="Calibri" w:hAnsi="Times New Roman" w:cs="Times New Roman"/>
          <w:sz w:val="24"/>
          <w:szCs w:val="24"/>
          <w:lang w:eastAsia="pt-BR"/>
        </w:rPr>
        <w:lastRenderedPageBreak/>
        <w:t xml:space="preserve">lendas, religiões, representações, língua, costumes, leis, etc.)” (VERHELST, 1992, p. 46; 153). O </w:t>
      </w:r>
      <w:bookmarkStart w:id="19" w:name="_Hlk94355201"/>
      <w:r w:rsidRPr="00F17B19">
        <w:rPr>
          <w:rFonts w:ascii="Times New Roman" w:eastAsia="Calibri" w:hAnsi="Times New Roman" w:cs="Times New Roman"/>
          <w:sz w:val="24"/>
          <w:szCs w:val="24"/>
          <w:lang w:eastAsia="pt-BR"/>
        </w:rPr>
        <w:t>valor, lugar e presença das culturas n</w:t>
      </w:r>
      <w:bookmarkEnd w:id="19"/>
      <w:r w:rsidRPr="00F17B19">
        <w:rPr>
          <w:rFonts w:ascii="Times New Roman" w:eastAsia="Calibri" w:hAnsi="Times New Roman" w:cs="Times New Roman"/>
          <w:sz w:val="24"/>
          <w:szCs w:val="24"/>
          <w:lang w:eastAsia="pt-BR"/>
        </w:rPr>
        <w:t xml:space="preserve">a construção das identidades, comunidades e territórios questionam e impactam pela diversidade e complexidade nos espaços e relações culturais e sociais contemporâneos o encaminhamento de políticas e ações para os séculos vindouros. O trânsito de múltiplos e distintos saberes e conhecimentos clama por outros e diferenciados olhares, leituras, formas de ser, estar e pensar, assim como de pensar e “fazer” desenvolvimento. </w:t>
      </w:r>
    </w:p>
    <w:p w14:paraId="36E8C815" w14:textId="77777777" w:rsidR="00F17B19" w:rsidRPr="00F17B19" w:rsidRDefault="00F17B19" w:rsidP="00F17B19">
      <w:pPr>
        <w:spacing w:after="0" w:line="360" w:lineRule="auto"/>
        <w:ind w:firstLine="851"/>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Nesta direção a Organização das Nações Unidas para a Educação, Ciência e a Cultura – UNESCO tem buscado um novo enfoque para o binômio e interpelações possíveis entre desenvolvimento e diversidade de culturas.  Este tema foi amplamente discutido e registrado no Relatório de Monróvia (1979), realizado sob os auspícios da organização para a Unidade Africana e, no Dossiê publicado pela </w:t>
      </w:r>
      <w:r w:rsidRPr="00F17B19">
        <w:rPr>
          <w:rFonts w:ascii="Times New Roman" w:eastAsia="Calibri" w:hAnsi="Times New Roman" w:cs="Times New Roman"/>
          <w:i/>
          <w:iCs/>
          <w:sz w:val="24"/>
          <w:szCs w:val="24"/>
          <w:lang w:eastAsia="pt-BR"/>
        </w:rPr>
        <w:t>Société pour Développment International</w:t>
      </w:r>
      <w:r w:rsidRPr="00F17B19">
        <w:rPr>
          <w:rFonts w:ascii="Times New Roman" w:eastAsia="Calibri" w:hAnsi="Times New Roman" w:cs="Times New Roman"/>
          <w:sz w:val="24"/>
          <w:szCs w:val="24"/>
          <w:lang w:eastAsia="pt-BR"/>
        </w:rPr>
        <w:t xml:space="preserve"> por ocasião da Reunião de Cúpula de Cancun (1981) intitulada “</w:t>
      </w:r>
      <w:r w:rsidRPr="00F17B19">
        <w:rPr>
          <w:rFonts w:ascii="Times New Roman" w:eastAsia="Calibri" w:hAnsi="Times New Roman" w:cs="Times New Roman"/>
          <w:i/>
          <w:iCs/>
          <w:sz w:val="24"/>
          <w:szCs w:val="24"/>
          <w:lang w:eastAsia="pt-BR"/>
        </w:rPr>
        <w:t>Culture, the forgotten dimension</w:t>
      </w:r>
      <w:r w:rsidRPr="00F17B19">
        <w:rPr>
          <w:rFonts w:ascii="Times New Roman" w:eastAsia="Calibri" w:hAnsi="Times New Roman" w:cs="Times New Roman"/>
          <w:sz w:val="24"/>
          <w:szCs w:val="24"/>
          <w:lang w:eastAsia="pt-BR"/>
        </w:rPr>
        <w:t>”.  (VERHELST, 1992).</w:t>
      </w:r>
    </w:p>
    <w:p w14:paraId="1B5099C2"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Diferentes inciativas, principalmente voltadas para a América Latina e Caribenha no decorrer dos séculos buscaram responder a multiplicidade de demandas sociais e culturais oriundas da presença e conjugação das identidades em saberes, conhecimentos e/m vivências nos diferentes territórios e instâncias de cunho público e/ou privado.</w:t>
      </w:r>
    </w:p>
    <w:p w14:paraId="7E276FEE" w14:textId="77777777" w:rsidR="00F17B19" w:rsidRPr="00F17B19" w:rsidRDefault="00F17B19" w:rsidP="00F17B19">
      <w:pPr>
        <w:spacing w:after="0" w:line="360" w:lineRule="auto"/>
        <w:ind w:firstLine="709"/>
        <w:jc w:val="both"/>
        <w:rPr>
          <w:rFonts w:ascii="Times New Roman" w:eastAsia="Arial" w:hAnsi="Times New Roman" w:cs="Times New Roman"/>
          <w:sz w:val="24"/>
          <w:szCs w:val="24"/>
          <w:lang w:eastAsia="pt-BR"/>
        </w:rPr>
      </w:pPr>
      <w:r w:rsidRPr="00F17B19">
        <w:rPr>
          <w:rFonts w:ascii="Times New Roman" w:eastAsia="Calibri" w:hAnsi="Times New Roman" w:cs="Times New Roman"/>
          <w:sz w:val="24"/>
          <w:szCs w:val="24"/>
          <w:lang w:eastAsia="pt-BR"/>
        </w:rPr>
        <w:t xml:space="preserve">O Brasil é depositário de uma miríade de etnocídios e genocídios afrodiaspóricos entre outros, a constituir uma urdidura cujas tramas em resistências e dores forjaram uma tecitura histórica permeada por fios – ações em busca de contínuos movimentos de libertação – visibilização, autonomia e empoderamento a partir de suas culturas ancestrais. </w:t>
      </w:r>
      <w:r w:rsidRPr="00F17B19">
        <w:rPr>
          <w:rFonts w:ascii="Times New Roman" w:eastAsia="Arial" w:hAnsi="Times New Roman" w:cs="Times New Roman"/>
          <w:sz w:val="24"/>
          <w:szCs w:val="24"/>
          <w:lang w:eastAsia="pt-BR"/>
        </w:rPr>
        <w:t xml:space="preserve">Registros orais e escritos de movimentos coletivos e/ou individuais enfrentando barreiras de discriminação e preconceitos – racismos culturais, sociais e institucionais há séculos nos trazem como pano de fundo alguns dos referenciais – ideários que os alimentam. </w:t>
      </w:r>
    </w:p>
    <w:p w14:paraId="49FDF01A" w14:textId="77777777" w:rsidR="00F17B19" w:rsidRPr="00F17B19" w:rsidRDefault="00F17B19" w:rsidP="00F17B19">
      <w:pPr>
        <w:spacing w:after="0" w:line="360" w:lineRule="auto"/>
        <w:ind w:firstLine="709"/>
        <w:jc w:val="both"/>
        <w:rPr>
          <w:rFonts w:ascii="Times New Roman" w:eastAsia="Arial" w:hAnsi="Times New Roman" w:cs="Times New Roman"/>
          <w:sz w:val="24"/>
          <w:szCs w:val="24"/>
          <w:lang w:eastAsia="pt-BR"/>
        </w:rPr>
      </w:pPr>
      <w:r w:rsidRPr="00F17B19">
        <w:rPr>
          <w:rFonts w:ascii="Times New Roman" w:eastAsia="Arial" w:hAnsi="Times New Roman" w:cs="Times New Roman"/>
          <w:sz w:val="24"/>
          <w:szCs w:val="24"/>
          <w:lang w:eastAsia="pt-BR"/>
        </w:rPr>
        <w:t xml:space="preserve">Qual azeite precioso a ser transportado em frágil peneira tecida com folhas da mata, na qual nenhuma gota pode ser desperdiçada, entre “ismos” e “dades” – </w:t>
      </w:r>
      <w:r w:rsidRPr="00F17B19">
        <w:rPr>
          <w:rFonts w:ascii="Times New Roman" w:eastAsia="Arial" w:hAnsi="Times New Roman" w:cs="Times New Roman"/>
          <w:i/>
          <w:iCs/>
          <w:sz w:val="24"/>
          <w:szCs w:val="24"/>
          <w:lang w:eastAsia="pt-BR"/>
        </w:rPr>
        <w:t>coloniescravizações</w:t>
      </w:r>
      <w:r w:rsidRPr="00F17B19">
        <w:rPr>
          <w:rFonts w:ascii="Times New Roman" w:eastAsia="Arial" w:hAnsi="Times New Roman" w:cs="Times New Roman"/>
          <w:sz w:val="24"/>
          <w:szCs w:val="24"/>
          <w:lang w:eastAsia="pt-BR"/>
        </w:rPr>
        <w:t xml:space="preserve"> sem data fim, diferentes práticas e conceitos foram sendo buscados, gestados e vivenciados - significados e ressignificados entre múltiplos encontros e desencontros, ocultamentos e descobertas, construções e destruições  no movimento,  embates e interação </w:t>
      </w:r>
      <w:r w:rsidRPr="00F17B19">
        <w:rPr>
          <w:rFonts w:ascii="Times New Roman" w:eastAsia="Arial" w:hAnsi="Times New Roman" w:cs="Times New Roman"/>
          <w:i/>
          <w:iCs/>
          <w:sz w:val="24"/>
          <w:szCs w:val="24"/>
          <w:lang w:eastAsia="pt-BR"/>
        </w:rPr>
        <w:t>entre</w:t>
      </w:r>
      <w:r w:rsidRPr="00F17B19">
        <w:rPr>
          <w:rFonts w:ascii="Times New Roman" w:eastAsia="Arial" w:hAnsi="Times New Roman" w:cs="Times New Roman"/>
          <w:sz w:val="24"/>
          <w:szCs w:val="24"/>
          <w:lang w:eastAsia="pt-BR"/>
        </w:rPr>
        <w:t xml:space="preserve"> e </w:t>
      </w:r>
      <w:r w:rsidRPr="00F17B19">
        <w:rPr>
          <w:rFonts w:ascii="Times New Roman" w:eastAsia="Arial" w:hAnsi="Times New Roman" w:cs="Times New Roman"/>
          <w:i/>
          <w:iCs/>
          <w:sz w:val="24"/>
          <w:szCs w:val="24"/>
          <w:lang w:eastAsia="pt-BR"/>
        </w:rPr>
        <w:t xml:space="preserve">intra </w:t>
      </w:r>
      <w:r w:rsidRPr="00F17B19">
        <w:rPr>
          <w:rFonts w:ascii="Times New Roman" w:eastAsia="Arial" w:hAnsi="Times New Roman" w:cs="Times New Roman"/>
          <w:sz w:val="24"/>
          <w:szCs w:val="24"/>
          <w:lang w:eastAsia="pt-BR"/>
        </w:rPr>
        <w:t xml:space="preserve">culturas no território em construção e  desenvolvimento.    </w:t>
      </w:r>
    </w:p>
    <w:p w14:paraId="2DF0EBFD" w14:textId="77777777" w:rsidR="00F17B19" w:rsidRPr="00F17B19" w:rsidRDefault="00F17B19" w:rsidP="00F17B19">
      <w:pPr>
        <w:spacing w:after="0" w:line="360" w:lineRule="auto"/>
        <w:ind w:firstLine="709"/>
        <w:jc w:val="both"/>
        <w:rPr>
          <w:rFonts w:ascii="Times New Roman" w:eastAsia="Arial" w:hAnsi="Times New Roman" w:cs="Times New Roman"/>
          <w:sz w:val="24"/>
          <w:szCs w:val="24"/>
          <w:lang w:eastAsia="pt-BR"/>
        </w:rPr>
      </w:pPr>
      <w:r w:rsidRPr="00F17B19">
        <w:rPr>
          <w:rFonts w:ascii="Times New Roman" w:eastAsia="Arial" w:hAnsi="Times New Roman" w:cs="Times New Roman"/>
          <w:sz w:val="24"/>
          <w:szCs w:val="24"/>
          <w:lang w:eastAsia="pt-BR"/>
        </w:rPr>
        <w:lastRenderedPageBreak/>
        <w:t>Nestes espaços/tempos/lugares dois conceitos nos desafiam e convocam a uma breve incursão reflexiva:  multiculturalidade e interculturalidade.</w:t>
      </w:r>
    </w:p>
    <w:p w14:paraId="0E9A1AE3"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Arial" w:hAnsi="Times New Roman" w:cs="Times New Roman"/>
          <w:sz w:val="24"/>
          <w:szCs w:val="24"/>
          <w:lang w:eastAsia="pt-BR"/>
        </w:rPr>
        <w:t xml:space="preserve">Candau, nos compartilha algumas abordagens, a partir de seus estudos e pesquisas.     </w:t>
      </w:r>
    </w:p>
    <w:p w14:paraId="49061F00" w14:textId="77777777" w:rsidR="00F17B19" w:rsidRPr="00F17B19" w:rsidRDefault="00F17B19" w:rsidP="00F17B19">
      <w:pPr>
        <w:keepNext/>
        <w:spacing w:after="120" w:line="240" w:lineRule="auto"/>
        <w:jc w:val="center"/>
        <w:rPr>
          <w:rFonts w:ascii="Times New Roman" w:eastAsia="Calibri" w:hAnsi="Times New Roman" w:cs="Calibri"/>
          <w:iCs/>
          <w:color w:val="000000"/>
          <w:sz w:val="24"/>
          <w:szCs w:val="18"/>
          <w:lang w:eastAsia="pt-BR"/>
        </w:rPr>
      </w:pPr>
      <w:bookmarkStart w:id="20" w:name="_Toc95773341"/>
      <w:r w:rsidRPr="00F17B19">
        <w:rPr>
          <w:rFonts w:ascii="Times New Roman" w:eastAsia="Calibri" w:hAnsi="Times New Roman" w:cs="Calibri"/>
          <w:iCs/>
          <w:color w:val="000000"/>
          <w:sz w:val="24"/>
          <w:szCs w:val="18"/>
          <w:lang w:eastAsia="pt-BR"/>
        </w:rPr>
        <w:t xml:space="preserve">Quadro </w:t>
      </w:r>
      <w:r w:rsidRPr="00F17B19">
        <w:rPr>
          <w:rFonts w:ascii="Times New Roman" w:eastAsia="Calibri" w:hAnsi="Times New Roman" w:cs="Calibri"/>
          <w:iCs/>
          <w:color w:val="000000"/>
          <w:sz w:val="24"/>
          <w:szCs w:val="18"/>
          <w:lang w:eastAsia="pt-BR"/>
        </w:rPr>
        <w:fldChar w:fldCharType="begin"/>
      </w:r>
      <w:r w:rsidRPr="00F17B19">
        <w:rPr>
          <w:rFonts w:ascii="Times New Roman" w:eastAsia="Calibri" w:hAnsi="Times New Roman" w:cs="Calibri"/>
          <w:iCs/>
          <w:color w:val="000000"/>
          <w:sz w:val="24"/>
          <w:szCs w:val="18"/>
          <w:lang w:eastAsia="pt-BR"/>
        </w:rPr>
        <w:instrText xml:space="preserve"> SEQ Quadro \* ARABIC </w:instrText>
      </w:r>
      <w:r w:rsidRPr="00F17B19">
        <w:rPr>
          <w:rFonts w:ascii="Times New Roman" w:eastAsia="Calibri" w:hAnsi="Times New Roman" w:cs="Calibri"/>
          <w:iCs/>
          <w:color w:val="000000"/>
          <w:sz w:val="24"/>
          <w:szCs w:val="18"/>
          <w:lang w:eastAsia="pt-BR"/>
        </w:rPr>
        <w:fldChar w:fldCharType="separate"/>
      </w:r>
      <w:r w:rsidRPr="00F17B19">
        <w:rPr>
          <w:rFonts w:ascii="Times New Roman" w:eastAsia="Calibri" w:hAnsi="Times New Roman" w:cs="Calibri"/>
          <w:iCs/>
          <w:noProof/>
          <w:color w:val="000000"/>
          <w:sz w:val="24"/>
          <w:szCs w:val="18"/>
          <w:lang w:eastAsia="pt-BR"/>
        </w:rPr>
        <w:t>4</w:t>
      </w:r>
      <w:r w:rsidRPr="00F17B19">
        <w:rPr>
          <w:rFonts w:ascii="Times New Roman" w:eastAsia="Calibri" w:hAnsi="Times New Roman" w:cs="Calibri"/>
          <w:iCs/>
          <w:noProof/>
          <w:color w:val="000000"/>
          <w:sz w:val="24"/>
          <w:szCs w:val="18"/>
          <w:lang w:eastAsia="pt-BR"/>
        </w:rPr>
        <w:fldChar w:fldCharType="end"/>
      </w:r>
      <w:r w:rsidRPr="00F17B19">
        <w:rPr>
          <w:rFonts w:ascii="Times New Roman" w:eastAsia="Calibri" w:hAnsi="Times New Roman" w:cs="Calibri"/>
          <w:iCs/>
          <w:color w:val="000000"/>
          <w:sz w:val="24"/>
          <w:szCs w:val="18"/>
          <w:lang w:eastAsia="pt-BR"/>
        </w:rPr>
        <w:t xml:space="preserve"> - Diferentes abordagens da multiculturalidade</w:t>
      </w:r>
      <w:bookmarkEnd w:id="20"/>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561"/>
        <w:gridCol w:w="2224"/>
        <w:gridCol w:w="2296"/>
      </w:tblGrid>
      <w:tr w:rsidR="00F17B19" w:rsidRPr="00F17B19" w14:paraId="67599CC7" w14:textId="77777777" w:rsidTr="00AD6BAA">
        <w:tc>
          <w:tcPr>
            <w:tcW w:w="1980" w:type="dxa"/>
          </w:tcPr>
          <w:p w14:paraId="0AE0271C" w14:textId="77777777" w:rsidR="00F17B19" w:rsidRPr="00F17B19" w:rsidRDefault="00F17B19" w:rsidP="00F17B19">
            <w:pPr>
              <w:spacing w:after="0" w:line="240" w:lineRule="auto"/>
              <w:jc w:val="center"/>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Abordagens do multiculturalismo</w:t>
            </w:r>
          </w:p>
        </w:tc>
        <w:tc>
          <w:tcPr>
            <w:tcW w:w="2561" w:type="dxa"/>
          </w:tcPr>
          <w:p w14:paraId="5449040F" w14:textId="77777777" w:rsidR="00F17B19" w:rsidRPr="00F17B19" w:rsidRDefault="00F17B19" w:rsidP="00F17B19">
            <w:pPr>
              <w:spacing w:after="0" w:line="240" w:lineRule="auto"/>
              <w:jc w:val="center"/>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Multiculturalismo assimilacionista</w:t>
            </w:r>
          </w:p>
        </w:tc>
        <w:tc>
          <w:tcPr>
            <w:tcW w:w="2224" w:type="dxa"/>
          </w:tcPr>
          <w:p w14:paraId="102D97B5" w14:textId="77777777" w:rsidR="00F17B19" w:rsidRPr="00F17B19" w:rsidRDefault="00F17B19" w:rsidP="00F17B19">
            <w:pPr>
              <w:spacing w:after="0" w:line="240" w:lineRule="auto"/>
              <w:jc w:val="center"/>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Multiculturalismo diferencialista ou plural</w:t>
            </w:r>
          </w:p>
        </w:tc>
        <w:tc>
          <w:tcPr>
            <w:tcW w:w="2296" w:type="dxa"/>
          </w:tcPr>
          <w:p w14:paraId="4021AF94" w14:textId="77777777" w:rsidR="00F17B19" w:rsidRPr="00F17B19" w:rsidRDefault="00F17B19" w:rsidP="00F17B19">
            <w:pPr>
              <w:spacing w:after="0" w:line="240" w:lineRule="auto"/>
              <w:jc w:val="center"/>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Multiculturalismo interativo ou interculturalidade</w:t>
            </w:r>
          </w:p>
        </w:tc>
      </w:tr>
      <w:tr w:rsidR="00F17B19" w:rsidRPr="00F17B19" w14:paraId="40BB960C" w14:textId="77777777" w:rsidTr="00AD6BAA">
        <w:tc>
          <w:tcPr>
            <w:tcW w:w="1980" w:type="dxa"/>
          </w:tcPr>
          <w:p w14:paraId="73E05A3A"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00F25E68"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6D1C6EA8"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76CE09AE"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59565E1B"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6165226D"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7FE689A8"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4A3BFEF9"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7AB1638E"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02453B45"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34FF8322"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49568A9E"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1810A305"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514AC591"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p w14:paraId="3C8A21D8" w14:textId="77777777" w:rsidR="00F17B19" w:rsidRPr="00F17B19" w:rsidRDefault="00F17B19" w:rsidP="00F17B19">
            <w:pPr>
              <w:widowControl w:val="0"/>
              <w:spacing w:after="0" w:line="240" w:lineRule="auto"/>
              <w:jc w:val="both"/>
              <w:rPr>
                <w:rFonts w:ascii="Times New Roman" w:eastAsia="Calibri" w:hAnsi="Times New Roman" w:cs="Times New Roman"/>
                <w:b/>
                <w:bCs/>
                <w:i/>
                <w:iCs/>
                <w:sz w:val="18"/>
                <w:szCs w:val="18"/>
                <w:lang w:eastAsia="pt-BR"/>
              </w:rPr>
            </w:pPr>
            <w:r w:rsidRPr="00F17B19">
              <w:rPr>
                <w:rFonts w:ascii="Times New Roman" w:eastAsia="Calibri" w:hAnsi="Times New Roman" w:cs="Times New Roman"/>
                <w:b/>
                <w:bCs/>
                <w:i/>
                <w:iCs/>
                <w:sz w:val="18"/>
                <w:szCs w:val="18"/>
                <w:lang w:eastAsia="pt-BR"/>
              </w:rPr>
              <w:t>Características</w:t>
            </w:r>
          </w:p>
          <w:p w14:paraId="1A4130F7" w14:textId="77777777" w:rsidR="00F17B19" w:rsidRPr="00F17B19" w:rsidRDefault="00F17B19" w:rsidP="00F17B19">
            <w:pPr>
              <w:widowControl w:val="0"/>
              <w:spacing w:after="0" w:line="240" w:lineRule="auto"/>
              <w:jc w:val="both"/>
              <w:rPr>
                <w:rFonts w:ascii="Times New Roman" w:eastAsia="Calibri" w:hAnsi="Times New Roman" w:cs="Times New Roman"/>
                <w:sz w:val="18"/>
                <w:szCs w:val="18"/>
                <w:lang w:eastAsia="pt-BR"/>
              </w:rPr>
            </w:pPr>
          </w:p>
        </w:tc>
        <w:tc>
          <w:tcPr>
            <w:tcW w:w="2561" w:type="dxa"/>
          </w:tcPr>
          <w:p w14:paraId="520030DF"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 xml:space="preserve"> Não existe igualdade de oportunidades;</w:t>
            </w:r>
          </w:p>
          <w:p w14:paraId="6C5FBD3E"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Falta de acesso de determinados grupos considerados minoritários, a determinados serviços, bens, direitos fundamentais;</w:t>
            </w:r>
          </w:p>
          <w:p w14:paraId="2FEBD262"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A política assimilacionista (perspectiva prescritiva) favorece que todos/as se integrem na sociedade e sejam incorporados à cultura hegemônica, mas não mexe na matriz da sociedade;</w:t>
            </w:r>
          </w:p>
          <w:p w14:paraId="04F2D1F2"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Promove uma política de universalização – todos/as são chamados a participar do sistema escolar, mas não se coloca em questão o caráter monocultural e homogeneizador;</w:t>
            </w:r>
          </w:p>
          <w:p w14:paraId="726CEA4E"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Defende o projeto de afirmar uma “cultura comum” hegemônica, em nome dele deslegitima dialetos, saberes, línguas, crenças, valores “diferentes”, participantes aos grupos subordinados, considerados inferiores, explícita ou implicitamente.</w:t>
            </w:r>
          </w:p>
        </w:tc>
        <w:tc>
          <w:tcPr>
            <w:tcW w:w="2224" w:type="dxa"/>
          </w:tcPr>
          <w:p w14:paraId="5765B7C8"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Quando se enfatiza a assimilação termina-se por negar a diferença ou por silenciá-la. Propõe-se colocar a ênfase no reconhecimento das diferenças. Para garantir a expressão das diferentes identidades culturais;</w:t>
            </w:r>
          </w:p>
          <w:p w14:paraId="744860D3"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Defende que somente assim, os diferentes grupos socioculturais poderão manter suas matrizes culturais de base;</w:t>
            </w:r>
          </w:p>
          <w:p w14:paraId="17B77172"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 xml:space="preserve">Enfatiza o acesso a direitos sociais e econômicos e, ao mesmo tempo, é privilegiada a formação de comunidades culturais homogêneas com suas próprias organizações. Na prática, em muitas sociedades atuais, esta abordagem favoreceu o </w:t>
            </w:r>
            <w:r w:rsidRPr="00F17B19">
              <w:rPr>
                <w:rFonts w:ascii="Times New Roman" w:eastAsia="Calibri" w:hAnsi="Times New Roman" w:cs="Times New Roman"/>
                <w:i/>
                <w:iCs/>
                <w:sz w:val="18"/>
                <w:szCs w:val="18"/>
                <w:lang w:eastAsia="pt-BR"/>
              </w:rPr>
              <w:t>apartheid</w:t>
            </w:r>
            <w:r w:rsidRPr="00F17B19">
              <w:rPr>
                <w:rFonts w:ascii="Times New Roman" w:eastAsia="Calibri" w:hAnsi="Times New Roman" w:cs="Times New Roman"/>
                <w:sz w:val="18"/>
                <w:szCs w:val="18"/>
                <w:lang w:eastAsia="pt-BR"/>
              </w:rPr>
              <w:t xml:space="preserve"> sociocultural;</w:t>
            </w:r>
          </w:p>
        </w:tc>
        <w:tc>
          <w:tcPr>
            <w:tcW w:w="2296" w:type="dxa"/>
          </w:tcPr>
          <w:p w14:paraId="7387E060"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Promoção deliberada da inter-relação entre diferentes grupos culturais presentes em uma determinada sociedade;</w:t>
            </w:r>
          </w:p>
          <w:p w14:paraId="3EB7CB65"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Posição de confronto as visões diferencialistas que favorecem processos radicais de afirmação de identidades culturais especificas; assim como as perspectivas assimilacionista que não valorizam a explicitação da riqueza das diferenças culturais;</w:t>
            </w:r>
          </w:p>
          <w:p w14:paraId="2C02B9BC"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Rompe com a visão essencialista das culturas e das identidades culturais;</w:t>
            </w:r>
          </w:p>
          <w:p w14:paraId="7F9C252E"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Concebe as culturas em contínuo processo de elaboração, de construção e reconstrução;</w:t>
            </w:r>
          </w:p>
          <w:p w14:paraId="244B4548"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Afirmação de que nas sociedades em que vivemos os processos de hibridização cultural são intensos e mobilizadores da construção de identidades abertas, em construção permanente supondo que as culturas não são “puras”;</w:t>
            </w:r>
          </w:p>
          <w:p w14:paraId="76ADA076"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Consciência dos mecanismos de poder que permeiam as relações culturais das sociedades atuais;</w:t>
            </w:r>
          </w:p>
          <w:p w14:paraId="7DF1CFBE" w14:textId="77777777" w:rsidR="00F17B19" w:rsidRPr="00F17B19" w:rsidRDefault="00F17B19" w:rsidP="00162086">
            <w:pPr>
              <w:widowControl w:val="0"/>
              <w:numPr>
                <w:ilvl w:val="0"/>
                <w:numId w:val="1"/>
              </w:numPr>
              <w:spacing w:after="0" w:line="240" w:lineRule="auto"/>
              <w:ind w:left="0" w:firstLine="0"/>
              <w:jc w:val="both"/>
              <w:rPr>
                <w:rFonts w:ascii="Times New Roman" w:eastAsia="Calibri" w:hAnsi="Times New Roman" w:cs="Times New Roman"/>
                <w:sz w:val="18"/>
                <w:szCs w:val="18"/>
                <w:lang w:eastAsia="pt-BR"/>
              </w:rPr>
            </w:pPr>
            <w:r w:rsidRPr="00F17B19">
              <w:rPr>
                <w:rFonts w:ascii="Times New Roman" w:eastAsia="Calibri" w:hAnsi="Times New Roman" w:cs="Times New Roman"/>
                <w:sz w:val="18"/>
                <w:szCs w:val="18"/>
                <w:lang w:eastAsia="pt-BR"/>
              </w:rPr>
              <w:t>Não desvincula as questões da diferença e da desigualdade presentes hoje de modo particularmente conflitivo, tanto no plano mundial quanto em cada sociedade. Afirma esta relação, complexa e que admite diferentes configurações em cada realidade, sem reduzir um polo ao outro.</w:t>
            </w:r>
          </w:p>
        </w:tc>
      </w:tr>
    </w:tbl>
    <w:p w14:paraId="77782518" w14:textId="77777777" w:rsidR="00F17B19" w:rsidRPr="00F17B19" w:rsidRDefault="00F17B19" w:rsidP="00F17B19">
      <w:pPr>
        <w:spacing w:after="0" w:line="360" w:lineRule="auto"/>
        <w:ind w:firstLine="709"/>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Fonte: Adaptado de Candau (2008, p. 20-23)</w:t>
      </w:r>
    </w:p>
    <w:p w14:paraId="573408A5" w14:textId="77777777" w:rsidR="00F17B19" w:rsidRPr="00F17B19" w:rsidRDefault="00F17B19" w:rsidP="00F17B19">
      <w:pPr>
        <w:spacing w:after="0" w:line="360" w:lineRule="auto"/>
        <w:ind w:firstLine="709"/>
        <w:jc w:val="both"/>
        <w:rPr>
          <w:rFonts w:ascii="Times New Roman" w:eastAsia="Calibri" w:hAnsi="Times New Roman" w:cs="Times New Roman"/>
          <w:sz w:val="20"/>
          <w:szCs w:val="20"/>
          <w:lang w:eastAsia="pt-BR"/>
        </w:rPr>
      </w:pPr>
    </w:p>
    <w:p w14:paraId="023C96C2" w14:textId="77777777" w:rsidR="00F17B19" w:rsidRPr="00F17B19" w:rsidRDefault="00F17B19" w:rsidP="00F17B19">
      <w:pPr>
        <w:spacing w:after="0" w:line="360" w:lineRule="auto"/>
        <w:ind w:firstLine="709"/>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4"/>
          <w:szCs w:val="24"/>
          <w:lang w:eastAsia="pt-BR"/>
        </w:rPr>
        <w:t>Por sua vez, Catherine Walsh (2009), educadora e pesquisadora latino-americana e caribenha traz registra que interculturalidade é um termo que tem sido usado recorrentemente para se referir a discursos, políticas e estratégias chamadas por ela  de estratégias de corte multicultural-neoliberal. Juntamente com Tubino (2005), Walsh (2009) nomeia esse modelo de interculturalidade como funcional, pois não questiona o jogo de e</w:t>
      </w:r>
      <w:r w:rsidRPr="00F17B19">
        <w:rPr>
          <w:rFonts w:ascii="Times New Roman" w:eastAsia="Calibri" w:hAnsi="Times New Roman" w:cs="Times New Roman"/>
          <w:color w:val="0070C0"/>
          <w:sz w:val="24"/>
          <w:szCs w:val="24"/>
          <w:lang w:eastAsia="pt-BR"/>
        </w:rPr>
        <w:t>,</w:t>
      </w:r>
      <w:r w:rsidRPr="00F17B19">
        <w:rPr>
          <w:rFonts w:ascii="Times New Roman" w:eastAsia="Calibri" w:hAnsi="Times New Roman" w:cs="Times New Roman"/>
          <w:sz w:val="24"/>
          <w:szCs w:val="24"/>
          <w:lang w:eastAsia="pt-BR"/>
        </w:rPr>
        <w:t xml:space="preserve"> é compatível com a lógica neoliberal existente. O que diferencia este modelo funcional de um modelo que ela entende como interculturalidade crítica, que pode ser entendida como “projeto político, social, epistêmico e ético”. Tubino (2005, p. 27) apresenta a diferença entre esses dois modelos de interculturalidade:</w:t>
      </w:r>
    </w:p>
    <w:p w14:paraId="69704AC5" w14:textId="77777777" w:rsidR="00F17B19" w:rsidRPr="00F17B19" w:rsidRDefault="00F17B19" w:rsidP="00F17B19">
      <w:pPr>
        <w:spacing w:before="120" w:after="120" w:line="240" w:lineRule="auto"/>
        <w:ind w:left="2268"/>
        <w:jc w:val="both"/>
        <w:rPr>
          <w:rFonts w:ascii="Times New Roman" w:eastAsia="Calibri" w:hAnsi="Times New Roman" w:cs="Times New Roman"/>
          <w:sz w:val="20"/>
          <w:szCs w:val="20"/>
          <w:lang w:val="es-CR" w:eastAsia="pt-BR"/>
        </w:rPr>
      </w:pPr>
      <w:r w:rsidRPr="00F17B19">
        <w:rPr>
          <w:rFonts w:ascii="Times New Roman" w:eastAsia="Calibri" w:hAnsi="Times New Roman" w:cs="Times New Roman"/>
          <w:i/>
          <w:iCs/>
          <w:sz w:val="20"/>
          <w:szCs w:val="20"/>
          <w:lang w:val="es-CR" w:eastAsia="pt-BR"/>
        </w:rPr>
        <w:t>Mientras que en el interculturalismo funcional se busca promover el diálogo</w:t>
      </w:r>
      <w:r w:rsidRPr="00F17B19">
        <w:rPr>
          <w:rFonts w:ascii="Times New Roman" w:eastAsia="Calibri" w:hAnsi="Times New Roman" w:cs="Times New Roman"/>
          <w:i/>
          <w:iCs/>
          <w:sz w:val="20"/>
          <w:szCs w:val="20"/>
          <w:lang w:val="es-CR" w:eastAsia="pt-BR"/>
        </w:rPr>
        <w:br/>
        <w:t>y la tolerancia sin tocar las causas de la asimetría social y cultural hoy vigentes, en el interculturalismo crítico se busca suprimirlas por métodos políticos, no violentos. La asimetría social y la discriminación cultural hacen inviable el diálogo intercultural auténtico. [...] Para hacer real el diálogo hay que empezar por visibilizar las causas del no-diálogo. Y esto passa necesariamente por un discurso de crítica social</w:t>
      </w:r>
      <w:r w:rsidRPr="00F17B19">
        <w:rPr>
          <w:rFonts w:ascii="Times New Roman" w:eastAsia="Calibri" w:hAnsi="Times New Roman" w:cs="Times New Roman"/>
          <w:sz w:val="20"/>
          <w:szCs w:val="20"/>
          <w:lang w:val="es-CR" w:eastAsia="pt-BR"/>
        </w:rPr>
        <w:t>.</w:t>
      </w:r>
      <w:r w:rsidRPr="00F17B19">
        <w:rPr>
          <w:rFonts w:ascii="Times New Roman" w:eastAsia="Calibri" w:hAnsi="Times New Roman" w:cs="Times New Roman"/>
          <w:sz w:val="20"/>
          <w:szCs w:val="20"/>
          <w:vertAlign w:val="superscript"/>
          <w:lang w:val="es-CR" w:eastAsia="pt-BR"/>
        </w:rPr>
        <w:footnoteReference w:id="5"/>
      </w:r>
    </w:p>
    <w:p w14:paraId="13F14D8D" w14:textId="77777777" w:rsidR="00F17B19" w:rsidRPr="00F17B19" w:rsidRDefault="00F17B19" w:rsidP="00F17B19">
      <w:pPr>
        <w:spacing w:after="0" w:line="360" w:lineRule="auto"/>
        <w:ind w:firstLine="709"/>
        <w:jc w:val="both"/>
        <w:rPr>
          <w:rFonts w:ascii="Times New Roman" w:eastAsia="Calibri" w:hAnsi="Times New Roman" w:cs="Times New Roman"/>
          <w:b/>
          <w:bCs/>
          <w:sz w:val="24"/>
          <w:szCs w:val="24"/>
          <w:lang w:eastAsia="pt-BR"/>
        </w:rPr>
      </w:pPr>
      <w:r w:rsidRPr="00F17B19">
        <w:rPr>
          <w:rFonts w:ascii="Times New Roman" w:eastAsia="Calibri" w:hAnsi="Times New Roman" w:cs="Times New Roman"/>
          <w:sz w:val="24"/>
          <w:szCs w:val="24"/>
          <w:lang w:eastAsia="pt-BR"/>
        </w:rPr>
        <w:t>Desta conversa entre Walsh (2009) e Tubino (2005) podemos depreender que a sociedade atual capitalista e neoliberal, tem buscado subterfúgios para se apropriar da interculturalidade, assim como historicamente tem se apropriado de tudo com o qual possa ter algum tipo de proveito. Ao que Walsh (2009, p. 21) indica que “o enfoque e a prática” da interculturalidade crítica não são funcionais para o modelo atual de sociedade, mas questionadores desse modelo. A autora nos auxilia a distinguir algumas características que diferem entre os dois modelos como podemos ver no quadro abaixo.</w:t>
      </w:r>
    </w:p>
    <w:p w14:paraId="2B38C682" w14:textId="77777777" w:rsidR="00F17B19" w:rsidRPr="00F17B19" w:rsidRDefault="00F17B19" w:rsidP="00F17B19">
      <w:pPr>
        <w:keepNext/>
        <w:spacing w:after="120" w:line="240" w:lineRule="auto"/>
        <w:jc w:val="center"/>
        <w:rPr>
          <w:rFonts w:ascii="Times New Roman" w:eastAsia="Calibri" w:hAnsi="Times New Roman" w:cs="Calibri"/>
          <w:iCs/>
          <w:color w:val="000000"/>
          <w:sz w:val="24"/>
          <w:szCs w:val="18"/>
          <w:lang w:eastAsia="pt-BR"/>
        </w:rPr>
      </w:pPr>
      <w:bookmarkStart w:id="21" w:name="_Toc95773342"/>
      <w:r w:rsidRPr="00F17B19">
        <w:rPr>
          <w:rFonts w:ascii="Times New Roman" w:eastAsia="Calibri" w:hAnsi="Times New Roman" w:cs="Calibri"/>
          <w:iCs/>
          <w:color w:val="000000"/>
          <w:sz w:val="24"/>
          <w:szCs w:val="18"/>
          <w:lang w:eastAsia="pt-BR"/>
        </w:rPr>
        <w:t xml:space="preserve">Quadro </w:t>
      </w:r>
      <w:r w:rsidRPr="00F17B19">
        <w:rPr>
          <w:rFonts w:ascii="Times New Roman" w:eastAsia="Calibri" w:hAnsi="Times New Roman" w:cs="Calibri"/>
          <w:iCs/>
          <w:color w:val="000000"/>
          <w:sz w:val="24"/>
          <w:szCs w:val="18"/>
          <w:lang w:eastAsia="pt-BR"/>
        </w:rPr>
        <w:fldChar w:fldCharType="begin"/>
      </w:r>
      <w:r w:rsidRPr="00F17B19">
        <w:rPr>
          <w:rFonts w:ascii="Times New Roman" w:eastAsia="Calibri" w:hAnsi="Times New Roman" w:cs="Calibri"/>
          <w:iCs/>
          <w:color w:val="000000"/>
          <w:sz w:val="24"/>
          <w:szCs w:val="18"/>
          <w:lang w:eastAsia="pt-BR"/>
        </w:rPr>
        <w:instrText xml:space="preserve"> SEQ Quadro \* ARABIC </w:instrText>
      </w:r>
      <w:r w:rsidRPr="00F17B19">
        <w:rPr>
          <w:rFonts w:ascii="Times New Roman" w:eastAsia="Calibri" w:hAnsi="Times New Roman" w:cs="Calibri"/>
          <w:iCs/>
          <w:color w:val="000000"/>
          <w:sz w:val="24"/>
          <w:szCs w:val="18"/>
          <w:lang w:eastAsia="pt-BR"/>
        </w:rPr>
        <w:fldChar w:fldCharType="separate"/>
      </w:r>
      <w:r w:rsidRPr="00F17B19">
        <w:rPr>
          <w:rFonts w:ascii="Times New Roman" w:eastAsia="Calibri" w:hAnsi="Times New Roman" w:cs="Calibri"/>
          <w:iCs/>
          <w:noProof/>
          <w:color w:val="000000"/>
          <w:sz w:val="24"/>
          <w:szCs w:val="18"/>
          <w:lang w:eastAsia="pt-BR"/>
        </w:rPr>
        <w:t>5</w:t>
      </w:r>
      <w:r w:rsidRPr="00F17B19">
        <w:rPr>
          <w:rFonts w:ascii="Times New Roman" w:eastAsia="Calibri" w:hAnsi="Times New Roman" w:cs="Calibri"/>
          <w:iCs/>
          <w:noProof/>
          <w:color w:val="000000"/>
          <w:sz w:val="24"/>
          <w:szCs w:val="18"/>
          <w:lang w:eastAsia="pt-BR"/>
        </w:rPr>
        <w:fldChar w:fldCharType="end"/>
      </w:r>
      <w:r w:rsidRPr="00F17B19">
        <w:rPr>
          <w:rFonts w:ascii="Times New Roman" w:eastAsia="Calibri" w:hAnsi="Times New Roman" w:cs="Calibri"/>
          <w:iCs/>
          <w:color w:val="000000"/>
          <w:sz w:val="24"/>
          <w:szCs w:val="18"/>
          <w:lang w:eastAsia="pt-BR"/>
        </w:rPr>
        <w:t xml:space="preserve"> - Abordagens da interculturalidade</w:t>
      </w:r>
      <w:bookmarkEnd w:id="21"/>
    </w:p>
    <w:tbl>
      <w:tblPr>
        <w:tblStyle w:val="Tabelacomgrade"/>
        <w:tblW w:w="0" w:type="auto"/>
        <w:tblLook w:val="04A0" w:firstRow="1" w:lastRow="0" w:firstColumn="1" w:lastColumn="0" w:noHBand="0" w:noVBand="1"/>
      </w:tblPr>
      <w:tblGrid>
        <w:gridCol w:w="4530"/>
        <w:gridCol w:w="4531"/>
      </w:tblGrid>
      <w:tr w:rsidR="00F17B19" w:rsidRPr="00F17B19" w14:paraId="40E804A2" w14:textId="77777777" w:rsidTr="00AD6BAA">
        <w:tc>
          <w:tcPr>
            <w:tcW w:w="4530" w:type="dxa"/>
          </w:tcPr>
          <w:p w14:paraId="3C242A1D"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INTERCULTURALIDADE FUNCIONAL</w:t>
            </w:r>
          </w:p>
        </w:tc>
        <w:tc>
          <w:tcPr>
            <w:tcW w:w="4531" w:type="dxa"/>
          </w:tcPr>
          <w:p w14:paraId="52707FEA"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INTERCULTURALIDADE CRÍTICA</w:t>
            </w:r>
          </w:p>
        </w:tc>
      </w:tr>
      <w:tr w:rsidR="00F17B19" w:rsidRPr="00F17B19" w14:paraId="65B77FE5" w14:textId="77777777" w:rsidTr="00AD6BAA">
        <w:tc>
          <w:tcPr>
            <w:tcW w:w="4530" w:type="dxa"/>
          </w:tcPr>
          <w:p w14:paraId="20067F6A"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sz w:val="20"/>
                <w:szCs w:val="20"/>
                <w:lang w:eastAsia="pt-BR"/>
              </w:rPr>
              <w:t xml:space="preserve">Assume a diversidade cultural como eixo central, apontando seu reconhecimento e inclusão dentro da sociedade e do Estado nacionais (uni nacionais por prática e concepção) e deixando de fora os dispositivos </w:t>
            </w:r>
            <w:r w:rsidRPr="00F17B19">
              <w:rPr>
                <w:rFonts w:ascii="Times New Roman" w:eastAsia="Calibri" w:hAnsi="Times New Roman" w:cs="Times New Roman"/>
                <w:sz w:val="20"/>
                <w:szCs w:val="20"/>
                <w:lang w:eastAsia="pt-BR"/>
              </w:rPr>
              <w:lastRenderedPageBreak/>
              <w:t>e padrões de poder institucional-estrutural – que mantêm a desigualdade;</w:t>
            </w:r>
          </w:p>
        </w:tc>
        <w:tc>
          <w:tcPr>
            <w:tcW w:w="4531" w:type="dxa"/>
          </w:tcPr>
          <w:p w14:paraId="3452C0B4"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 xml:space="preserve">Parte do problema do poder, seu padrão de racialização e da diferença (colonial, não </w:t>
            </w:r>
            <w:r w:rsidRPr="00F17B19">
              <w:rPr>
                <w:rFonts w:ascii="Times New Roman" w:eastAsia="Calibri" w:hAnsi="Times New Roman" w:cs="Times New Roman"/>
                <w:sz w:val="20"/>
                <w:szCs w:val="20"/>
                <w:lang w:eastAsia="pt-BR"/>
              </w:rPr>
              <w:lastRenderedPageBreak/>
              <w:t>simplesmente cultural) que foi construída em função disso;</w:t>
            </w:r>
          </w:p>
        </w:tc>
      </w:tr>
      <w:tr w:rsidR="00F17B19" w:rsidRPr="00F17B19" w14:paraId="08815F71" w14:textId="77777777" w:rsidTr="00AD6BAA">
        <w:tc>
          <w:tcPr>
            <w:tcW w:w="4530" w:type="dxa"/>
          </w:tcPr>
          <w:p w14:paraId="4BB27179"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sz w:val="20"/>
                <w:szCs w:val="20"/>
                <w:lang w:eastAsia="pt-BR"/>
              </w:rPr>
              <w:lastRenderedPageBreak/>
              <w:t>Responde e é parte dos interesses e necessidades das instituições sociais;</w:t>
            </w:r>
          </w:p>
        </w:tc>
        <w:tc>
          <w:tcPr>
            <w:tcW w:w="4531" w:type="dxa"/>
          </w:tcPr>
          <w:p w14:paraId="17B7FD69"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É uma construção de e a partir das pessoas que sofreram uma histórica submissão e subalternização;</w:t>
            </w:r>
          </w:p>
        </w:tc>
      </w:tr>
      <w:tr w:rsidR="00F17B19" w:rsidRPr="00F17B19" w14:paraId="391DB128" w14:textId="77777777" w:rsidTr="00AD6BAA">
        <w:tc>
          <w:tcPr>
            <w:tcW w:w="4530" w:type="dxa"/>
          </w:tcPr>
          <w:p w14:paraId="663731AA" w14:textId="77777777" w:rsidR="00F17B19" w:rsidRPr="00F17B19" w:rsidRDefault="00F17B19" w:rsidP="00F17B19">
            <w:pPr>
              <w:spacing w:after="200" w:line="276" w:lineRule="auto"/>
              <w:jc w:val="both"/>
              <w:rPr>
                <w:rFonts w:ascii="Times New Roman" w:eastAsia="Calibri" w:hAnsi="Times New Roman" w:cs="Times New Roman"/>
                <w:b/>
                <w:bCs/>
                <w:sz w:val="20"/>
                <w:szCs w:val="20"/>
                <w:lang w:eastAsia="pt-BR"/>
              </w:rPr>
            </w:pPr>
            <w:r w:rsidRPr="00F17B19">
              <w:rPr>
                <w:rFonts w:ascii="Times New Roman" w:eastAsia="Calibri" w:hAnsi="Times New Roman" w:cs="Times New Roman"/>
                <w:sz w:val="20"/>
                <w:szCs w:val="20"/>
                <w:lang w:eastAsia="pt-BR"/>
              </w:rPr>
              <w:t>Processo ou projeto étnico, projeto da diferença em si.</w:t>
            </w:r>
          </w:p>
        </w:tc>
        <w:tc>
          <w:tcPr>
            <w:tcW w:w="4531" w:type="dxa"/>
          </w:tcPr>
          <w:p w14:paraId="6E7928C3"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Projeto que aponta à reexistência e à própria vida, para um imaginário “outro” e uma agência “outra” de com-vivência – de viver “com” – e de sociedade (ALBÁN, 2009; WALSH, 2009).</w:t>
            </w:r>
          </w:p>
        </w:tc>
      </w:tr>
    </w:tbl>
    <w:p w14:paraId="43223029"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Fonte: Walsh (2009)</w:t>
      </w:r>
    </w:p>
    <w:p w14:paraId="119E6C90"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p>
    <w:p w14:paraId="05B797B9"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Walsh (2009) lembra que a interculturalidade crítica tem suas raízes plantadas não no Estado ou na academia, mas em discussões políticas arguidas pelos movimentos sociais, o que “faz ressaltar seu sentido contra-hegemônico, sua orientação com relação ao problema estrutural-colonial-capitalista e sua ação de transformação e criação” (WALSH, 2009, p. 22).</w:t>
      </w:r>
    </w:p>
    <w:p w14:paraId="6F444BA7"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O entendimento de desenvolvimento capitalista parte da percepção de que para enriquecer é necessário estar cada vez menos envolvido com os problemas da sociedade, ou melhor dizendo, se (des)envolver das desigualdades sociais que esmagam diariamente a todas as minorias que se encontram na base da pirâmide social brasileira.  </w:t>
      </w:r>
    </w:p>
    <w:p w14:paraId="2A172F65" w14:textId="77777777" w:rsidR="00F17B19" w:rsidRPr="00F17B19" w:rsidRDefault="00F17B19" w:rsidP="00F17B19">
      <w:pPr>
        <w:spacing w:after="0" w:line="360" w:lineRule="auto"/>
        <w:ind w:firstLine="709"/>
        <w:jc w:val="both"/>
        <w:rPr>
          <w:rFonts w:ascii="Times New Roman" w:eastAsia="Calibri" w:hAnsi="Times New Roman" w:cs="Times New Roman"/>
          <w:color w:val="00B050"/>
          <w:sz w:val="20"/>
          <w:szCs w:val="20"/>
          <w:lang w:eastAsia="pt-BR"/>
        </w:rPr>
      </w:pPr>
      <w:r w:rsidRPr="00F17B19">
        <w:rPr>
          <w:rFonts w:ascii="Times New Roman" w:eastAsia="Calibri" w:hAnsi="Times New Roman" w:cs="Times New Roman"/>
          <w:sz w:val="24"/>
          <w:szCs w:val="24"/>
          <w:lang w:eastAsia="pt-BR"/>
        </w:rPr>
        <w:t>Com base na figura abaixo (Figura 9), Santos </w:t>
      </w:r>
      <w:r w:rsidRPr="00F17B19">
        <w:rPr>
          <w:rFonts w:ascii="Times New Roman" w:eastAsia="Calibri" w:hAnsi="Times New Roman" w:cs="Times New Roman"/>
          <w:i/>
          <w:iCs/>
          <w:sz w:val="24"/>
          <w:szCs w:val="24"/>
          <w:lang w:eastAsia="pt-BR"/>
        </w:rPr>
        <w:t>et al.</w:t>
      </w:r>
      <w:r w:rsidRPr="00F17B19">
        <w:rPr>
          <w:rFonts w:ascii="Times New Roman" w:eastAsia="Calibri" w:hAnsi="Times New Roman" w:cs="Times New Roman"/>
          <w:sz w:val="24"/>
          <w:szCs w:val="24"/>
          <w:lang w:eastAsia="pt-BR"/>
        </w:rPr>
        <w:t xml:space="preserve"> (2012, p. 46), afirmam, que “é possível perceber que, com a junção dos elementos que compõem a palavra desenvolvimento, formam algo que poderia ser expresso como: ‘sem movimento para reverter a ação’ ou ainda ‘sem envolvimento’”. E pontuam ainda sobre o entendimento de Furtado:</w:t>
      </w:r>
    </w:p>
    <w:p w14:paraId="5681F48E" w14:textId="77777777" w:rsidR="00F17B19" w:rsidRPr="00F17B19" w:rsidRDefault="00F17B19" w:rsidP="00F17B19">
      <w:pPr>
        <w:spacing w:before="120" w:after="120" w:line="240" w:lineRule="auto"/>
        <w:ind w:left="2268"/>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Percebam que o conceito de desenvolvimento concebido no campo da economia centra-se na idéia da acumulação de riqueza e na expectativa que o futuro guarda em si a promessa de um maior bem estar (FURTADO, 1988). O desenvolvimento é visto como a força motriz capaz de conduzir uma sociedade atrasada à uma sociedade avançada. Desenvolver é sinônimo de acumular para depois distribuir. Essa visão de desenvolvimento torna-se mais ainda propagada com o surgimento da abordagem neoclássica da economia. Para os teóricos dessa corrente, o desenvolvimento se irradia concentricamente ao longo do tempo pelo espaço, trazendo a todos em algum momento o mesmo nível de progresso material, social e cultural dos países pioneiros capitalistas. Porém, verificou-se que no decorrer da história isso não aconteceu. Muito pelo contrário, a distância entre países ricos e países pobres ampliou. Crescer é preciso, distribuir nem tanto (SANTOS </w:t>
      </w:r>
      <w:r w:rsidRPr="00F17B19">
        <w:rPr>
          <w:rFonts w:ascii="Times New Roman" w:eastAsia="Calibri" w:hAnsi="Times New Roman" w:cs="Times New Roman"/>
          <w:i/>
          <w:iCs/>
          <w:sz w:val="20"/>
          <w:szCs w:val="20"/>
          <w:lang w:eastAsia="pt-BR"/>
        </w:rPr>
        <w:t>et al.</w:t>
      </w:r>
      <w:r w:rsidRPr="00F17B19">
        <w:rPr>
          <w:rFonts w:ascii="Times New Roman" w:eastAsia="Calibri" w:hAnsi="Times New Roman" w:cs="Times New Roman"/>
          <w:sz w:val="20"/>
          <w:szCs w:val="20"/>
          <w:lang w:eastAsia="pt-BR"/>
        </w:rPr>
        <w:t>, 2012, p. 48).</w:t>
      </w:r>
    </w:p>
    <w:p w14:paraId="528FD4A2" w14:textId="77777777" w:rsidR="00F17B19" w:rsidRPr="00F17B19" w:rsidRDefault="00F17B19" w:rsidP="00F17B19">
      <w:pPr>
        <w:spacing w:after="0" w:line="240" w:lineRule="auto"/>
        <w:ind w:left="2268"/>
        <w:jc w:val="both"/>
        <w:rPr>
          <w:rFonts w:ascii="Times New Roman" w:eastAsia="Calibri" w:hAnsi="Times New Roman" w:cs="Times New Roman"/>
          <w:color w:val="00B050"/>
          <w:sz w:val="20"/>
          <w:szCs w:val="20"/>
          <w:lang w:eastAsia="pt-BR"/>
        </w:rPr>
      </w:pPr>
      <w:r w:rsidRPr="00F17B19">
        <w:rPr>
          <w:rFonts w:ascii="Times New Roman" w:eastAsia="Calibri" w:hAnsi="Times New Roman" w:cs="Times New Roman"/>
          <w:noProof/>
          <w:sz w:val="24"/>
          <w:szCs w:val="24"/>
          <w:lang w:eastAsia="pt-BR"/>
        </w:rPr>
        <w:lastRenderedPageBreak/>
        <w:drawing>
          <wp:anchor distT="0" distB="0" distL="114300" distR="114300" simplePos="0" relativeHeight="251659264" behindDoc="0" locked="0" layoutInCell="1" allowOverlap="1" wp14:anchorId="74321CCB" wp14:editId="41878165">
            <wp:simplePos x="0" y="0"/>
            <wp:positionH relativeFrom="margin">
              <wp:posOffset>0</wp:posOffset>
            </wp:positionH>
            <wp:positionV relativeFrom="paragraph">
              <wp:posOffset>403860</wp:posOffset>
            </wp:positionV>
            <wp:extent cx="5760085" cy="2241550"/>
            <wp:effectExtent l="0" t="0" r="0" b="6350"/>
            <wp:wrapTopAndBottom/>
            <wp:docPr id="1347" name="Imagem 1347" descr="Diagrama, Esquemát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 name="Imagem 1347" descr="Diagrama, Esquemático&#10;&#10;Descrição gerad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5760085" cy="2241550"/>
                    </a:xfrm>
                    <a:prstGeom prst="rect">
                      <a:avLst/>
                    </a:prstGeom>
                  </pic:spPr>
                </pic:pic>
              </a:graphicData>
            </a:graphic>
          </wp:anchor>
        </w:drawing>
      </w:r>
      <w:r w:rsidRPr="00F17B19">
        <w:rPr>
          <w:rFonts w:ascii="Calibri" w:eastAsia="Calibri" w:hAnsi="Calibri" w:cs="Calibri"/>
          <w:noProof/>
          <w:lang w:eastAsia="pt-BR"/>
        </w:rPr>
        <mc:AlternateContent>
          <mc:Choice Requires="wps">
            <w:drawing>
              <wp:anchor distT="0" distB="0" distL="114300" distR="114300" simplePos="0" relativeHeight="251660288" behindDoc="0" locked="0" layoutInCell="1" allowOverlap="1" wp14:anchorId="067BDE08" wp14:editId="59018051">
                <wp:simplePos x="0" y="0"/>
                <wp:positionH relativeFrom="column">
                  <wp:posOffset>-131445</wp:posOffset>
                </wp:positionH>
                <wp:positionV relativeFrom="paragraph">
                  <wp:posOffset>198755</wp:posOffset>
                </wp:positionV>
                <wp:extent cx="5760085" cy="208280"/>
                <wp:effectExtent l="0" t="0" r="5715" b="0"/>
                <wp:wrapTopAndBottom/>
                <wp:docPr id="1369" name="Caixa de Texto 1369"/>
                <wp:cNvGraphicFramePr/>
                <a:graphic xmlns:a="http://schemas.openxmlformats.org/drawingml/2006/main">
                  <a:graphicData uri="http://schemas.microsoft.com/office/word/2010/wordprocessingShape">
                    <wps:wsp>
                      <wps:cNvSpPr txBox="1"/>
                      <wps:spPr>
                        <a:xfrm>
                          <a:off x="0" y="0"/>
                          <a:ext cx="5760085" cy="208280"/>
                        </a:xfrm>
                        <a:prstGeom prst="rect">
                          <a:avLst/>
                        </a:prstGeom>
                        <a:solidFill>
                          <a:prstClr val="white"/>
                        </a:solidFill>
                        <a:ln>
                          <a:noFill/>
                        </a:ln>
                      </wps:spPr>
                      <wps:txbx>
                        <w:txbxContent>
                          <w:p w14:paraId="316DEA91" w14:textId="77777777" w:rsidR="00F17B19" w:rsidRPr="006A1C7A" w:rsidRDefault="00F17B19" w:rsidP="006A1C7A">
                            <w:pPr>
                              <w:pStyle w:val="Legenda"/>
                              <w:jc w:val="center"/>
                              <w:rPr>
                                <w:rFonts w:ascii="Times New Roman" w:hAnsi="Times New Roman" w:cs="Times New Roman"/>
                                <w:i w:val="0"/>
                                <w:iCs w:val="0"/>
                                <w:noProof/>
                                <w:color w:val="auto"/>
                                <w:sz w:val="24"/>
                                <w:szCs w:val="24"/>
                              </w:rPr>
                            </w:pPr>
                            <w:bookmarkStart w:id="22" w:name="_Toc95777102"/>
                            <w:r w:rsidRPr="006A1C7A">
                              <w:rPr>
                                <w:rFonts w:ascii="Times New Roman" w:hAnsi="Times New Roman" w:cs="Times New Roman"/>
                                <w:i w:val="0"/>
                                <w:iCs w:val="0"/>
                                <w:color w:val="auto"/>
                                <w:sz w:val="24"/>
                                <w:szCs w:val="24"/>
                              </w:rPr>
                              <w:t xml:space="preserve">Figura </w:t>
                            </w:r>
                            <w:r w:rsidRPr="006A1C7A">
                              <w:rPr>
                                <w:rFonts w:ascii="Times New Roman" w:hAnsi="Times New Roman" w:cs="Times New Roman"/>
                                <w:i w:val="0"/>
                                <w:iCs w:val="0"/>
                                <w:color w:val="auto"/>
                                <w:sz w:val="24"/>
                                <w:szCs w:val="24"/>
                              </w:rPr>
                              <w:fldChar w:fldCharType="begin"/>
                            </w:r>
                            <w:r w:rsidRPr="006A1C7A">
                              <w:rPr>
                                <w:rFonts w:ascii="Times New Roman" w:hAnsi="Times New Roman" w:cs="Times New Roman"/>
                                <w:i w:val="0"/>
                                <w:iCs w:val="0"/>
                                <w:color w:val="auto"/>
                                <w:sz w:val="24"/>
                                <w:szCs w:val="24"/>
                              </w:rPr>
                              <w:instrText xml:space="preserve"> SEQ Figura \* ARABIC </w:instrText>
                            </w:r>
                            <w:r w:rsidRPr="006A1C7A">
                              <w:rPr>
                                <w:rFonts w:ascii="Times New Roman" w:hAnsi="Times New Roman" w:cs="Times New Roman"/>
                                <w:i w:val="0"/>
                                <w:iCs w:val="0"/>
                                <w:color w:val="auto"/>
                                <w:sz w:val="24"/>
                                <w:szCs w:val="24"/>
                              </w:rPr>
                              <w:fldChar w:fldCharType="separate"/>
                            </w:r>
                            <w:r w:rsidRPr="006A1C7A">
                              <w:rPr>
                                <w:rFonts w:ascii="Times New Roman" w:hAnsi="Times New Roman" w:cs="Times New Roman"/>
                                <w:i w:val="0"/>
                                <w:iCs w:val="0"/>
                                <w:noProof/>
                                <w:color w:val="auto"/>
                                <w:sz w:val="24"/>
                                <w:szCs w:val="24"/>
                              </w:rPr>
                              <w:t>5</w:t>
                            </w:r>
                            <w:r w:rsidRPr="006A1C7A">
                              <w:rPr>
                                <w:rFonts w:ascii="Times New Roman" w:hAnsi="Times New Roman" w:cs="Times New Roman"/>
                                <w:i w:val="0"/>
                                <w:iCs w:val="0"/>
                                <w:noProof/>
                                <w:color w:val="auto"/>
                                <w:sz w:val="24"/>
                                <w:szCs w:val="24"/>
                              </w:rPr>
                              <w:fldChar w:fldCharType="end"/>
                            </w:r>
                            <w:r w:rsidRPr="006A1C7A">
                              <w:rPr>
                                <w:rFonts w:ascii="Times New Roman" w:hAnsi="Times New Roman" w:cs="Times New Roman"/>
                                <w:i w:val="0"/>
                                <w:iCs w:val="0"/>
                                <w:color w:val="auto"/>
                                <w:sz w:val="24"/>
                                <w:szCs w:val="24"/>
                              </w:rPr>
                              <w:t xml:space="preserve"> - Etimologia da palavra desenvolvimento</w:t>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7BDE08" id="_x0000_t202" coordsize="21600,21600" o:spt="202" path="m,l,21600r21600,l21600,xe">
                <v:stroke joinstyle="miter"/>
                <v:path gradientshapeok="t" o:connecttype="rect"/>
              </v:shapetype>
              <v:shape id="Caixa de Texto 1369" o:spid="_x0000_s1026" type="#_x0000_t202" style="position:absolute;left:0;text-align:left;margin-left:-10.35pt;margin-top:15.65pt;width:453.55pt;height:16.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" stroked="f">
                <v:textbox inset="0,0,0,0">
                  <w:txbxContent>
                    <w:p w14:paraId="316DEA91" w14:textId="77777777" w:rsidR="00F17B19" w:rsidRPr="006A1C7A" w:rsidRDefault="00F17B19" w:rsidP="006A1C7A">
                      <w:pPr>
                        <w:pStyle w:val="Legenda"/>
                        <w:jc w:val="center"/>
                        <w:rPr>
                          <w:rFonts w:ascii="Times New Roman" w:hAnsi="Times New Roman" w:cs="Times New Roman"/>
                          <w:i w:val="0"/>
                          <w:iCs w:val="0"/>
                          <w:noProof/>
                          <w:color w:val="auto"/>
                          <w:sz w:val="24"/>
                          <w:szCs w:val="24"/>
                        </w:rPr>
                      </w:pPr>
                      <w:bookmarkStart w:id="23" w:name="_Toc95777102"/>
                      <w:r w:rsidRPr="006A1C7A">
                        <w:rPr>
                          <w:rFonts w:ascii="Times New Roman" w:hAnsi="Times New Roman" w:cs="Times New Roman"/>
                          <w:i w:val="0"/>
                          <w:iCs w:val="0"/>
                          <w:color w:val="auto"/>
                          <w:sz w:val="24"/>
                          <w:szCs w:val="24"/>
                        </w:rPr>
                        <w:t xml:space="preserve">Figura </w:t>
                      </w:r>
                      <w:r w:rsidRPr="006A1C7A">
                        <w:rPr>
                          <w:rFonts w:ascii="Times New Roman" w:hAnsi="Times New Roman" w:cs="Times New Roman"/>
                          <w:i w:val="0"/>
                          <w:iCs w:val="0"/>
                          <w:color w:val="auto"/>
                          <w:sz w:val="24"/>
                          <w:szCs w:val="24"/>
                        </w:rPr>
                        <w:fldChar w:fldCharType="begin"/>
                      </w:r>
                      <w:r w:rsidRPr="006A1C7A">
                        <w:rPr>
                          <w:rFonts w:ascii="Times New Roman" w:hAnsi="Times New Roman" w:cs="Times New Roman"/>
                          <w:i w:val="0"/>
                          <w:iCs w:val="0"/>
                          <w:color w:val="auto"/>
                          <w:sz w:val="24"/>
                          <w:szCs w:val="24"/>
                        </w:rPr>
                        <w:instrText xml:space="preserve"> SEQ Figura \* ARABIC </w:instrText>
                      </w:r>
                      <w:r w:rsidRPr="006A1C7A">
                        <w:rPr>
                          <w:rFonts w:ascii="Times New Roman" w:hAnsi="Times New Roman" w:cs="Times New Roman"/>
                          <w:i w:val="0"/>
                          <w:iCs w:val="0"/>
                          <w:color w:val="auto"/>
                          <w:sz w:val="24"/>
                          <w:szCs w:val="24"/>
                        </w:rPr>
                        <w:fldChar w:fldCharType="separate"/>
                      </w:r>
                      <w:r w:rsidRPr="006A1C7A">
                        <w:rPr>
                          <w:rFonts w:ascii="Times New Roman" w:hAnsi="Times New Roman" w:cs="Times New Roman"/>
                          <w:i w:val="0"/>
                          <w:iCs w:val="0"/>
                          <w:noProof/>
                          <w:color w:val="auto"/>
                          <w:sz w:val="24"/>
                          <w:szCs w:val="24"/>
                        </w:rPr>
                        <w:t>5</w:t>
                      </w:r>
                      <w:r w:rsidRPr="006A1C7A">
                        <w:rPr>
                          <w:rFonts w:ascii="Times New Roman" w:hAnsi="Times New Roman" w:cs="Times New Roman"/>
                          <w:i w:val="0"/>
                          <w:iCs w:val="0"/>
                          <w:noProof/>
                          <w:color w:val="auto"/>
                          <w:sz w:val="24"/>
                          <w:szCs w:val="24"/>
                        </w:rPr>
                        <w:fldChar w:fldCharType="end"/>
                      </w:r>
                      <w:r w:rsidRPr="006A1C7A">
                        <w:rPr>
                          <w:rFonts w:ascii="Times New Roman" w:hAnsi="Times New Roman" w:cs="Times New Roman"/>
                          <w:i w:val="0"/>
                          <w:iCs w:val="0"/>
                          <w:color w:val="auto"/>
                          <w:sz w:val="24"/>
                          <w:szCs w:val="24"/>
                        </w:rPr>
                        <w:t xml:space="preserve"> - Etimologia da palavra desenvolvimento</w:t>
                      </w:r>
                      <w:bookmarkEnd w:id="23"/>
                    </w:p>
                  </w:txbxContent>
                </v:textbox>
                <w10:wrap type="topAndBottom"/>
              </v:shape>
            </w:pict>
          </mc:Fallback>
        </mc:AlternateContent>
      </w:r>
    </w:p>
    <w:p w14:paraId="72DD3E03"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Fonte: Santos et al (2012)</w:t>
      </w:r>
    </w:p>
    <w:p w14:paraId="2CA10043"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p>
    <w:p w14:paraId="3793D7E4"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Embora saibamos que a interpretação de Santos </w:t>
      </w:r>
      <w:r w:rsidRPr="00F17B19">
        <w:rPr>
          <w:rFonts w:ascii="Times New Roman" w:eastAsia="Calibri" w:hAnsi="Times New Roman" w:cs="Times New Roman"/>
          <w:i/>
          <w:iCs/>
          <w:sz w:val="24"/>
          <w:szCs w:val="24"/>
          <w:lang w:eastAsia="pt-BR"/>
        </w:rPr>
        <w:t>et al</w:t>
      </w:r>
      <w:r w:rsidRPr="00F17B19">
        <w:rPr>
          <w:rFonts w:ascii="Times New Roman" w:eastAsia="Calibri" w:hAnsi="Times New Roman" w:cs="Times New Roman"/>
          <w:sz w:val="24"/>
          <w:szCs w:val="24"/>
          <w:lang w:eastAsia="pt-BR"/>
        </w:rPr>
        <w:t xml:space="preserve">. (2012) não consegue envolver e depreender a totalidade do pensamento de Celso Furtado, e que muito estudo ainda é necessário da nossa parte para que possamos formar uma opinião elaborada a respeito. Concordamos com os autores, quando na conclusão de seu artigo, afirmam que “O desenvolvimento é um fenômeno complexo que ainda não tem uma definição esclarecedora e conclusiva sobre o seu significado (Idem, p. 58). </w:t>
      </w:r>
    </w:p>
    <w:p w14:paraId="3DCE1F98" w14:textId="77777777" w:rsidR="00F17B19" w:rsidRPr="00F17B19" w:rsidRDefault="00F17B19" w:rsidP="00F17B19">
      <w:pPr>
        <w:spacing w:after="0" w:line="360" w:lineRule="auto"/>
        <w:ind w:firstLine="709"/>
        <w:jc w:val="both"/>
        <w:rPr>
          <w:rFonts w:ascii="Times New Roman" w:eastAsia="Calibri" w:hAnsi="Times New Roman" w:cs="Times New Roman"/>
          <w:b/>
          <w:bCs/>
          <w:sz w:val="24"/>
          <w:szCs w:val="24"/>
          <w:lang w:eastAsia="pt-BR"/>
        </w:rPr>
      </w:pPr>
      <w:r w:rsidRPr="00F17B19">
        <w:rPr>
          <w:rFonts w:ascii="Times New Roman" w:eastAsia="Calibri" w:hAnsi="Times New Roman" w:cs="Times New Roman"/>
          <w:sz w:val="24"/>
          <w:szCs w:val="24"/>
          <w:lang w:eastAsia="pt-BR"/>
        </w:rPr>
        <w:t>Manfred Max-Neef (2012) compreende que o atual modelo de desenvolvimento está imerso em limitações, o autor identifica movimentos pendulares, quando analisa o desenvolvimento no contexto latino-americano, “Neste jogo pendular, podemos identificar com clareza as duas facções econômicas que tem predominado no contexto latino-americano: o desenvolvimentismo e o monetarismo neoliberal. Por diversas razões, nenhuma das orientações alcançou seus objetivos originais” (MAX-NEEF, 20121, p. 19). O autor aponta causas/razões para o fracasso dessas duas facções/modelos de desenvolvimento como podemos observar no quadro 5 abaixo:</w:t>
      </w:r>
    </w:p>
    <w:p w14:paraId="279ED4ED" w14:textId="77777777" w:rsidR="00F17B19" w:rsidRPr="00F17B19" w:rsidRDefault="00F17B19" w:rsidP="00F17B19">
      <w:pPr>
        <w:keepNext/>
        <w:spacing w:after="120" w:line="240" w:lineRule="auto"/>
        <w:jc w:val="center"/>
        <w:rPr>
          <w:rFonts w:ascii="Times New Roman" w:eastAsia="Calibri" w:hAnsi="Times New Roman" w:cs="Calibri"/>
          <w:iCs/>
          <w:color w:val="000000"/>
          <w:sz w:val="24"/>
          <w:szCs w:val="18"/>
          <w:lang w:eastAsia="pt-BR"/>
        </w:rPr>
      </w:pPr>
      <w:bookmarkStart w:id="24" w:name="_Toc95773343"/>
      <w:r w:rsidRPr="00F17B19">
        <w:rPr>
          <w:rFonts w:ascii="Times New Roman" w:eastAsia="Calibri" w:hAnsi="Times New Roman" w:cs="Calibri"/>
          <w:iCs/>
          <w:color w:val="000000"/>
          <w:sz w:val="24"/>
          <w:szCs w:val="18"/>
          <w:lang w:eastAsia="pt-BR"/>
        </w:rPr>
        <w:t xml:space="preserve">Quadro </w:t>
      </w:r>
      <w:r w:rsidRPr="00F17B19">
        <w:rPr>
          <w:rFonts w:ascii="Times New Roman" w:eastAsia="Calibri" w:hAnsi="Times New Roman" w:cs="Calibri"/>
          <w:iCs/>
          <w:color w:val="000000"/>
          <w:sz w:val="24"/>
          <w:szCs w:val="18"/>
          <w:lang w:eastAsia="pt-BR"/>
        </w:rPr>
        <w:fldChar w:fldCharType="begin"/>
      </w:r>
      <w:r w:rsidRPr="00F17B19">
        <w:rPr>
          <w:rFonts w:ascii="Times New Roman" w:eastAsia="Calibri" w:hAnsi="Times New Roman" w:cs="Calibri"/>
          <w:iCs/>
          <w:color w:val="000000"/>
          <w:sz w:val="24"/>
          <w:szCs w:val="18"/>
          <w:lang w:eastAsia="pt-BR"/>
        </w:rPr>
        <w:instrText xml:space="preserve"> SEQ Quadro \* ARABIC </w:instrText>
      </w:r>
      <w:r w:rsidRPr="00F17B19">
        <w:rPr>
          <w:rFonts w:ascii="Times New Roman" w:eastAsia="Calibri" w:hAnsi="Times New Roman" w:cs="Calibri"/>
          <w:iCs/>
          <w:color w:val="000000"/>
          <w:sz w:val="24"/>
          <w:szCs w:val="18"/>
          <w:lang w:eastAsia="pt-BR"/>
        </w:rPr>
        <w:fldChar w:fldCharType="separate"/>
      </w:r>
      <w:r w:rsidRPr="00F17B19">
        <w:rPr>
          <w:rFonts w:ascii="Times New Roman" w:eastAsia="Calibri" w:hAnsi="Times New Roman" w:cs="Calibri"/>
          <w:iCs/>
          <w:noProof/>
          <w:color w:val="000000"/>
          <w:sz w:val="24"/>
          <w:szCs w:val="18"/>
          <w:lang w:eastAsia="pt-BR"/>
        </w:rPr>
        <w:t>6</w:t>
      </w:r>
      <w:r w:rsidRPr="00F17B19">
        <w:rPr>
          <w:rFonts w:ascii="Times New Roman" w:eastAsia="Calibri" w:hAnsi="Times New Roman" w:cs="Calibri"/>
          <w:iCs/>
          <w:noProof/>
          <w:color w:val="000000"/>
          <w:sz w:val="24"/>
          <w:szCs w:val="18"/>
          <w:lang w:eastAsia="pt-BR"/>
        </w:rPr>
        <w:fldChar w:fldCharType="end"/>
      </w:r>
      <w:r w:rsidRPr="00F17B19">
        <w:rPr>
          <w:rFonts w:ascii="Times New Roman" w:eastAsia="Calibri" w:hAnsi="Times New Roman" w:cs="Calibri"/>
          <w:iCs/>
          <w:color w:val="000000"/>
          <w:sz w:val="24"/>
          <w:szCs w:val="18"/>
          <w:lang w:eastAsia="pt-BR"/>
        </w:rPr>
        <w:t xml:space="preserve"> - Modelos de desenvolvimento utilizados na América Latina</w:t>
      </w:r>
      <w:bookmarkEnd w:id="24"/>
    </w:p>
    <w:tbl>
      <w:tblPr>
        <w:tblStyle w:val="Tabelacomgrade"/>
        <w:tblW w:w="0" w:type="auto"/>
        <w:tblLook w:val="04A0" w:firstRow="1" w:lastRow="0" w:firstColumn="1" w:lastColumn="0" w:noHBand="0" w:noVBand="1"/>
      </w:tblPr>
      <w:tblGrid>
        <w:gridCol w:w="1183"/>
        <w:gridCol w:w="4208"/>
        <w:gridCol w:w="3670"/>
      </w:tblGrid>
      <w:tr w:rsidR="00F17B19" w:rsidRPr="00F17B19" w14:paraId="567B113E" w14:textId="77777777" w:rsidTr="00AD6BAA">
        <w:tc>
          <w:tcPr>
            <w:tcW w:w="0" w:type="auto"/>
          </w:tcPr>
          <w:p w14:paraId="135B3F3F" w14:textId="77777777" w:rsidR="00F17B19" w:rsidRPr="00F17B19" w:rsidRDefault="00F17B19" w:rsidP="00F17B19">
            <w:pPr>
              <w:spacing w:after="200" w:line="276" w:lineRule="auto"/>
              <w:jc w:val="center"/>
              <w:rPr>
                <w:rFonts w:ascii="Times New Roman" w:eastAsia="Calibri" w:hAnsi="Times New Roman" w:cs="Times New Roman"/>
                <w:sz w:val="20"/>
                <w:szCs w:val="20"/>
                <w:lang w:eastAsia="pt-BR"/>
              </w:rPr>
            </w:pPr>
          </w:p>
          <w:p w14:paraId="2E9621BD" w14:textId="77777777" w:rsidR="00F17B19" w:rsidRPr="00F17B19" w:rsidRDefault="00F17B19" w:rsidP="00F17B19">
            <w:pPr>
              <w:spacing w:after="200" w:line="276" w:lineRule="auto"/>
              <w:jc w:val="center"/>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MODELOS</w:t>
            </w:r>
          </w:p>
        </w:tc>
        <w:tc>
          <w:tcPr>
            <w:tcW w:w="0" w:type="auto"/>
          </w:tcPr>
          <w:p w14:paraId="50991EEF" w14:textId="77777777" w:rsidR="00F17B19" w:rsidRPr="00F17B19" w:rsidRDefault="00F17B19" w:rsidP="00F17B19">
            <w:pPr>
              <w:spacing w:after="200" w:line="276" w:lineRule="auto"/>
              <w:jc w:val="center"/>
              <w:rPr>
                <w:rFonts w:ascii="Times New Roman" w:eastAsia="Calibri" w:hAnsi="Times New Roman" w:cs="Times New Roman"/>
                <w:sz w:val="20"/>
                <w:szCs w:val="20"/>
                <w:lang w:eastAsia="pt-BR"/>
              </w:rPr>
            </w:pPr>
          </w:p>
          <w:p w14:paraId="1D449769" w14:textId="77777777" w:rsidR="00F17B19" w:rsidRPr="00F17B19" w:rsidRDefault="00F17B19" w:rsidP="00F17B19">
            <w:pPr>
              <w:spacing w:after="200" w:line="276" w:lineRule="auto"/>
              <w:jc w:val="center"/>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DESENVOLVIMENTISTA</w:t>
            </w:r>
          </w:p>
        </w:tc>
        <w:tc>
          <w:tcPr>
            <w:tcW w:w="0" w:type="auto"/>
          </w:tcPr>
          <w:p w14:paraId="6B714FCA" w14:textId="77777777" w:rsidR="00F17B19" w:rsidRPr="00F17B19" w:rsidRDefault="00F17B19" w:rsidP="00F17B19">
            <w:pPr>
              <w:spacing w:after="200" w:line="276" w:lineRule="auto"/>
              <w:jc w:val="center"/>
              <w:rPr>
                <w:rFonts w:ascii="Times New Roman" w:eastAsia="Calibri" w:hAnsi="Times New Roman" w:cs="Times New Roman"/>
                <w:sz w:val="20"/>
                <w:szCs w:val="20"/>
                <w:lang w:eastAsia="pt-BR"/>
              </w:rPr>
            </w:pPr>
          </w:p>
          <w:p w14:paraId="750EDE82" w14:textId="77777777" w:rsidR="00F17B19" w:rsidRPr="00F17B19" w:rsidRDefault="00F17B19" w:rsidP="00F17B19">
            <w:pPr>
              <w:spacing w:after="200" w:line="276" w:lineRule="auto"/>
              <w:jc w:val="center"/>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MONETARISMO NEOLIBERAL</w:t>
            </w:r>
          </w:p>
        </w:tc>
      </w:tr>
      <w:tr w:rsidR="00F17B19" w:rsidRPr="00F17B19" w14:paraId="65A47400" w14:textId="77777777" w:rsidTr="00AD6BAA">
        <w:tc>
          <w:tcPr>
            <w:tcW w:w="0" w:type="auto"/>
          </w:tcPr>
          <w:p w14:paraId="4A5166A4" w14:textId="77777777" w:rsidR="00F17B19" w:rsidRPr="00F17B19" w:rsidRDefault="00F17B19" w:rsidP="00F17B19">
            <w:pPr>
              <w:spacing w:after="200" w:line="276" w:lineRule="auto"/>
              <w:jc w:val="center"/>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Cursos</w:t>
            </w:r>
          </w:p>
        </w:tc>
        <w:tc>
          <w:tcPr>
            <w:tcW w:w="0" w:type="auto"/>
          </w:tcPr>
          <w:p w14:paraId="2FDB89BB"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Dentro das diferentes nações (latino-americanas), muitas iniciativas foram encorajadas, incluindo as </w:t>
            </w:r>
            <w:r w:rsidRPr="00F17B19">
              <w:rPr>
                <w:rFonts w:ascii="Times New Roman" w:eastAsia="Calibri" w:hAnsi="Times New Roman" w:cs="Times New Roman"/>
                <w:sz w:val="20"/>
                <w:szCs w:val="20"/>
                <w:lang w:eastAsia="pt-BR"/>
              </w:rPr>
              <w:lastRenderedPageBreak/>
              <w:t>instituições de planejamento, vários tipos de organizações de desenvolvimento, as políticas para estímulo a industrialização, as reformas bancárias, a melhoria dos sistemas estatísticos, os movimentos populares e as várias tentativas de reformas estruturais. Foi também nesse período, que emergiram os primeiros enérgicos argumentos e teses que advogavam a necessidade de proteger as exportações, as quais sofriam com a persistente deteriorização dos termos do comércio.</w:t>
            </w:r>
          </w:p>
        </w:tc>
        <w:tc>
          <w:tcPr>
            <w:tcW w:w="0" w:type="auto"/>
          </w:tcPr>
          <w:p w14:paraId="143F90D8"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 xml:space="preserve">Diferentemente do desenvolvimentismo, o neoliberalismo monetarista teve resultados </w:t>
            </w:r>
            <w:r w:rsidRPr="00F17B19">
              <w:rPr>
                <w:rFonts w:ascii="Times New Roman" w:eastAsia="Calibri" w:hAnsi="Times New Roman" w:cs="Times New Roman"/>
                <w:sz w:val="20"/>
                <w:szCs w:val="20"/>
                <w:lang w:eastAsia="pt-BR"/>
              </w:rPr>
              <w:lastRenderedPageBreak/>
              <w:t>desastrosos num período mais curto. Na América Latina, foi apoiado por regimes ditatoriais ou pseudo-democráticos. Há evidência suficiente para se acreditar que a pressão gerada pelos custos sociais deste modelo somente pode ser mantida sob controle através da repressão. O neoliberalismo se assemelha a um colapso fenício, que atrás de si, deixa somente um tremendo vazio, mesmo em casos aparentemente positivos.</w:t>
            </w:r>
          </w:p>
        </w:tc>
      </w:tr>
      <w:tr w:rsidR="00F17B19" w:rsidRPr="00F17B19" w14:paraId="6F0C091D" w14:textId="77777777" w:rsidTr="00AD6BAA">
        <w:tc>
          <w:tcPr>
            <w:tcW w:w="0" w:type="auto"/>
          </w:tcPr>
          <w:p w14:paraId="7103136A" w14:textId="77777777" w:rsidR="00F17B19" w:rsidRPr="00F17B19" w:rsidRDefault="00F17B19" w:rsidP="00F17B19">
            <w:pPr>
              <w:spacing w:after="200" w:line="276" w:lineRule="auto"/>
              <w:jc w:val="center"/>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Incursos</w:t>
            </w:r>
          </w:p>
        </w:tc>
        <w:tc>
          <w:tcPr>
            <w:tcW w:w="0" w:type="auto"/>
          </w:tcPr>
          <w:p w14:paraId="1E0CCD89" w14:textId="77777777" w:rsidR="00F17B19" w:rsidRPr="00F17B19" w:rsidRDefault="00F17B19" w:rsidP="006A1C7A">
            <w:pPr>
              <w:numPr>
                <w:ilvl w:val="0"/>
                <w:numId w:val="2"/>
              </w:numPr>
              <w:spacing w:after="0" w:line="240" w:lineRule="auto"/>
              <w:ind w:left="0" w:firstLine="0"/>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Sua inabilidade para controlar desequilíbrio monetário e financeiro;</w:t>
            </w:r>
          </w:p>
          <w:p w14:paraId="6C35B657" w14:textId="77777777" w:rsidR="00F17B19" w:rsidRPr="00F17B19" w:rsidRDefault="00F17B19" w:rsidP="006A1C7A">
            <w:pPr>
              <w:numPr>
                <w:ilvl w:val="0"/>
                <w:numId w:val="2"/>
              </w:numPr>
              <w:spacing w:after="0" w:line="240" w:lineRule="auto"/>
              <w:ind w:left="0" w:firstLine="0"/>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À estrutura produtiva, particularmente, a indústria, que se mostrou tremendamente concentradora de recursos;</w:t>
            </w:r>
          </w:p>
          <w:p w14:paraId="63A122F0" w14:textId="77777777" w:rsidR="00F17B19" w:rsidRPr="00F17B19" w:rsidRDefault="00F17B19" w:rsidP="006A1C7A">
            <w:pPr>
              <w:numPr>
                <w:ilvl w:val="0"/>
                <w:numId w:val="2"/>
              </w:numPr>
              <w:spacing w:after="0" w:line="240" w:lineRule="auto"/>
              <w:ind w:left="0" w:firstLine="0"/>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Ao fato de que sua visão de desenvolvimento era predominantemente econômica, negligenciando, desta forma, outros processos sociais e políticos que passaram a emergir com força e importância crescentes, especialmente depois do triunfo da Revolução Cubana.</w:t>
            </w:r>
          </w:p>
        </w:tc>
        <w:tc>
          <w:tcPr>
            <w:tcW w:w="0" w:type="auto"/>
          </w:tcPr>
          <w:p w14:paraId="37C62A6E" w14:textId="77777777" w:rsidR="00F17B19" w:rsidRPr="00F17B19" w:rsidRDefault="00F17B19" w:rsidP="006A1C7A">
            <w:pPr>
              <w:numPr>
                <w:ilvl w:val="0"/>
                <w:numId w:val="3"/>
              </w:numPr>
              <w:spacing w:after="0" w:line="240" w:lineRule="auto"/>
              <w:ind w:left="0" w:firstLine="0"/>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Ele é capaz de fomentar o crescimento econômico, mas não é um gerador de “desenvolvimento”, no sentido mais amplo da palavra;</w:t>
            </w:r>
          </w:p>
          <w:p w14:paraId="48567E40" w14:textId="77777777" w:rsidR="00F17B19" w:rsidRPr="00F17B19" w:rsidRDefault="00F17B19" w:rsidP="006A1C7A">
            <w:pPr>
              <w:numPr>
                <w:ilvl w:val="0"/>
                <w:numId w:val="3"/>
              </w:numPr>
              <w:spacing w:after="0" w:line="240" w:lineRule="auto"/>
              <w:ind w:left="0" w:firstLine="0"/>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Suas concepções de racionalidade econômica são profundamente mecanicistas e, portanto, não podem ser adaptadas às condições dos países pobres, dos quais é impossível erradicar a pobreza através da liberalização de um mercado de onde são excluídos os pobres;</w:t>
            </w:r>
          </w:p>
          <w:p w14:paraId="3936313F" w14:textId="77777777" w:rsidR="00F17B19" w:rsidRPr="00F17B19" w:rsidRDefault="00F17B19" w:rsidP="006A1C7A">
            <w:pPr>
              <w:numPr>
                <w:ilvl w:val="0"/>
                <w:numId w:val="3"/>
              </w:numPr>
              <w:spacing w:after="0" w:line="240" w:lineRule="auto"/>
              <w:ind w:left="0" w:firstLine="0"/>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Em mercados restritos e oligopolísticos, onde grupos de poder econômicos não são confrontados por forças capazes de conter o seu comportamento, a atividade econômica é muito especulativa, o que resulta em contração de recurso socialmente insuportável. </w:t>
            </w:r>
          </w:p>
        </w:tc>
      </w:tr>
    </w:tbl>
    <w:p w14:paraId="3BC68576" w14:textId="77777777" w:rsidR="00F17B19" w:rsidRPr="00F17B19" w:rsidRDefault="00F17B19" w:rsidP="00F17B19">
      <w:pPr>
        <w:spacing w:after="0" w:line="360" w:lineRule="auto"/>
        <w:jc w:val="both"/>
        <w:rPr>
          <w:rFonts w:ascii="Times New Roman" w:eastAsia="Calibri" w:hAnsi="Times New Roman" w:cs="Times New Roman"/>
          <w:color w:val="00B050"/>
          <w:sz w:val="20"/>
          <w:szCs w:val="20"/>
          <w:lang w:eastAsia="pt-BR"/>
        </w:rPr>
      </w:pPr>
      <w:r w:rsidRPr="00F17B19">
        <w:rPr>
          <w:rFonts w:ascii="Times New Roman" w:eastAsia="Calibri" w:hAnsi="Times New Roman" w:cs="Times New Roman"/>
          <w:sz w:val="20"/>
          <w:szCs w:val="20"/>
          <w:lang w:eastAsia="pt-BR"/>
        </w:rPr>
        <w:t>Fonte: Adaptado pelo autor a partir de Max-Neef (2012)</w:t>
      </w:r>
    </w:p>
    <w:p w14:paraId="49FAD74F" w14:textId="77777777" w:rsidR="00F17B19" w:rsidRPr="00F17B19" w:rsidRDefault="00F17B19" w:rsidP="00F17B19">
      <w:pPr>
        <w:spacing w:after="0" w:line="360" w:lineRule="auto"/>
        <w:ind w:firstLine="709"/>
        <w:jc w:val="both"/>
        <w:rPr>
          <w:rFonts w:ascii="Times New Roman" w:eastAsia="Calibri" w:hAnsi="Times New Roman" w:cs="Times New Roman"/>
          <w:color w:val="00B050"/>
          <w:sz w:val="24"/>
          <w:szCs w:val="24"/>
          <w:lang w:eastAsia="pt-BR"/>
        </w:rPr>
      </w:pPr>
      <w:r w:rsidRPr="00F17B19">
        <w:rPr>
          <w:rFonts w:ascii="Times New Roman" w:eastAsia="Calibri" w:hAnsi="Times New Roman" w:cs="Times New Roman"/>
          <w:sz w:val="24"/>
          <w:szCs w:val="24"/>
          <w:lang w:eastAsia="pt-BR"/>
        </w:rPr>
        <w:t xml:space="preserve">Max-Neef (2012) propõe como perspectiva “permitir que sejam abertas novas linhas de ação para o Desenvolvimento à Escala Humana”. Segundo o autor, </w:t>
      </w:r>
    </w:p>
    <w:p w14:paraId="3722CA91" w14:textId="77777777" w:rsidR="00F17B19" w:rsidRPr="00F17B19" w:rsidRDefault="00F17B19" w:rsidP="00F17B19">
      <w:pPr>
        <w:spacing w:before="120" w:after="120" w:line="240" w:lineRule="auto"/>
        <w:ind w:left="2268"/>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Tal desenvolvimento se concentra e sustenta na satisfação das necessidades humanas fundamentais, na geração de níveis crescentes de autodependência e na articulação orgânica dos seres humanos com a natureza e com a tecnologia, na interação de processos globais com comportamentos locais, do pessoal com o social, do planejamento com a autonomia e da sociedade civil com o estado (MAX-NEEF, 2012, p. 22).</w:t>
      </w:r>
    </w:p>
    <w:p w14:paraId="4CC1E07C"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Durante séculos e ainda nos nossos dias afirmou-se e afirma-se, em alguns círculos considerados intelectuais, que indígenas e negros eram povos sem o menor desenvolvimento, colocando-os no lugar de incapazes de pensar e de produzir algo de valor por si próprios sem o comando e orientação de um branco europeu. Uma verdade produzida com um objetivo claro, branco e eurocêntrico de apagar qualquer conhecimento/sabedoria que não aquele capaz de produzir riqueza para os colonizadores. É desta forma que os europeus se apropriam e/ou </w:t>
      </w:r>
      <w:r w:rsidRPr="00F17B19">
        <w:rPr>
          <w:rFonts w:ascii="Times New Roman" w:eastAsia="Calibri" w:hAnsi="Times New Roman" w:cs="Times New Roman"/>
          <w:sz w:val="24"/>
          <w:szCs w:val="24"/>
          <w:lang w:eastAsia="pt-BR"/>
        </w:rPr>
        <w:lastRenderedPageBreak/>
        <w:t xml:space="preserve">expurgam a sabedoria ancestral, negando suas origens e/ou reterritorializando-as em algum lugar considerado civilizado. </w:t>
      </w:r>
    </w:p>
    <w:p w14:paraId="44CDDDA6" w14:textId="77777777" w:rsidR="00F17B19" w:rsidRPr="00F17B19" w:rsidRDefault="00F17B19" w:rsidP="00F17B19">
      <w:pPr>
        <w:spacing w:after="0" w:line="360" w:lineRule="auto"/>
        <w:ind w:firstLine="709"/>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4"/>
          <w:szCs w:val="24"/>
          <w:lang w:eastAsia="pt-BR"/>
        </w:rPr>
        <w:t>No que se refere aos africanos vivendo em África ou em diferentes partes do planeta devido ao processo de diáspora Elisa Larkin Nascimento (2008, p. 30-31) nos recorda que,</w:t>
      </w:r>
    </w:p>
    <w:p w14:paraId="28BCF2A9" w14:textId="77777777" w:rsidR="00F17B19" w:rsidRPr="00F17B19" w:rsidRDefault="00F17B19" w:rsidP="00F17B19">
      <w:pPr>
        <w:spacing w:before="120" w:after="120" w:line="240" w:lineRule="auto"/>
        <w:ind w:left="2268"/>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A noção comum de racismo como um fenômeno relativo apenas à cor da pele escamoteia sua natureza mais profunda, que reside na tentativa de desarticular um grupo humano por meio da negação de sua própria existência e de sua personalidade coletiva. Reduzir o africano e seus descendentes à condição de ‘negros’, identificados apenas pela epiderme, retira deles o referencial histórico e cultural próprio. Assim sua própria condição humana é roubada. </w:t>
      </w:r>
    </w:p>
    <w:p w14:paraId="73B61090" w14:textId="77777777" w:rsidR="00F17B19" w:rsidRPr="00F17B19" w:rsidRDefault="00F17B19" w:rsidP="00F17B19">
      <w:pPr>
        <w:spacing w:after="0" w:line="360" w:lineRule="auto"/>
        <w:ind w:firstLine="709"/>
        <w:jc w:val="both"/>
        <w:rPr>
          <w:rFonts w:ascii="Times New Roman" w:eastAsia="Calibri" w:hAnsi="Times New Roman" w:cs="Times New Roman"/>
          <w:color w:val="FF0000"/>
          <w:sz w:val="24"/>
          <w:szCs w:val="24"/>
          <w:lang w:eastAsia="pt-BR"/>
        </w:rPr>
      </w:pPr>
      <w:r w:rsidRPr="00F17B19">
        <w:rPr>
          <w:rFonts w:ascii="Times New Roman" w:eastAsia="Calibri" w:hAnsi="Times New Roman" w:cs="Times New Roman"/>
          <w:sz w:val="24"/>
          <w:szCs w:val="24"/>
          <w:lang w:eastAsia="pt-BR"/>
        </w:rPr>
        <w:t>Pensar em desenvolvimento na atualidade deve estar além do ponto de vista econômico capitalista imposto no atual modelo de sistema-mundo, onde a produção do desenvolvimento dos grandes centros, sejam eles globais ou locais, dependem do subdesenvolvimento de outros. Precisamos reconhecer, e no caso de muitos de nós conhecer, pois nos foi tirado o direito no passado de conhecer outras histórias além daquelas que estavam no currículo oficial - um legado europeu cristalizado na história - ocultar outros currículos, por meio da negação, apagamento e invisibilização de outras histórias, memórias e vivências. A questão é que muito do que consideramos hoje como desenvolvimento, que europeus instituíram ilegalmente como sendo produto da sua civilização e cultura, já estava presente em África, muito antes do contato com os colonizadores europeus.</w:t>
      </w:r>
    </w:p>
    <w:p w14:paraId="2AA655FB" w14:textId="77777777" w:rsidR="00F17B19" w:rsidRPr="00F17B19" w:rsidRDefault="00F17B19" w:rsidP="00F17B19">
      <w:pPr>
        <w:spacing w:after="0" w:line="360" w:lineRule="auto"/>
        <w:ind w:firstLine="709"/>
        <w:jc w:val="both"/>
        <w:rPr>
          <w:rFonts w:ascii="Times New Roman" w:eastAsia="Calibri" w:hAnsi="Times New Roman" w:cs="Times New Roman"/>
          <w:color w:val="FF0000"/>
          <w:sz w:val="24"/>
          <w:szCs w:val="24"/>
          <w:lang w:eastAsia="pt-BR"/>
        </w:rPr>
      </w:pPr>
      <w:r w:rsidRPr="00F17B19">
        <w:rPr>
          <w:rFonts w:ascii="Times New Roman" w:eastAsia="Calibri" w:hAnsi="Times New Roman" w:cs="Times New Roman"/>
          <w:sz w:val="24"/>
          <w:szCs w:val="24"/>
          <w:lang w:eastAsia="pt-BR"/>
        </w:rPr>
        <w:t xml:space="preserve">Nascimento (2008, p. 40) revisita o desenvolvimento tecnológico africano, apresentando dados de pesquisadores que atestam um grande conhecimento na área da medicina em diferentes lugares/territórios de África. Além disso comprova-se também “a complexidade do desenvolvimento cultural pré-histórico na África subsaariana. Sugere fortemente que um sistema de calendário complexo e preciso, baseado nos cálculos astronômicos, foi desenvolvido até o primeiro século a. C. na África oriental” (LYNCH; ROBINS, 1983, p. 55). De acordo com Nascimento (2008, p. 42), </w:t>
      </w:r>
    </w:p>
    <w:p w14:paraId="4A3D46CA" w14:textId="77777777" w:rsidR="00F17B19" w:rsidRPr="00F17B19" w:rsidRDefault="00F17B19" w:rsidP="00F17B19">
      <w:pPr>
        <w:spacing w:before="120" w:after="120" w:line="240" w:lineRule="auto"/>
        <w:ind w:left="2268"/>
        <w:jc w:val="both"/>
        <w:rPr>
          <w:rFonts w:ascii="Times New Roman" w:eastAsia="Calibri" w:hAnsi="Times New Roman" w:cs="Times New Roman"/>
          <w:color w:val="FF0000"/>
          <w:sz w:val="20"/>
          <w:szCs w:val="20"/>
          <w:lang w:eastAsia="pt-BR"/>
        </w:rPr>
      </w:pPr>
      <w:r w:rsidRPr="00F17B19">
        <w:rPr>
          <w:rFonts w:ascii="Times New Roman" w:eastAsia="Calibri" w:hAnsi="Times New Roman" w:cs="Times New Roman"/>
          <w:sz w:val="20"/>
          <w:szCs w:val="20"/>
          <w:lang w:eastAsia="pt-BR"/>
        </w:rPr>
        <w:t xml:space="preserve">[...] sem o apoio de qualquer instrumento da ciência moderna os dogon conheciam coisas que, no julgamento de certas autoridades européias, eles simplesmente “não tinham o menor direito de saber” (Brecher, 1977, p. 61). Os antropólogos franceses Germaine Dieterlen e Manuel Griale (1965, 1991) fizeram estudos amplos e aprofundados, convivendo décadas com os sábios desse povo africano, e constataram que o conhecimento dos dogon envolve uma série de níveis epistemológicos em que abordam a verdade e o conhecimento de várias formas distintas daquelas desenvolvidas no ocidente. </w:t>
      </w:r>
    </w:p>
    <w:p w14:paraId="2BD18D99"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lastRenderedPageBreak/>
        <w:t>O desenvolvimento desses povos não se restringe a medicina, astronomia, ou mesmo a capacidade de pensar logicamente, embora esses pontos já auxiliem a desmentir a falácia histórica de que africanos eram como crianças, ou que teriam nascido com o simples propósito de servir. Nascimento destaca ainda os conhecimentos no campo da metalurgia, da engenharia, por meio da construção de cidades muradas. Na matemática há um grande volume de conhecimentos com raízes africanas, o Egito é um exemplo de domínio avançado em engenharia, baseado em uma matemática de geometria capaz de projetar ângulos com 0,070 graus de precisão; o sistema iorubá de matemática que se baseia, como outros sistemas de outros territórios africanos, em múltiplos de vinte (NASCIMENTO, 2008, p. 44).</w:t>
      </w:r>
    </w:p>
    <w:p w14:paraId="2131F4BC" w14:textId="77777777" w:rsidR="00F17B19" w:rsidRPr="00F17B19" w:rsidRDefault="00F17B19" w:rsidP="00F17B19">
      <w:pPr>
        <w:spacing w:after="0" w:line="360" w:lineRule="auto"/>
        <w:ind w:firstLine="709"/>
        <w:jc w:val="both"/>
        <w:rPr>
          <w:rFonts w:ascii="Calibri" w:eastAsia="Calibri" w:hAnsi="Calibri" w:cs="Times New Roman"/>
          <w:i/>
          <w:iCs/>
          <w:szCs w:val="24"/>
          <w:lang w:eastAsia="pt-BR"/>
        </w:rPr>
      </w:pPr>
      <w:r w:rsidRPr="00F17B19">
        <w:rPr>
          <w:rFonts w:ascii="Times New Roman" w:eastAsia="Calibri" w:hAnsi="Times New Roman" w:cs="Times New Roman"/>
          <w:sz w:val="24"/>
          <w:szCs w:val="24"/>
          <w:lang w:eastAsia="pt-BR"/>
        </w:rPr>
        <w:t>Com base nas informações que enumeramos acima, Nascimento (2008, p. 45) questiona “Por que tantas conquistas ficaram sem registro e prevaleceu a imagem do selvagem africano atrasado e ignorante?”. A partir desse questionamento Nascimento (2008) elabora seu argumento/resposta formulando três fatores responsáveis por isto, além da “falsificação pura e simples”. São eles: o holocausto, a fascinação pelo exótico e a documentação exógena.</w:t>
      </w:r>
    </w:p>
    <w:p w14:paraId="14869516" w14:textId="77777777" w:rsidR="00F17B19" w:rsidRPr="00F17B19" w:rsidRDefault="00F17B19" w:rsidP="00F17B19">
      <w:pPr>
        <w:keepNext/>
        <w:spacing w:after="120" w:line="240" w:lineRule="auto"/>
        <w:jc w:val="center"/>
        <w:rPr>
          <w:rFonts w:ascii="Times New Roman" w:eastAsia="Calibri" w:hAnsi="Times New Roman" w:cs="Calibri"/>
          <w:iCs/>
          <w:color w:val="000000"/>
          <w:sz w:val="24"/>
          <w:szCs w:val="18"/>
          <w:lang w:eastAsia="pt-BR"/>
        </w:rPr>
      </w:pPr>
      <w:bookmarkStart w:id="25" w:name="_Toc95773344"/>
      <w:r w:rsidRPr="00F17B19">
        <w:rPr>
          <w:rFonts w:ascii="Times New Roman" w:eastAsia="Calibri" w:hAnsi="Times New Roman" w:cs="Calibri"/>
          <w:iCs/>
          <w:color w:val="000000"/>
          <w:sz w:val="24"/>
          <w:szCs w:val="18"/>
          <w:lang w:eastAsia="pt-BR"/>
        </w:rPr>
        <w:t xml:space="preserve">Quadro </w:t>
      </w:r>
      <w:r w:rsidRPr="00F17B19">
        <w:rPr>
          <w:rFonts w:ascii="Times New Roman" w:eastAsia="Calibri" w:hAnsi="Times New Roman" w:cs="Calibri"/>
          <w:iCs/>
          <w:color w:val="000000"/>
          <w:sz w:val="24"/>
          <w:szCs w:val="18"/>
          <w:lang w:eastAsia="pt-BR"/>
        </w:rPr>
        <w:fldChar w:fldCharType="begin"/>
      </w:r>
      <w:r w:rsidRPr="00F17B19">
        <w:rPr>
          <w:rFonts w:ascii="Times New Roman" w:eastAsia="Calibri" w:hAnsi="Times New Roman" w:cs="Calibri"/>
          <w:iCs/>
          <w:color w:val="000000"/>
          <w:sz w:val="24"/>
          <w:szCs w:val="18"/>
          <w:lang w:eastAsia="pt-BR"/>
        </w:rPr>
        <w:instrText xml:space="preserve"> SEQ Quadro \* ARABIC </w:instrText>
      </w:r>
      <w:r w:rsidRPr="00F17B19">
        <w:rPr>
          <w:rFonts w:ascii="Times New Roman" w:eastAsia="Calibri" w:hAnsi="Times New Roman" w:cs="Calibri"/>
          <w:iCs/>
          <w:color w:val="000000"/>
          <w:sz w:val="24"/>
          <w:szCs w:val="18"/>
          <w:lang w:eastAsia="pt-BR"/>
        </w:rPr>
        <w:fldChar w:fldCharType="separate"/>
      </w:r>
      <w:r w:rsidRPr="00F17B19">
        <w:rPr>
          <w:rFonts w:ascii="Times New Roman" w:eastAsia="Calibri" w:hAnsi="Times New Roman" w:cs="Calibri"/>
          <w:iCs/>
          <w:noProof/>
          <w:color w:val="000000"/>
          <w:sz w:val="24"/>
          <w:szCs w:val="18"/>
          <w:lang w:eastAsia="pt-BR"/>
        </w:rPr>
        <w:t>7</w:t>
      </w:r>
      <w:r w:rsidRPr="00F17B19">
        <w:rPr>
          <w:rFonts w:ascii="Times New Roman" w:eastAsia="Calibri" w:hAnsi="Times New Roman" w:cs="Calibri"/>
          <w:iCs/>
          <w:noProof/>
          <w:color w:val="000000"/>
          <w:sz w:val="24"/>
          <w:szCs w:val="18"/>
          <w:lang w:eastAsia="pt-BR"/>
        </w:rPr>
        <w:fldChar w:fldCharType="end"/>
      </w:r>
      <w:r w:rsidRPr="00F17B19">
        <w:rPr>
          <w:rFonts w:ascii="Times New Roman" w:eastAsia="Calibri" w:hAnsi="Times New Roman" w:cs="Calibri"/>
          <w:iCs/>
          <w:color w:val="000000"/>
          <w:sz w:val="24"/>
          <w:szCs w:val="18"/>
          <w:lang w:eastAsia="pt-BR"/>
        </w:rPr>
        <w:t xml:space="preserve"> - Fatores que levaram ao apagamento da história africana</w:t>
      </w:r>
      <w:bookmarkEnd w:id="25"/>
    </w:p>
    <w:tbl>
      <w:tblPr>
        <w:tblStyle w:val="Tabelacomgrade"/>
        <w:tblW w:w="0" w:type="auto"/>
        <w:tblLook w:val="04A0" w:firstRow="1" w:lastRow="0" w:firstColumn="1" w:lastColumn="0" w:noHBand="0" w:noVBand="1"/>
      </w:tblPr>
      <w:tblGrid>
        <w:gridCol w:w="2942"/>
        <w:gridCol w:w="2847"/>
        <w:gridCol w:w="3272"/>
      </w:tblGrid>
      <w:tr w:rsidR="00F17B19" w:rsidRPr="00F17B19" w14:paraId="680CE3A8" w14:textId="77777777" w:rsidTr="00AD6BAA">
        <w:tc>
          <w:tcPr>
            <w:tcW w:w="0" w:type="auto"/>
          </w:tcPr>
          <w:p w14:paraId="0A1216BB" w14:textId="77777777" w:rsidR="00F17B19" w:rsidRPr="00F17B19" w:rsidRDefault="00F17B19" w:rsidP="00F17B19">
            <w:pPr>
              <w:spacing w:after="200" w:line="276" w:lineRule="auto"/>
              <w:jc w:val="center"/>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HOLOCAUSTO</w:t>
            </w:r>
          </w:p>
        </w:tc>
        <w:tc>
          <w:tcPr>
            <w:tcW w:w="0" w:type="auto"/>
          </w:tcPr>
          <w:p w14:paraId="72FEBE13" w14:textId="77777777" w:rsidR="00F17B19" w:rsidRPr="00F17B19" w:rsidRDefault="00F17B19" w:rsidP="00F17B19">
            <w:pPr>
              <w:spacing w:after="200" w:line="276" w:lineRule="auto"/>
              <w:jc w:val="center"/>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FASCINAÇÃO PELO EXÓTICO</w:t>
            </w:r>
          </w:p>
        </w:tc>
        <w:tc>
          <w:tcPr>
            <w:tcW w:w="0" w:type="auto"/>
          </w:tcPr>
          <w:p w14:paraId="31CEDD4F" w14:textId="77777777" w:rsidR="00F17B19" w:rsidRPr="00F17B19" w:rsidRDefault="00F17B19" w:rsidP="00F17B19">
            <w:pPr>
              <w:spacing w:after="200" w:line="276" w:lineRule="auto"/>
              <w:jc w:val="center"/>
              <w:rPr>
                <w:rFonts w:ascii="Times New Roman" w:eastAsia="Calibri" w:hAnsi="Times New Roman" w:cs="Times New Roman"/>
                <w:b/>
                <w:bCs/>
                <w:sz w:val="20"/>
                <w:szCs w:val="20"/>
                <w:lang w:eastAsia="pt-BR"/>
              </w:rPr>
            </w:pPr>
            <w:r w:rsidRPr="00F17B19">
              <w:rPr>
                <w:rFonts w:ascii="Times New Roman" w:eastAsia="Calibri" w:hAnsi="Times New Roman" w:cs="Times New Roman"/>
                <w:b/>
                <w:bCs/>
                <w:sz w:val="20"/>
                <w:szCs w:val="20"/>
                <w:lang w:eastAsia="pt-BR"/>
              </w:rPr>
              <w:t>DOCUMENTAÇÃO EXÓGENA</w:t>
            </w:r>
          </w:p>
        </w:tc>
      </w:tr>
      <w:tr w:rsidR="00F17B19" w:rsidRPr="00F17B19" w14:paraId="221CE69E" w14:textId="77777777" w:rsidTr="00AD6BAA">
        <w:tc>
          <w:tcPr>
            <w:tcW w:w="0" w:type="auto"/>
          </w:tcPr>
          <w:p w14:paraId="51869A91"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xml:space="preserve">Consiste na devastação dos centros africanos prosseguiu durante séculos, e enormes contingentes da juventude africana, com capacidade para criar e avançar foram sequestrados para o cativeiro. Destruídos os centros de desenvolvimento, pouco restou para ser observado. Os sucessivos saques e incêndios da biblioteca de Alexandria por gregos e macedônios, para não falar de romanos, abrangem séculos de devastação. O roubo puro e simples dos bens culturais e intelectuais da África aconteceu durante séculos e prossegue hoje em ritmo acelerado, em razão dos altos preços oferecidos no </w:t>
            </w:r>
            <w:r w:rsidRPr="00F17B19">
              <w:rPr>
                <w:rFonts w:ascii="Times New Roman" w:eastAsia="Calibri" w:hAnsi="Times New Roman" w:cs="Times New Roman"/>
                <w:sz w:val="20"/>
                <w:szCs w:val="20"/>
                <w:lang w:eastAsia="pt-BR"/>
              </w:rPr>
              <w:lastRenderedPageBreak/>
              <w:t>mercado internacional de contrabando de arte e artefatos.</w:t>
            </w:r>
          </w:p>
        </w:tc>
        <w:tc>
          <w:tcPr>
            <w:tcW w:w="0" w:type="auto"/>
          </w:tcPr>
          <w:p w14:paraId="33E49427"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 xml:space="preserve">O enfoque antropológico, que em suas mais nobres expressões tenta respeitar o meio cultural estudado, detinha-se geralmente em uma visão estática, localizando um grupo em uma conjuntura e fixando-o como se estivesse preso para sempre àquela condição. Esse enfoque, além de realçar o primitivo, obscurece os processos de fluxo e mudança que sempre caracterizaram a história africana. Palco de uma movimentação constante em busca de novos espaços, rotas comerciais, intercambio e comunicação internacional, a África nunca se reduziu a um viveiro de povos isolados, perdidos na selva e ocupados </w:t>
            </w:r>
            <w:r w:rsidRPr="00F17B19">
              <w:rPr>
                <w:rFonts w:ascii="Times New Roman" w:eastAsia="Calibri" w:hAnsi="Times New Roman" w:cs="Times New Roman"/>
                <w:sz w:val="20"/>
                <w:szCs w:val="20"/>
                <w:lang w:eastAsia="pt-BR"/>
              </w:rPr>
              <w:lastRenderedPageBreak/>
              <w:t>com a pesca e a caça, imagem que certa linha de pesquisa na antropologia ajudou a reforçar.</w:t>
            </w:r>
          </w:p>
        </w:tc>
        <w:tc>
          <w:tcPr>
            <w:tcW w:w="0" w:type="auto"/>
          </w:tcPr>
          <w:p w14:paraId="63147016" w14:textId="77777777" w:rsidR="00F17B19" w:rsidRPr="00F17B19" w:rsidRDefault="00F17B19" w:rsidP="00F17B19">
            <w:pPr>
              <w:spacing w:after="200" w:line="276"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 xml:space="preserve">A história da África convencionalmente autorizada foi feita com base em documentos exógenos. Desde o tempo de Ibn Khaldun, quando se iniciaria a história segundo o critério da escrita, os registros estudados pelos historiadores tem sido documentos de invasores ou colonizadores. Até muito recentemente, não se aceitava a tradição oral africana como fonte histórica. Essa exclusão se justificava por afirmações acerca dos mitose tradições orais africanas, que de acordo com Hegel (1982, p. 3), por exemplo, seriam “modos obscuros peculiares a povos obscuros”. Devido a uma distorção semelhante que perdura até hoje – e com frequência no Brasil – reduzem-se as línguas africanas de forma generalizada </w:t>
            </w:r>
            <w:r w:rsidRPr="00F17B19">
              <w:rPr>
                <w:rFonts w:ascii="Times New Roman" w:eastAsia="Calibri" w:hAnsi="Times New Roman" w:cs="Times New Roman"/>
                <w:sz w:val="20"/>
                <w:szCs w:val="20"/>
                <w:lang w:eastAsia="pt-BR"/>
              </w:rPr>
              <w:lastRenderedPageBreak/>
              <w:t xml:space="preserve">quanto equivocada, à condição de “dialetos”. </w:t>
            </w:r>
          </w:p>
        </w:tc>
      </w:tr>
    </w:tbl>
    <w:p w14:paraId="49C80115"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lastRenderedPageBreak/>
        <w:t>Fonte: Adaptado pelo autor de Nascimento (2008, p. 45-46).</w:t>
      </w:r>
    </w:p>
    <w:p w14:paraId="18DE59A0" w14:textId="77777777" w:rsidR="00F17B19" w:rsidRPr="00F17B19" w:rsidRDefault="00F17B19" w:rsidP="00F17B19">
      <w:pPr>
        <w:spacing w:after="0" w:line="360" w:lineRule="auto"/>
        <w:jc w:val="both"/>
        <w:rPr>
          <w:rFonts w:ascii="Times New Roman" w:eastAsia="Calibri" w:hAnsi="Times New Roman" w:cs="Times New Roman"/>
          <w:sz w:val="20"/>
          <w:szCs w:val="20"/>
          <w:lang w:eastAsia="pt-BR"/>
        </w:rPr>
      </w:pPr>
    </w:p>
    <w:p w14:paraId="2520FE2F" w14:textId="77777777" w:rsidR="00F17B19" w:rsidRPr="00F17B19" w:rsidRDefault="00F17B19" w:rsidP="00F17B19">
      <w:pPr>
        <w:spacing w:after="0" w:line="360" w:lineRule="auto"/>
        <w:ind w:firstLine="709"/>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4"/>
          <w:szCs w:val="24"/>
          <w:lang w:eastAsia="pt-BR"/>
        </w:rPr>
        <w:t>Os fatores acima podem ser facilmente identificados com as diferentes colonialidades (</w:t>
      </w:r>
      <w:r w:rsidRPr="00F17B19">
        <w:rPr>
          <w:rFonts w:ascii="Times New Roman" w:eastAsia="Calibri" w:hAnsi="Times New Roman" w:cs="Times New Roman"/>
          <w:i/>
          <w:iCs/>
          <w:sz w:val="24"/>
          <w:szCs w:val="24"/>
          <w:lang w:eastAsia="pt-BR"/>
        </w:rPr>
        <w:t>poder, saber, ser e viver</w:t>
      </w:r>
      <w:r w:rsidRPr="00F17B19">
        <w:rPr>
          <w:rFonts w:ascii="Times New Roman" w:eastAsia="Calibri" w:hAnsi="Times New Roman" w:cs="Times New Roman"/>
          <w:sz w:val="24"/>
          <w:szCs w:val="24"/>
          <w:lang w:eastAsia="pt-BR"/>
        </w:rPr>
        <w:t xml:space="preserve">) como já refletimos anteriormente. Esse apagamento não se conclui com a escravização, nem mesmo com o fim da escravização dos povos africanos. Esse processo instituído pelo colonialismo, colonização e pelas colonialidades se retroalimentam por meio do liberalismo e neoliberalismo em nome de um “capitalismo selvagem” – </w:t>
      </w:r>
      <w:r w:rsidRPr="00F17B19">
        <w:rPr>
          <w:rFonts w:ascii="Times New Roman" w:eastAsia="Calibri" w:hAnsi="Times New Roman" w:cs="Times New Roman"/>
          <w:i/>
          <w:iCs/>
          <w:sz w:val="24"/>
          <w:szCs w:val="24"/>
          <w:lang w:eastAsia="pt-BR"/>
        </w:rPr>
        <w:t>coloniescravização</w:t>
      </w:r>
      <w:r w:rsidRPr="00F17B19">
        <w:rPr>
          <w:rFonts w:ascii="Times New Roman" w:eastAsia="Calibri" w:hAnsi="Times New Roman" w:cs="Times New Roman"/>
          <w:sz w:val="24"/>
          <w:szCs w:val="24"/>
          <w:lang w:eastAsia="pt-BR"/>
        </w:rPr>
        <w:t>. Voltando para o Brasil, e pensando no pós-abolição, Muniz Sodré (2019, p. 39) reflete sobre a produção de territórios segregados ou segregadores.</w:t>
      </w:r>
    </w:p>
    <w:p w14:paraId="7DC4073E" w14:textId="77777777" w:rsidR="00F17B19" w:rsidRPr="00F17B19" w:rsidRDefault="00F17B19" w:rsidP="00F17B19">
      <w:pPr>
        <w:spacing w:before="120" w:after="120" w:line="240" w:lineRule="auto"/>
        <w:ind w:left="2268"/>
        <w:jc w:val="both"/>
        <w:rPr>
          <w:rFonts w:ascii="Times New Roman" w:eastAsia="Calibri" w:hAnsi="Times New Roman" w:cs="Times New Roman"/>
          <w:color w:val="FF0000"/>
          <w:sz w:val="20"/>
          <w:szCs w:val="20"/>
          <w:lang w:eastAsia="pt-BR"/>
        </w:rPr>
      </w:pPr>
      <w:r w:rsidRPr="00F17B19">
        <w:rPr>
          <w:rFonts w:ascii="Times New Roman" w:eastAsia="Calibri" w:hAnsi="Times New Roman" w:cs="Times New Roman"/>
          <w:sz w:val="20"/>
          <w:szCs w:val="20"/>
          <w:lang w:eastAsia="pt-BR"/>
        </w:rPr>
        <w:t>[...] considerando-se os territórios do ponto de vista do acesso que a eles se possa ter, chega-se a uma classificação de quatro tipos: 1</w:t>
      </w:r>
      <w:r w:rsidRPr="00F17B19">
        <w:rPr>
          <w:rFonts w:ascii="Times New Roman" w:eastAsia="Calibri" w:hAnsi="Times New Roman" w:cs="Times New Roman"/>
          <w:i/>
          <w:iCs/>
          <w:sz w:val="20"/>
          <w:szCs w:val="20"/>
          <w:lang w:eastAsia="pt-BR"/>
        </w:rPr>
        <w:t>) território público</w:t>
      </w:r>
      <w:r w:rsidRPr="00F17B19">
        <w:rPr>
          <w:rFonts w:ascii="Times New Roman" w:eastAsia="Calibri" w:hAnsi="Times New Roman" w:cs="Times New Roman"/>
          <w:sz w:val="20"/>
          <w:szCs w:val="20"/>
          <w:lang w:eastAsia="pt-BR"/>
        </w:rPr>
        <w:t>, que abrange ruas, praças, ônibus, teatros, etc.; 2) território da</w:t>
      </w:r>
      <w:r w:rsidRPr="00F17B19">
        <w:rPr>
          <w:rFonts w:ascii="Times New Roman" w:eastAsia="Calibri" w:hAnsi="Times New Roman" w:cs="Times New Roman"/>
          <w:i/>
          <w:iCs/>
          <w:sz w:val="20"/>
          <w:szCs w:val="20"/>
          <w:lang w:eastAsia="pt-BR"/>
        </w:rPr>
        <w:t xml:space="preserve"> casa</w:t>
      </w:r>
      <w:r w:rsidRPr="00F17B19">
        <w:rPr>
          <w:rFonts w:ascii="Times New Roman" w:eastAsia="Calibri" w:hAnsi="Times New Roman" w:cs="Times New Roman"/>
          <w:sz w:val="20"/>
          <w:szCs w:val="20"/>
          <w:lang w:eastAsia="pt-BR"/>
        </w:rPr>
        <w:t xml:space="preserve"> ou </w:t>
      </w:r>
      <w:r w:rsidRPr="00F17B19">
        <w:rPr>
          <w:rFonts w:ascii="Times New Roman" w:eastAsia="Calibri" w:hAnsi="Times New Roman" w:cs="Times New Roman"/>
          <w:i/>
          <w:iCs/>
          <w:sz w:val="20"/>
          <w:szCs w:val="20"/>
          <w:lang w:eastAsia="pt-BR"/>
        </w:rPr>
        <w:t>privado</w:t>
      </w:r>
      <w:r w:rsidRPr="00F17B19">
        <w:rPr>
          <w:rFonts w:ascii="Times New Roman" w:eastAsia="Calibri" w:hAnsi="Times New Roman" w:cs="Times New Roman"/>
          <w:sz w:val="20"/>
          <w:szCs w:val="20"/>
          <w:lang w:eastAsia="pt-BR"/>
        </w:rPr>
        <w:t xml:space="preserve">, ou seja, qualquer lugar nomeado como “lar” ou então o espaço particular da sala de trabalho; 3) território </w:t>
      </w:r>
      <w:r w:rsidRPr="00F17B19">
        <w:rPr>
          <w:rFonts w:ascii="Times New Roman" w:eastAsia="Calibri" w:hAnsi="Times New Roman" w:cs="Times New Roman"/>
          <w:i/>
          <w:iCs/>
          <w:sz w:val="20"/>
          <w:szCs w:val="20"/>
          <w:lang w:eastAsia="pt-BR"/>
        </w:rPr>
        <w:t>interacional</w:t>
      </w:r>
      <w:r w:rsidRPr="00F17B19">
        <w:rPr>
          <w:rFonts w:ascii="Times New Roman" w:eastAsia="Calibri" w:hAnsi="Times New Roman" w:cs="Times New Roman"/>
          <w:sz w:val="20"/>
          <w:szCs w:val="20"/>
          <w:lang w:eastAsia="pt-BR"/>
        </w:rPr>
        <w:t xml:space="preserve">, definido pelas áreas de acesso restrito a pessoas legitimadas, como, por exemplo, os estudantes inscritos numa universidade; 4) </w:t>
      </w:r>
      <w:r w:rsidRPr="00F17B19">
        <w:rPr>
          <w:rFonts w:ascii="Times New Roman" w:eastAsia="Calibri" w:hAnsi="Times New Roman" w:cs="Times New Roman"/>
          <w:i/>
          <w:iCs/>
          <w:sz w:val="20"/>
          <w:szCs w:val="20"/>
          <w:lang w:eastAsia="pt-BR"/>
        </w:rPr>
        <w:t xml:space="preserve">território do corpo </w:t>
      </w:r>
      <w:r w:rsidRPr="00F17B19">
        <w:rPr>
          <w:rFonts w:ascii="Times New Roman" w:eastAsia="Calibri" w:hAnsi="Times New Roman" w:cs="Times New Roman"/>
          <w:sz w:val="20"/>
          <w:szCs w:val="20"/>
          <w:lang w:eastAsia="pt-BR"/>
        </w:rPr>
        <w:t>[ideia do corpo-território], relacionado com o espaço pessoal, como o próprio corpo e o espaço adjacente – esta é uma delimitação invisível do espaço que acompanha o indivíduo, sendo capaz de se expandir ou contrair-se de acordo com a situação e caracterizando-se, portanto, pela flexibilidade.</w:t>
      </w:r>
    </w:p>
    <w:p w14:paraId="6456E23D"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Levando em consideração que não existe desenvolvimento fora do território, e que para ser produzido é necessário que haja alguém que o produza. Pois o desenvolvimento não se materializa do nada, não se produz sem corpas e corpos que a produzam. Mas se tomamos a classificação condensada acima por Sodré (2019) e buscarmos quais corpos ocupam esses territórios, o que fazem, como fazem e porque fazem. Perceberemos que a ideia amplamente compartilhada de desenvolvimento é ainda um entendimento de desenvolvimento branco, colonialista e segregador, onde poucos tem efetivo acesso aos frutos do desenvolvimento. A grande maioria da população está incluída na base da pirâmide entendida como proletariado, proletariado por que estão envolvidas pelas diversas formas de pobreza (MAX-NEEF, 2012).</w:t>
      </w:r>
    </w:p>
    <w:p w14:paraId="1D27A9CA" w14:textId="77777777" w:rsidR="0049535C" w:rsidRDefault="0049535C">
      <w:pPr>
        <w:spacing w:after="0" w:line="240" w:lineRule="auto"/>
        <w:jc w:val="both"/>
        <w:rPr>
          <w:rFonts w:ascii="Times New Roman" w:hAnsi="Times New Roman" w:cs="Times New Roman"/>
          <w:sz w:val="24"/>
          <w:szCs w:val="24"/>
        </w:rPr>
      </w:pPr>
    </w:p>
    <w:p w14:paraId="15A968F3" w14:textId="39711467" w:rsidR="0049535C" w:rsidRPr="00162086" w:rsidRDefault="00000000" w:rsidP="00162086">
      <w:pPr>
        <w:pStyle w:val="PargrafodaLista"/>
        <w:numPr>
          <w:ilvl w:val="0"/>
          <w:numId w:val="4"/>
        </w:numPr>
        <w:spacing w:after="0" w:line="240" w:lineRule="auto"/>
        <w:jc w:val="both"/>
        <w:rPr>
          <w:rFonts w:ascii="Times New Roman" w:hAnsi="Times New Roman" w:cs="Times New Roman"/>
          <w:b/>
          <w:bCs/>
          <w:sz w:val="24"/>
          <w:szCs w:val="24"/>
        </w:rPr>
      </w:pPr>
      <w:r w:rsidRPr="00162086">
        <w:rPr>
          <w:rFonts w:ascii="Times New Roman" w:hAnsi="Times New Roman" w:cs="Times New Roman"/>
          <w:b/>
          <w:bCs/>
          <w:sz w:val="24"/>
          <w:szCs w:val="24"/>
        </w:rPr>
        <w:t xml:space="preserve">RESULTADOS E DISCUSSÕES </w:t>
      </w:r>
    </w:p>
    <w:p w14:paraId="4521B6DD" w14:textId="77777777" w:rsidR="00162086" w:rsidRPr="00162086" w:rsidRDefault="00162086" w:rsidP="00162086">
      <w:pPr>
        <w:pStyle w:val="PargrafodaLista"/>
        <w:spacing w:after="0" w:line="240" w:lineRule="auto"/>
        <w:ind w:left="360"/>
        <w:jc w:val="both"/>
        <w:rPr>
          <w:rFonts w:ascii="Times New Roman" w:hAnsi="Times New Roman" w:cs="Times New Roman"/>
          <w:sz w:val="24"/>
          <w:szCs w:val="24"/>
        </w:rPr>
      </w:pPr>
    </w:p>
    <w:p w14:paraId="7CAD37AB" w14:textId="77777777" w:rsidR="00F17B19" w:rsidRPr="00F17B19" w:rsidRDefault="00F17B19" w:rsidP="00F17B19">
      <w:pPr>
        <w:spacing w:after="0" w:line="360" w:lineRule="auto"/>
        <w:ind w:firstLine="709"/>
        <w:jc w:val="both"/>
        <w:rPr>
          <w:rFonts w:ascii="Times New Roman" w:eastAsia="Times New Roman" w:hAnsi="Times New Roman" w:cs="Calibri"/>
          <w:sz w:val="24"/>
          <w:szCs w:val="24"/>
          <w:lang w:eastAsia="pt-BR"/>
        </w:rPr>
      </w:pPr>
      <w:r w:rsidRPr="00F17B19">
        <w:rPr>
          <w:rFonts w:ascii="Times New Roman" w:eastAsia="Calibri" w:hAnsi="Times New Roman" w:cs="Times New Roman"/>
          <w:sz w:val="24"/>
          <w:szCs w:val="24"/>
          <w:lang w:eastAsia="pt-BR"/>
        </w:rPr>
        <w:t xml:space="preserve">Refletir desenvolvimento e/m relação a diversidade de culturas, conhecimentos e saberes;  entre colonialismos e produção de colonialidades;  princípios, valores e práticas na </w:t>
      </w:r>
      <w:r w:rsidRPr="00F17B19">
        <w:rPr>
          <w:rFonts w:ascii="Times New Roman" w:eastAsia="Calibri" w:hAnsi="Times New Roman" w:cs="Times New Roman"/>
          <w:sz w:val="24"/>
          <w:szCs w:val="24"/>
          <w:lang w:eastAsia="pt-BR"/>
        </w:rPr>
        <w:lastRenderedPageBreak/>
        <w:t xml:space="preserve">multiplicidade de territórios incidindo e interagindo nas e com as territorialidades que ali decorrem é uma tarefa desafiadora, que se pauta em profundo espírito de alteridade, prática dialogal, conhecimento e desejo de uma caminhada em construção </w:t>
      </w:r>
      <w:r w:rsidRPr="00F17B19">
        <w:rPr>
          <w:rFonts w:ascii="Times New Roman" w:eastAsia="Calibri" w:hAnsi="Times New Roman" w:cs="Times New Roman"/>
          <w:i/>
          <w:iCs/>
          <w:sz w:val="24"/>
          <w:szCs w:val="24"/>
          <w:lang w:eastAsia="pt-BR"/>
        </w:rPr>
        <w:t>entre</w:t>
      </w:r>
      <w:r w:rsidRPr="00F17B19">
        <w:rPr>
          <w:rFonts w:ascii="Times New Roman" w:eastAsia="Calibri" w:hAnsi="Times New Roman" w:cs="Times New Roman"/>
          <w:sz w:val="24"/>
          <w:szCs w:val="24"/>
          <w:lang w:eastAsia="pt-BR"/>
        </w:rPr>
        <w:t xml:space="preserve"> e </w:t>
      </w:r>
      <w:r w:rsidRPr="00F17B19">
        <w:rPr>
          <w:rFonts w:ascii="Times New Roman" w:eastAsia="Calibri" w:hAnsi="Times New Roman" w:cs="Times New Roman"/>
          <w:i/>
          <w:iCs/>
          <w:sz w:val="24"/>
          <w:szCs w:val="24"/>
          <w:lang w:eastAsia="pt-BR"/>
        </w:rPr>
        <w:t>intra</w:t>
      </w:r>
      <w:r w:rsidRPr="00F17B19">
        <w:rPr>
          <w:rFonts w:ascii="Times New Roman" w:eastAsia="Calibri" w:hAnsi="Times New Roman" w:cs="Times New Roman"/>
          <w:sz w:val="24"/>
          <w:szCs w:val="24"/>
          <w:lang w:eastAsia="pt-BR"/>
        </w:rPr>
        <w:t xml:space="preserve"> culturas - </w:t>
      </w:r>
      <w:r w:rsidRPr="00F17B19">
        <w:rPr>
          <w:rFonts w:ascii="Times New Roman" w:eastAsia="Times New Roman" w:hAnsi="Times New Roman" w:cs="Calibri"/>
          <w:sz w:val="24"/>
          <w:szCs w:val="24"/>
          <w:lang w:eastAsia="pt-BR"/>
        </w:rPr>
        <w:t>balizas equânimes para a instauração de todo e qualquer processo intercultural segundo Astrain (2010).</w:t>
      </w:r>
    </w:p>
    <w:p w14:paraId="1C3D9F86" w14:textId="77777777" w:rsidR="00F17B19" w:rsidRPr="00F17B19" w:rsidRDefault="00F17B19" w:rsidP="00F17B19">
      <w:pPr>
        <w:spacing w:after="0" w:line="360" w:lineRule="auto"/>
        <w:ind w:firstLine="709"/>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4"/>
          <w:szCs w:val="24"/>
          <w:lang w:eastAsia="pt-BR"/>
        </w:rPr>
        <w:t xml:space="preserve">Compreendemos aqui que “Território [...], tem a ver com poder, mas não apenas com o tradicional poder político. Ele diz respeito tanto ao poder no sentido mais explícito, de dominação, quanto ao poder no sentido mais implícito ou simbólico, de apropriação (HAESBAERT, 2014, p. 57). Já territorialidade é pensada pelo autor como algo que, </w:t>
      </w:r>
    </w:p>
    <w:p w14:paraId="031D89A9" w14:textId="77777777" w:rsidR="00F17B19" w:rsidRPr="00F17B19" w:rsidRDefault="00F17B19" w:rsidP="00F17B19">
      <w:pPr>
        <w:spacing w:before="120" w:after="120" w:line="240" w:lineRule="auto"/>
        <w:ind w:left="2268"/>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0"/>
          <w:szCs w:val="20"/>
          <w:lang w:eastAsia="pt-BR"/>
        </w:rPr>
        <w:t>[...] envolve “o controle sobre uma área ou espaço que deve ser concebido e comunicado”, mas ela é “melhor entendida como uma estratégia espacial para atingir, influenciar ou controlar recursos e pessoas, pelo controle de uma área e, como estratégia, a territorialidade pode ser ativada e desativada” {...]. o uso da territorialidade “depende de quem está influenciando e controlando quem e dos contextos geográficos de lugar, espaço e tempo” (HAESBAERT, 2014, p. 86).</w:t>
      </w:r>
    </w:p>
    <w:p w14:paraId="1F36D1CB" w14:textId="77777777" w:rsidR="00F17B19" w:rsidRPr="00F17B19" w:rsidRDefault="00F17B19" w:rsidP="00F17B19">
      <w:pPr>
        <w:spacing w:after="0" w:line="360" w:lineRule="auto"/>
        <w:ind w:firstLine="709"/>
        <w:jc w:val="both"/>
        <w:rPr>
          <w:rFonts w:ascii="Times New Roman" w:eastAsia="Calibri" w:hAnsi="Times New Roman" w:cs="Times New Roman"/>
          <w:sz w:val="20"/>
          <w:szCs w:val="20"/>
          <w:lang w:eastAsia="pt-BR"/>
        </w:rPr>
      </w:pPr>
      <w:r w:rsidRPr="00F17B19">
        <w:rPr>
          <w:rFonts w:ascii="Times New Roman" w:eastAsia="Calibri" w:hAnsi="Times New Roman" w:cs="Times New Roman"/>
          <w:sz w:val="24"/>
          <w:szCs w:val="24"/>
          <w:lang w:eastAsia="pt-BR"/>
        </w:rPr>
        <w:t xml:space="preserve">Apesar de política, a territorialidade, tem também aspectos econômicos e culturais, tendo ligação direta a forma como as pessoas inseridas em determinado território utilizam, organizam e dão sentido ao lugar. Pensar o território implica pensar a sua totalidade, não apenas com os seres humanos, mas com tudo e todos que o compõem, sejam esses seres considerados vivos ou não. Para os povos tradicionais daqui ou de África a terra é considerada importante na sua totalidade, sendo para muitos povos indígenas como um parente vivo, e alguns povos africanos como fonte de toda a força vital (axé). A partir dessa lógica podemos pensar o território de forma mais abrangente, para além da ideia de propriedade privada que pertence a alguém ou a algum grupo. Pois se levássemos em consideração a finitude humana, estaríamos certos de que a única coisa que possuímos durante a vida é o nosso corpo. </w:t>
      </w:r>
    </w:p>
    <w:p w14:paraId="151B1179"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A sabedoria proposta pela ideia de interculturalidade crítica nos lembra a </w:t>
      </w:r>
      <w:r w:rsidRPr="00F17B19">
        <w:rPr>
          <w:rFonts w:ascii="Times New Roman" w:eastAsia="Calibri" w:hAnsi="Times New Roman" w:cs="Times New Roman"/>
          <w:i/>
          <w:iCs/>
          <w:sz w:val="24"/>
          <w:szCs w:val="24"/>
          <w:lang w:eastAsia="pt-BR"/>
        </w:rPr>
        <w:t>encruzilhada</w:t>
      </w:r>
      <w:r w:rsidRPr="00F17B19">
        <w:rPr>
          <w:rFonts w:ascii="Times New Roman" w:eastAsia="Calibri" w:hAnsi="Times New Roman" w:cs="Times New Roman"/>
          <w:sz w:val="24"/>
          <w:szCs w:val="24"/>
          <w:lang w:eastAsia="pt-BR"/>
        </w:rPr>
        <w:t xml:space="preserve"> e, aquele que para as religiosidades de matriz africana é o dono delas - </w:t>
      </w:r>
      <w:r w:rsidRPr="00F17B19">
        <w:rPr>
          <w:rFonts w:ascii="Times New Roman" w:eastAsia="Calibri" w:hAnsi="Times New Roman" w:cs="Times New Roman"/>
          <w:i/>
          <w:iCs/>
          <w:sz w:val="24"/>
          <w:szCs w:val="24"/>
          <w:lang w:eastAsia="pt-BR"/>
        </w:rPr>
        <w:t>Exu</w:t>
      </w:r>
      <w:r w:rsidRPr="00F17B19">
        <w:rPr>
          <w:rFonts w:ascii="Times New Roman" w:eastAsia="Calibri" w:hAnsi="Times New Roman" w:cs="Times New Roman"/>
          <w:sz w:val="24"/>
          <w:szCs w:val="24"/>
          <w:lang w:eastAsia="pt-BR"/>
        </w:rPr>
        <w:t xml:space="preserve">, para muitos o senhor das mandingas, ou a própria mandinga. “Mandinga é Exu que carrega azeite em uma peneira e não perde sequer uma gota. É necessário adentrar as gramáticas do encante, praticar os cruzos, permitir o arrepio do corpo e a incorporação de outros saberes” (RUFINO, 2019, p. 143). Entendemos, que para que construamos uma interculturalidade que seja efetivamente crítica, precisamos aprender o “contragolpe” (RUFINO, 2019), sem perder a atenção. Tendo </w:t>
      </w:r>
      <w:r w:rsidRPr="00F17B19">
        <w:rPr>
          <w:rFonts w:ascii="Times New Roman" w:eastAsia="Calibri" w:hAnsi="Times New Roman" w:cs="Times New Roman"/>
          <w:sz w:val="24"/>
          <w:szCs w:val="24"/>
          <w:lang w:eastAsia="pt-BR"/>
        </w:rPr>
        <w:lastRenderedPageBreak/>
        <w:t>consciência de que a estrutura-colonial-capitalista está de olhos e ouvidos atentos buscando assimilar e esvaziar os sentidos desse movimento.</w:t>
      </w:r>
    </w:p>
    <w:p w14:paraId="4A7A0654"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O movimento de interculturalidade crítica tem sua origem nas lutas sociais, em grande medida, como apontou nos movimentos sociais promovidos por negras e negros. (CANDAU, 2013). </w:t>
      </w:r>
      <w:r w:rsidRPr="00F17B19">
        <w:rPr>
          <w:rFonts w:ascii="Times New Roman" w:eastAsia="Arial" w:hAnsi="Times New Roman" w:cs="Times New Roman"/>
          <w:sz w:val="24"/>
          <w:szCs w:val="24"/>
          <w:lang w:eastAsia="pt-BR"/>
        </w:rPr>
        <w:t>A força e a esperança nos/dos saberes e conhecimentos – memórias ancestrais do imenso contingente de pessoas africanas sequestradas, trazidas e escravizadas n</w:t>
      </w:r>
      <w:r w:rsidRPr="00F17B19">
        <w:rPr>
          <w:rFonts w:ascii="Times New Roman" w:eastAsia="Calibri" w:hAnsi="Times New Roman" w:cs="Times New Roman"/>
          <w:sz w:val="24"/>
          <w:szCs w:val="24"/>
          <w:lang w:eastAsia="pt-BR"/>
        </w:rPr>
        <w:t xml:space="preserve">o decorrer dos anos de colonização em territórios latino-americanos foram instrumentos de sobrevivência – </w:t>
      </w:r>
      <w:r w:rsidRPr="00F17B19">
        <w:rPr>
          <w:rFonts w:ascii="Times New Roman" w:eastAsia="Calibri" w:hAnsi="Times New Roman" w:cs="Times New Roman"/>
          <w:i/>
          <w:iCs/>
          <w:sz w:val="24"/>
          <w:szCs w:val="24"/>
          <w:lang w:eastAsia="pt-BR"/>
        </w:rPr>
        <w:t>movimentos e/m resistência</w:t>
      </w:r>
      <w:r w:rsidRPr="00F17B19">
        <w:rPr>
          <w:rFonts w:ascii="Times New Roman" w:eastAsia="Calibri" w:hAnsi="Times New Roman" w:cs="Times New Roman"/>
          <w:sz w:val="24"/>
          <w:szCs w:val="24"/>
          <w:lang w:eastAsia="pt-BR"/>
        </w:rPr>
        <w:t xml:space="preserve"> aos etnocídios e genocídios lhes impetrados ininterruptamente. O território precisava ser </w:t>
      </w:r>
      <w:r w:rsidRPr="00F17B19">
        <w:rPr>
          <w:rFonts w:ascii="Times New Roman" w:eastAsia="Calibri" w:hAnsi="Times New Roman" w:cs="Times New Roman"/>
          <w:i/>
          <w:iCs/>
          <w:sz w:val="24"/>
          <w:szCs w:val="24"/>
          <w:lang w:eastAsia="pt-BR"/>
        </w:rPr>
        <w:t>geografizado</w:t>
      </w:r>
      <w:r w:rsidRPr="00F17B19">
        <w:rPr>
          <w:rFonts w:ascii="Times New Roman" w:eastAsia="Calibri" w:hAnsi="Times New Roman" w:cs="Times New Roman"/>
          <w:sz w:val="24"/>
          <w:szCs w:val="24"/>
          <w:lang w:eastAsia="pt-BR"/>
        </w:rPr>
        <w:t xml:space="preserve"> - não somente os recortes continentais, mas prioritariamente os </w:t>
      </w:r>
      <w:r w:rsidRPr="00F17B19">
        <w:rPr>
          <w:rFonts w:ascii="Times New Roman" w:eastAsia="Calibri" w:hAnsi="Times New Roman" w:cs="Times New Roman"/>
          <w:i/>
          <w:iCs/>
          <w:sz w:val="24"/>
          <w:szCs w:val="24"/>
          <w:lang w:eastAsia="pt-BR"/>
        </w:rPr>
        <w:t xml:space="preserve">corpos </w:t>
      </w:r>
      <w:r w:rsidRPr="00F17B19">
        <w:rPr>
          <w:rFonts w:ascii="Times New Roman" w:eastAsia="Calibri" w:hAnsi="Times New Roman" w:cs="Times New Roman"/>
          <w:sz w:val="24"/>
          <w:szCs w:val="24"/>
          <w:lang w:eastAsia="pt-BR"/>
        </w:rPr>
        <w:t>ali existentes, para dentro das lógicas governamentais em uma perspectiva geopolítica</w:t>
      </w:r>
      <w:r w:rsidRPr="00F17B19">
        <w:rPr>
          <w:rFonts w:ascii="Times New Roman" w:eastAsia="Arial" w:hAnsi="Times New Roman" w:cs="Times New Roman"/>
          <w:sz w:val="24"/>
          <w:szCs w:val="24"/>
          <w:lang w:eastAsia="pt-BR"/>
        </w:rPr>
        <w:t xml:space="preserve"> de opressão e subalternidade</w:t>
      </w:r>
      <w:r w:rsidRPr="00F17B19">
        <w:rPr>
          <w:rFonts w:ascii="Times New Roman" w:eastAsia="Calibri" w:hAnsi="Times New Roman" w:cs="Times New Roman"/>
          <w:sz w:val="24"/>
          <w:szCs w:val="24"/>
          <w:lang w:eastAsia="pt-BR"/>
        </w:rPr>
        <w:t xml:space="preserve"> vias</w:t>
      </w:r>
      <w:r w:rsidRPr="00F17B19">
        <w:rPr>
          <w:rFonts w:ascii="Times New Roman" w:eastAsia="Calibri" w:hAnsi="Times New Roman" w:cs="Times New Roman"/>
          <w:i/>
          <w:iCs/>
          <w:sz w:val="24"/>
          <w:szCs w:val="24"/>
          <w:lang w:eastAsia="pt-BR"/>
        </w:rPr>
        <w:t xml:space="preserve"> colonialidade do ser, saber</w:t>
      </w:r>
      <w:r w:rsidRPr="00F17B19">
        <w:rPr>
          <w:rFonts w:ascii="Times New Roman" w:eastAsia="Calibri" w:hAnsi="Times New Roman" w:cs="Times New Roman"/>
          <w:sz w:val="24"/>
          <w:szCs w:val="24"/>
          <w:lang w:eastAsia="pt-BR"/>
        </w:rPr>
        <w:t xml:space="preserve"> e </w:t>
      </w:r>
      <w:r w:rsidRPr="00F17B19">
        <w:rPr>
          <w:rFonts w:ascii="Times New Roman" w:eastAsia="Calibri" w:hAnsi="Times New Roman" w:cs="Times New Roman"/>
          <w:i/>
          <w:iCs/>
          <w:sz w:val="24"/>
          <w:szCs w:val="24"/>
          <w:lang w:eastAsia="pt-BR"/>
        </w:rPr>
        <w:t>viver</w:t>
      </w:r>
      <w:r w:rsidRPr="00F17B19">
        <w:rPr>
          <w:rFonts w:ascii="Times New Roman" w:eastAsia="Calibri" w:hAnsi="Times New Roman" w:cs="Times New Roman"/>
          <w:sz w:val="24"/>
          <w:szCs w:val="24"/>
          <w:lang w:eastAsia="pt-BR"/>
        </w:rPr>
        <w:t xml:space="preserve"> (WARTHA, 2018).</w:t>
      </w:r>
    </w:p>
    <w:p w14:paraId="4651A745" w14:textId="77777777" w:rsidR="00F17B19" w:rsidRPr="00F17B19" w:rsidRDefault="00F17B19" w:rsidP="00F17B19">
      <w:pPr>
        <w:spacing w:after="0" w:line="360" w:lineRule="auto"/>
        <w:ind w:firstLine="709"/>
        <w:jc w:val="both"/>
        <w:rPr>
          <w:rFonts w:ascii="Times New Roman" w:eastAsia="Calibri" w:hAnsi="Times New Roman" w:cs="Times New Roman"/>
          <w:sz w:val="24"/>
          <w:szCs w:val="24"/>
          <w:lang w:eastAsia="pt-BR"/>
        </w:rPr>
      </w:pPr>
      <w:r w:rsidRPr="00F17B19">
        <w:rPr>
          <w:rFonts w:ascii="Times New Roman" w:eastAsia="Calibri" w:hAnsi="Times New Roman" w:cs="Times New Roman"/>
          <w:sz w:val="24"/>
          <w:szCs w:val="24"/>
          <w:lang w:eastAsia="pt-BR"/>
        </w:rPr>
        <w:t xml:space="preserve">Neste breve ensaio acadêmico apresentamos e refletimos alguns referenciais, que tangenciam uma problemática que tem adoecido a sociedade brasileira há mais de cinco séculos – a </w:t>
      </w:r>
      <w:r w:rsidRPr="00F17B19">
        <w:rPr>
          <w:rFonts w:ascii="Times New Roman" w:eastAsia="Calibri" w:hAnsi="Times New Roman" w:cs="Times New Roman"/>
          <w:i/>
          <w:iCs/>
          <w:sz w:val="24"/>
          <w:szCs w:val="24"/>
          <w:lang w:eastAsia="pt-BR"/>
        </w:rPr>
        <w:t xml:space="preserve">coloniescravização in continuum. </w:t>
      </w:r>
      <w:r w:rsidRPr="00F17B19">
        <w:rPr>
          <w:rFonts w:ascii="Times New Roman" w:eastAsia="Calibri" w:hAnsi="Times New Roman" w:cs="Times New Roman"/>
          <w:sz w:val="24"/>
          <w:szCs w:val="24"/>
          <w:lang w:eastAsia="pt-BR"/>
        </w:rPr>
        <w:t>Colonialismo, colonização e colonialidades regidas pelo</w:t>
      </w:r>
      <w:r w:rsidRPr="00F17B19">
        <w:rPr>
          <w:rFonts w:ascii="Times New Roman" w:eastAsia="Calibri" w:hAnsi="Times New Roman" w:cs="Times New Roman"/>
          <w:i/>
          <w:iCs/>
          <w:sz w:val="24"/>
          <w:szCs w:val="24"/>
          <w:lang w:eastAsia="pt-BR"/>
        </w:rPr>
        <w:t xml:space="preserve"> poder </w:t>
      </w:r>
      <w:r w:rsidRPr="00F17B19">
        <w:rPr>
          <w:rFonts w:ascii="Times New Roman" w:eastAsia="Calibri" w:hAnsi="Times New Roman" w:cs="Times New Roman"/>
          <w:sz w:val="24"/>
          <w:szCs w:val="24"/>
          <w:lang w:eastAsia="pt-BR"/>
        </w:rPr>
        <w:t>ao</w:t>
      </w:r>
      <w:r w:rsidRPr="00F17B19">
        <w:rPr>
          <w:rFonts w:ascii="Times New Roman" w:eastAsia="Calibri" w:hAnsi="Times New Roman" w:cs="Times New Roman"/>
          <w:i/>
          <w:iCs/>
          <w:sz w:val="24"/>
          <w:szCs w:val="24"/>
          <w:lang w:eastAsia="pt-BR"/>
        </w:rPr>
        <w:t xml:space="preserve"> saber, ser e viver</w:t>
      </w:r>
      <w:r w:rsidRPr="00F17B19">
        <w:rPr>
          <w:rFonts w:ascii="Times New Roman" w:eastAsia="Calibri" w:hAnsi="Times New Roman" w:cs="Times New Roman"/>
          <w:sz w:val="24"/>
          <w:szCs w:val="24"/>
          <w:lang w:eastAsia="pt-BR"/>
        </w:rPr>
        <w:t xml:space="preserve">, produtoras de um escravismo – com vistas a um desenvolvimentismo sem fim, marcaram visceralmente as culturas originárias, assim como as sequestradas e/ou aliciadas para este território por motivos de uso de mão de obra e/ou conhecimentos mais elaborados. </w:t>
      </w:r>
      <w:r w:rsidRPr="00F17B19">
        <w:rPr>
          <w:rFonts w:ascii="Times New Roman" w:eastAsia="Calibri" w:hAnsi="Times New Roman" w:cs="Times New Roman"/>
          <w:i/>
          <w:iCs/>
          <w:sz w:val="24"/>
          <w:szCs w:val="24"/>
          <w:lang w:eastAsia="pt-BR"/>
        </w:rPr>
        <w:t>Corpos-território</w:t>
      </w:r>
      <w:r w:rsidRPr="00F17B19">
        <w:rPr>
          <w:rFonts w:ascii="Times New Roman" w:eastAsia="Calibri" w:hAnsi="Times New Roman" w:cs="Times New Roman"/>
          <w:sz w:val="24"/>
          <w:szCs w:val="24"/>
          <w:lang w:eastAsia="pt-BR"/>
        </w:rPr>
        <w:t xml:space="preserve"> distribuídos em </w:t>
      </w:r>
      <w:r w:rsidRPr="00F17B19">
        <w:rPr>
          <w:rFonts w:ascii="Times New Roman" w:eastAsia="Calibri" w:hAnsi="Times New Roman" w:cs="Times New Roman"/>
          <w:i/>
          <w:iCs/>
          <w:sz w:val="24"/>
          <w:szCs w:val="24"/>
          <w:lang w:eastAsia="pt-BR"/>
        </w:rPr>
        <w:t>tempos/espaços,</w:t>
      </w:r>
      <w:r w:rsidRPr="00F17B19">
        <w:rPr>
          <w:rFonts w:ascii="Times New Roman" w:eastAsia="Calibri" w:hAnsi="Times New Roman" w:cs="Times New Roman"/>
          <w:sz w:val="24"/>
          <w:szCs w:val="24"/>
          <w:lang w:eastAsia="pt-BR"/>
        </w:rPr>
        <w:t xml:space="preserve"> cujo </w:t>
      </w:r>
      <w:r w:rsidRPr="00F17B19">
        <w:rPr>
          <w:rFonts w:ascii="Times New Roman" w:eastAsia="Calibri" w:hAnsi="Times New Roman" w:cs="Times New Roman"/>
          <w:i/>
          <w:iCs/>
          <w:sz w:val="24"/>
          <w:szCs w:val="24"/>
          <w:lang w:eastAsia="pt-BR"/>
        </w:rPr>
        <w:t>lugar</w:t>
      </w:r>
      <w:r w:rsidRPr="00F17B19">
        <w:rPr>
          <w:rFonts w:ascii="Times New Roman" w:eastAsia="Calibri" w:hAnsi="Times New Roman" w:cs="Times New Roman"/>
          <w:sz w:val="24"/>
          <w:szCs w:val="24"/>
          <w:lang w:eastAsia="pt-BR"/>
        </w:rPr>
        <w:t xml:space="preserve"> ainda não lhes foi reconhecido, embora o seja de direito; multiculturalidades submetidas a sistemáticos processos de assimilação e diferenciação, lhes negando a participação em </w:t>
      </w:r>
      <w:r w:rsidRPr="00F17B19">
        <w:rPr>
          <w:rFonts w:ascii="Times New Roman" w:eastAsia="Calibri" w:hAnsi="Times New Roman" w:cs="Times New Roman"/>
          <w:i/>
          <w:iCs/>
          <w:sz w:val="24"/>
          <w:szCs w:val="24"/>
          <w:lang w:eastAsia="pt-BR"/>
        </w:rPr>
        <w:t>passos, compassos</w:t>
      </w:r>
      <w:r w:rsidRPr="00F17B19">
        <w:rPr>
          <w:rFonts w:ascii="Times New Roman" w:eastAsia="Calibri" w:hAnsi="Times New Roman" w:cs="Times New Roman"/>
          <w:sz w:val="24"/>
          <w:szCs w:val="24"/>
          <w:lang w:eastAsia="pt-BR"/>
        </w:rPr>
        <w:t xml:space="preserve"> e </w:t>
      </w:r>
      <w:r w:rsidRPr="00F17B19">
        <w:rPr>
          <w:rFonts w:ascii="Times New Roman" w:eastAsia="Calibri" w:hAnsi="Times New Roman" w:cs="Times New Roman"/>
          <w:i/>
          <w:iCs/>
          <w:sz w:val="24"/>
          <w:szCs w:val="24"/>
          <w:lang w:eastAsia="pt-BR"/>
        </w:rPr>
        <w:t>contrapassos</w:t>
      </w:r>
      <w:r w:rsidRPr="00F17B19">
        <w:rPr>
          <w:rFonts w:ascii="Times New Roman" w:eastAsia="Calibri" w:hAnsi="Times New Roman" w:cs="Times New Roman"/>
          <w:sz w:val="24"/>
          <w:szCs w:val="24"/>
          <w:lang w:eastAsia="pt-BR"/>
        </w:rPr>
        <w:t xml:space="preserve"> – </w:t>
      </w:r>
      <w:r w:rsidRPr="00F17B19">
        <w:rPr>
          <w:rFonts w:ascii="Times New Roman" w:eastAsia="Calibri" w:hAnsi="Times New Roman" w:cs="Times New Roman"/>
          <w:i/>
          <w:iCs/>
          <w:sz w:val="24"/>
          <w:szCs w:val="24"/>
          <w:lang w:eastAsia="pt-BR"/>
        </w:rPr>
        <w:t>movimentos</w:t>
      </w:r>
      <w:r w:rsidRPr="00F17B19">
        <w:rPr>
          <w:rFonts w:ascii="Times New Roman" w:eastAsia="Calibri" w:hAnsi="Times New Roman" w:cs="Times New Roman"/>
          <w:sz w:val="24"/>
          <w:szCs w:val="24"/>
          <w:lang w:eastAsia="pt-BR"/>
        </w:rPr>
        <w:t xml:space="preserve"> em </w:t>
      </w:r>
      <w:r w:rsidRPr="00F17B19">
        <w:rPr>
          <w:rFonts w:ascii="Times New Roman" w:eastAsia="Calibri" w:hAnsi="Times New Roman" w:cs="Times New Roman"/>
          <w:i/>
          <w:iCs/>
          <w:sz w:val="24"/>
          <w:szCs w:val="24"/>
          <w:lang w:eastAsia="pt-BR"/>
        </w:rPr>
        <w:t>gingados</w:t>
      </w:r>
      <w:r w:rsidRPr="00F17B19">
        <w:rPr>
          <w:rFonts w:ascii="Times New Roman" w:eastAsia="Calibri" w:hAnsi="Times New Roman" w:cs="Times New Roman"/>
          <w:sz w:val="24"/>
          <w:szCs w:val="24"/>
          <w:lang w:eastAsia="pt-BR"/>
        </w:rPr>
        <w:t xml:space="preserve">, que criam e se fazem presentes em uma roda intercultural. </w:t>
      </w:r>
    </w:p>
    <w:p w14:paraId="458AEB57" w14:textId="77777777" w:rsidR="00F17B19" w:rsidRPr="00F17B19" w:rsidRDefault="00F17B19" w:rsidP="00F17B19">
      <w:pPr>
        <w:spacing w:after="0" w:line="360" w:lineRule="auto"/>
        <w:ind w:firstLine="709"/>
        <w:jc w:val="both"/>
        <w:rPr>
          <w:rFonts w:ascii="Times New Roman" w:eastAsia="Times New Roman" w:hAnsi="Times New Roman" w:cs="Times New Roman"/>
          <w:sz w:val="24"/>
          <w:szCs w:val="24"/>
          <w:lang w:eastAsia="ko-KR"/>
        </w:rPr>
      </w:pPr>
      <w:r w:rsidRPr="00F17B19">
        <w:rPr>
          <w:rFonts w:ascii="Times New Roman" w:eastAsia="Calibri" w:hAnsi="Times New Roman" w:cs="Times New Roman"/>
          <w:sz w:val="24"/>
          <w:szCs w:val="24"/>
          <w:lang w:eastAsia="pt-BR"/>
        </w:rPr>
        <w:t xml:space="preserve">Mas no grito contido dos corpos não silenciados em processos de </w:t>
      </w:r>
      <w:r w:rsidRPr="00F17B19">
        <w:rPr>
          <w:rFonts w:ascii="Times New Roman" w:eastAsia="Calibri" w:hAnsi="Times New Roman" w:cs="Times New Roman"/>
          <w:i/>
          <w:iCs/>
          <w:sz w:val="24"/>
          <w:szCs w:val="24"/>
          <w:lang w:eastAsia="pt-BR"/>
        </w:rPr>
        <w:t>coloniescravização</w:t>
      </w:r>
      <w:r w:rsidRPr="00F17B19">
        <w:rPr>
          <w:rFonts w:ascii="Times New Roman" w:eastAsia="Calibri" w:hAnsi="Times New Roman" w:cs="Times New Roman"/>
          <w:sz w:val="24"/>
          <w:szCs w:val="24"/>
          <w:lang w:eastAsia="pt-BR"/>
        </w:rPr>
        <w:t xml:space="preserve">, surgem </w:t>
      </w:r>
      <w:r w:rsidRPr="00F17B19">
        <w:rPr>
          <w:rFonts w:ascii="Times New Roman" w:eastAsia="Calibri" w:hAnsi="Times New Roman" w:cs="Times New Roman"/>
          <w:i/>
          <w:iCs/>
          <w:sz w:val="24"/>
          <w:szCs w:val="24"/>
          <w:lang w:eastAsia="pt-BR"/>
        </w:rPr>
        <w:t xml:space="preserve">movimentos </w:t>
      </w:r>
      <w:r w:rsidRPr="00F17B19">
        <w:rPr>
          <w:rFonts w:ascii="Times New Roman" w:eastAsia="Calibri" w:hAnsi="Times New Roman" w:cs="Times New Roman"/>
          <w:sz w:val="24"/>
          <w:szCs w:val="24"/>
          <w:lang w:eastAsia="pt-BR"/>
        </w:rPr>
        <w:t>de superação, construção em memorização e vida –</w:t>
      </w:r>
      <w:r w:rsidRPr="00F17B19">
        <w:rPr>
          <w:rFonts w:ascii="Times New Roman" w:eastAsia="Times New Roman" w:hAnsi="Times New Roman" w:cs="Times New Roman"/>
          <w:sz w:val="24"/>
          <w:szCs w:val="24"/>
          <w:lang w:eastAsia="ko-KR"/>
        </w:rPr>
        <w:t xml:space="preserve"> </w:t>
      </w:r>
    </w:p>
    <w:p w14:paraId="7D734A4F" w14:textId="23254015" w:rsidR="00F17B19" w:rsidRDefault="00F17B19" w:rsidP="00F17B19">
      <w:pPr>
        <w:spacing w:after="0" w:line="240" w:lineRule="auto"/>
        <w:ind w:left="2268"/>
        <w:jc w:val="both"/>
        <w:rPr>
          <w:rFonts w:ascii="Times New Roman" w:eastAsia="Times New Roman" w:hAnsi="Times New Roman" w:cs="Times New Roman"/>
          <w:sz w:val="20"/>
          <w:szCs w:val="20"/>
          <w:lang w:eastAsia="ko-KR"/>
        </w:rPr>
      </w:pPr>
      <w:r w:rsidRPr="00F17B19">
        <w:rPr>
          <w:rFonts w:ascii="Times New Roman" w:eastAsia="Times New Roman" w:hAnsi="Times New Roman" w:cs="Times New Roman"/>
          <w:sz w:val="20"/>
          <w:szCs w:val="20"/>
          <w:lang w:eastAsia="ko-KR"/>
        </w:rPr>
        <w:t xml:space="preserve">[...] formas de luta e resistência no/do território de seus antepassados - </w:t>
      </w:r>
      <w:r w:rsidRPr="00F17B19">
        <w:rPr>
          <w:rFonts w:ascii="Times New Roman" w:eastAsia="Times New Roman" w:hAnsi="Times New Roman" w:cs="Times New Roman"/>
          <w:i/>
          <w:iCs/>
          <w:sz w:val="20"/>
          <w:szCs w:val="20"/>
          <w:lang w:eastAsia="ko-KR"/>
        </w:rPr>
        <w:t>re-existir</w:t>
      </w:r>
      <w:r w:rsidRPr="00F17B19">
        <w:rPr>
          <w:rFonts w:ascii="Times New Roman" w:eastAsia="Times New Roman" w:hAnsi="Times New Roman" w:cs="Times New Roman"/>
          <w:sz w:val="20"/>
          <w:szCs w:val="20"/>
          <w:lang w:eastAsia="ko-KR"/>
        </w:rPr>
        <w:t xml:space="preserve"> em </w:t>
      </w:r>
      <w:r w:rsidRPr="00F17B19">
        <w:rPr>
          <w:rFonts w:ascii="Times New Roman" w:eastAsia="Times New Roman" w:hAnsi="Times New Roman" w:cs="Times New Roman"/>
          <w:i/>
          <w:iCs/>
          <w:sz w:val="20"/>
          <w:szCs w:val="20"/>
          <w:lang w:eastAsia="ko-KR"/>
        </w:rPr>
        <w:t>Tempos de esperança</w:t>
      </w:r>
      <w:r w:rsidRPr="00F17B19">
        <w:rPr>
          <w:rFonts w:ascii="Times New Roman" w:eastAsia="Times New Roman" w:hAnsi="Times New Roman" w:cs="Times New Roman"/>
          <w:sz w:val="20"/>
          <w:szCs w:val="20"/>
          <w:lang w:eastAsia="ko-KR"/>
        </w:rPr>
        <w:t xml:space="preserve"> a um </w:t>
      </w:r>
      <w:r w:rsidRPr="00F17B19">
        <w:rPr>
          <w:rFonts w:ascii="Times New Roman" w:eastAsia="Times New Roman" w:hAnsi="Times New Roman" w:cs="Times New Roman"/>
          <w:b/>
          <w:bCs/>
          <w:i/>
          <w:iCs/>
          <w:sz w:val="20"/>
          <w:szCs w:val="20"/>
          <w:lang w:eastAsia="ko-KR"/>
        </w:rPr>
        <w:t xml:space="preserve">lugar </w:t>
      </w:r>
      <w:r w:rsidRPr="00F17B19">
        <w:rPr>
          <w:rFonts w:ascii="Times New Roman" w:eastAsia="Times New Roman" w:hAnsi="Times New Roman" w:cs="Times New Roman"/>
          <w:sz w:val="20"/>
          <w:szCs w:val="20"/>
          <w:lang w:eastAsia="ko-KR"/>
        </w:rPr>
        <w:t>de</w:t>
      </w:r>
      <w:r w:rsidRPr="00F17B19">
        <w:rPr>
          <w:rFonts w:ascii="Times New Roman" w:eastAsia="Times New Roman" w:hAnsi="Times New Roman" w:cs="Times New Roman"/>
          <w:b/>
          <w:bCs/>
          <w:i/>
          <w:iCs/>
          <w:sz w:val="20"/>
          <w:szCs w:val="20"/>
          <w:lang w:eastAsia="ko-KR"/>
        </w:rPr>
        <w:t xml:space="preserve"> </w:t>
      </w:r>
      <w:r w:rsidRPr="00F17B19">
        <w:rPr>
          <w:rFonts w:ascii="Times New Roman" w:eastAsia="Times New Roman" w:hAnsi="Times New Roman" w:cs="Times New Roman"/>
          <w:sz w:val="20"/>
          <w:szCs w:val="20"/>
          <w:lang w:eastAsia="ko-KR"/>
        </w:rPr>
        <w:t xml:space="preserve">viver e/m </w:t>
      </w:r>
      <w:r w:rsidRPr="00F17B19">
        <w:rPr>
          <w:rFonts w:ascii="Times New Roman" w:eastAsia="Times New Roman" w:hAnsi="Times New Roman" w:cs="Times New Roman"/>
          <w:i/>
          <w:iCs/>
          <w:sz w:val="20"/>
          <w:szCs w:val="20"/>
          <w:lang w:eastAsia="ko-KR"/>
        </w:rPr>
        <w:t xml:space="preserve">possibilidades </w:t>
      </w:r>
      <w:r w:rsidRPr="00F17B19">
        <w:rPr>
          <w:rFonts w:ascii="Times New Roman" w:eastAsia="Times New Roman" w:hAnsi="Times New Roman" w:cs="Times New Roman"/>
          <w:sz w:val="20"/>
          <w:szCs w:val="20"/>
          <w:lang w:eastAsia="ko-KR"/>
        </w:rPr>
        <w:t>[...]</w:t>
      </w:r>
      <w:r w:rsidRPr="00F17B19">
        <w:rPr>
          <w:rFonts w:ascii="Times New Roman" w:eastAsia="Times New Roman" w:hAnsi="Times New Roman" w:cs="Times New Roman"/>
          <w:i/>
          <w:iCs/>
          <w:sz w:val="20"/>
          <w:szCs w:val="20"/>
          <w:lang w:eastAsia="ko-KR"/>
        </w:rPr>
        <w:t xml:space="preserve"> </w:t>
      </w:r>
      <w:r w:rsidRPr="00F17B19">
        <w:rPr>
          <w:rFonts w:ascii="Times New Roman" w:eastAsia="Times New Roman" w:hAnsi="Times New Roman" w:cs="Times New Roman"/>
          <w:sz w:val="20"/>
          <w:szCs w:val="20"/>
          <w:lang w:eastAsia="ko-KR"/>
        </w:rPr>
        <w:t>Rememorar detêm o poder de identificar um fio que une o passado ao presente, fortalece e identifica a jornada comum – uma tessitura em lembranças e resistências materializada em signos e significados ancestrais, que consubstanciam o presente e forjam o futuro (FONTOURA; OLIVEIRA, 2021, p. 26).</w:t>
      </w:r>
    </w:p>
    <w:p w14:paraId="6718265D" w14:textId="2484BB97" w:rsidR="00162086" w:rsidRDefault="00162086" w:rsidP="00F17B19">
      <w:pPr>
        <w:spacing w:after="0" w:line="240" w:lineRule="auto"/>
        <w:ind w:left="2268"/>
        <w:jc w:val="both"/>
        <w:rPr>
          <w:rFonts w:ascii="Times New Roman" w:eastAsia="Times New Roman" w:hAnsi="Times New Roman" w:cs="Times New Roman"/>
          <w:sz w:val="20"/>
          <w:szCs w:val="20"/>
          <w:lang w:eastAsia="ko-KR"/>
        </w:rPr>
      </w:pPr>
    </w:p>
    <w:p w14:paraId="131D68B9" w14:textId="6A474504" w:rsidR="00162086" w:rsidRDefault="00162086" w:rsidP="00F17B19">
      <w:pPr>
        <w:spacing w:after="0" w:line="240" w:lineRule="auto"/>
        <w:ind w:left="2268"/>
        <w:jc w:val="both"/>
        <w:rPr>
          <w:rFonts w:ascii="Times New Roman" w:eastAsia="Times New Roman" w:hAnsi="Times New Roman" w:cs="Times New Roman"/>
          <w:sz w:val="20"/>
          <w:szCs w:val="20"/>
          <w:lang w:eastAsia="ko-KR"/>
        </w:rPr>
      </w:pPr>
    </w:p>
    <w:p w14:paraId="4B2F930D" w14:textId="7B294970" w:rsidR="00162086" w:rsidRDefault="00162086" w:rsidP="00F17B19">
      <w:pPr>
        <w:spacing w:after="0" w:line="240" w:lineRule="auto"/>
        <w:ind w:left="2268"/>
        <w:jc w:val="both"/>
        <w:rPr>
          <w:rFonts w:ascii="Times New Roman" w:eastAsia="Times New Roman" w:hAnsi="Times New Roman" w:cs="Times New Roman"/>
          <w:sz w:val="20"/>
          <w:szCs w:val="20"/>
          <w:lang w:eastAsia="ko-KR"/>
        </w:rPr>
      </w:pPr>
    </w:p>
    <w:p w14:paraId="79F34738" w14:textId="0500212A" w:rsidR="00162086" w:rsidRDefault="00162086" w:rsidP="00F17B19">
      <w:pPr>
        <w:spacing w:after="0" w:line="240" w:lineRule="auto"/>
        <w:ind w:left="2268"/>
        <w:jc w:val="both"/>
        <w:rPr>
          <w:rFonts w:ascii="Times New Roman" w:eastAsia="Times New Roman" w:hAnsi="Times New Roman" w:cs="Times New Roman"/>
          <w:sz w:val="20"/>
          <w:szCs w:val="20"/>
          <w:lang w:eastAsia="ko-KR"/>
        </w:rPr>
      </w:pPr>
    </w:p>
    <w:p w14:paraId="12D9F5EC" w14:textId="77777777" w:rsidR="0049535C"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REFERÊNCIAS</w:t>
      </w:r>
    </w:p>
    <w:p w14:paraId="4EBC17D4" w14:textId="77777777" w:rsidR="0049535C" w:rsidRDefault="0049535C">
      <w:pPr>
        <w:spacing w:after="0" w:line="240" w:lineRule="auto"/>
        <w:jc w:val="both"/>
        <w:rPr>
          <w:rFonts w:ascii="Times New Roman" w:hAnsi="Times New Roman" w:cs="Times New Roman"/>
          <w:sz w:val="24"/>
          <w:szCs w:val="24"/>
        </w:rPr>
      </w:pPr>
    </w:p>
    <w:p w14:paraId="4AD20BE1"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ANDRADE, Bruno; FERNANDES, Bruno Diniz; CARLI, Caetano de. O fim do escravismo e o escravismo sem fim: colonialidade, direito e emancipação social no brasil. </w:t>
      </w:r>
      <w:r w:rsidRPr="00F17B19">
        <w:rPr>
          <w:rFonts w:ascii="Times New Roman" w:eastAsia="Times New Roman" w:hAnsi="Times New Roman" w:cs="Times New Roman"/>
          <w:b/>
          <w:bCs/>
          <w:lang w:eastAsia="ko-KR"/>
        </w:rPr>
        <w:t>Direito &amp; Práxis</w:t>
      </w:r>
      <w:r w:rsidRPr="00F17B19">
        <w:rPr>
          <w:rFonts w:ascii="Times New Roman" w:eastAsia="Times New Roman" w:hAnsi="Times New Roman" w:cs="Times New Roman"/>
          <w:lang w:eastAsia="ko-KR"/>
        </w:rPr>
        <w:t>, Rio de Janeiro, v. 06, n. 1, p. 551-597, mar. 2015. Trimestral.</w:t>
      </w:r>
    </w:p>
    <w:p w14:paraId="771E8F13" w14:textId="77777777" w:rsidR="00F17B19" w:rsidRPr="00F17B19" w:rsidRDefault="00F17B19" w:rsidP="00F17B19">
      <w:pPr>
        <w:spacing w:after="0" w:line="240" w:lineRule="auto"/>
        <w:rPr>
          <w:rFonts w:ascii="Times New Roman" w:eastAsia="Times New Roman" w:hAnsi="Times New Roman" w:cs="Times New Roman"/>
          <w:lang w:eastAsia="ko-KR"/>
        </w:rPr>
      </w:pPr>
    </w:p>
    <w:p w14:paraId="6A63D206"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ASTRAIN, Ricardo Salas. </w:t>
      </w:r>
      <w:r w:rsidRPr="00F17B19">
        <w:rPr>
          <w:rFonts w:ascii="Times New Roman" w:eastAsia="Times New Roman" w:hAnsi="Times New Roman" w:cs="Times New Roman"/>
          <w:b/>
          <w:bCs/>
          <w:lang w:eastAsia="ko-KR"/>
        </w:rPr>
        <w:t>Ética Intercultural</w:t>
      </w:r>
      <w:r w:rsidRPr="00F17B19">
        <w:rPr>
          <w:rFonts w:ascii="Times New Roman" w:eastAsia="Times New Roman" w:hAnsi="Times New Roman" w:cs="Times New Roman"/>
          <w:lang w:eastAsia="ko-KR"/>
        </w:rPr>
        <w:t>: (re)leituras do pensamento latino-americano. São Leopoldo: Nova Harmonia, 2010. 166 p.</w:t>
      </w:r>
    </w:p>
    <w:p w14:paraId="127D0F6B" w14:textId="77777777" w:rsidR="00F17B19" w:rsidRPr="00F17B19" w:rsidRDefault="00F17B19" w:rsidP="00F17B19">
      <w:pPr>
        <w:spacing w:after="0" w:line="240" w:lineRule="auto"/>
        <w:rPr>
          <w:rFonts w:ascii="Times New Roman" w:eastAsia="Times New Roman" w:hAnsi="Times New Roman" w:cs="Times New Roman"/>
          <w:lang w:eastAsia="ko-KR"/>
        </w:rPr>
      </w:pPr>
    </w:p>
    <w:p w14:paraId="62C52A2D"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BOSI, Alfredo. </w:t>
      </w:r>
      <w:r w:rsidRPr="00F17B19">
        <w:rPr>
          <w:rFonts w:ascii="Times New Roman" w:eastAsia="Times New Roman" w:hAnsi="Times New Roman" w:cs="Times New Roman"/>
          <w:b/>
          <w:bCs/>
          <w:lang w:eastAsia="ko-KR"/>
        </w:rPr>
        <w:t>Dialética da colonização</w:t>
      </w:r>
      <w:r w:rsidRPr="00F17B19">
        <w:rPr>
          <w:rFonts w:ascii="Times New Roman" w:eastAsia="Times New Roman" w:hAnsi="Times New Roman" w:cs="Times New Roman"/>
          <w:lang w:eastAsia="ko-KR"/>
        </w:rPr>
        <w:t>. 3. ed. São Paulo: Companhia das Letras, 1992. 412 p</w:t>
      </w:r>
    </w:p>
    <w:p w14:paraId="40EFE3ED" w14:textId="77777777" w:rsidR="00F17B19" w:rsidRPr="00F17B19" w:rsidRDefault="00F17B19" w:rsidP="00F17B19">
      <w:pPr>
        <w:spacing w:after="0" w:line="240" w:lineRule="auto"/>
        <w:rPr>
          <w:rFonts w:ascii="Times New Roman" w:eastAsia="Times New Roman" w:hAnsi="Times New Roman" w:cs="Times New Roman"/>
          <w:lang w:eastAsia="ko-KR"/>
        </w:rPr>
      </w:pPr>
    </w:p>
    <w:p w14:paraId="4E07E44C"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CAMPOS, Marcio D’Olne. Por que SULear?: marcas do norte sobre o sul, da escola à geopolítica. </w:t>
      </w:r>
      <w:r w:rsidRPr="00F17B19">
        <w:rPr>
          <w:rFonts w:ascii="Times New Roman" w:eastAsia="Times New Roman" w:hAnsi="Times New Roman" w:cs="Times New Roman"/>
          <w:b/>
          <w:bCs/>
          <w:lang w:eastAsia="ko-KR"/>
        </w:rPr>
        <w:t>Revista Interdisciplinar Sulear</w:t>
      </w:r>
      <w:r w:rsidRPr="00F17B19">
        <w:rPr>
          <w:rFonts w:ascii="Times New Roman" w:eastAsia="Times New Roman" w:hAnsi="Times New Roman" w:cs="Times New Roman"/>
          <w:lang w:eastAsia="ko-KR"/>
        </w:rPr>
        <w:t>, Belo Horizonte, v. 2, n. 2, p. 10-35, set. 2019. Semestral.</w:t>
      </w:r>
    </w:p>
    <w:p w14:paraId="1FCE125A" w14:textId="77777777" w:rsidR="00F17B19" w:rsidRPr="00F17B19" w:rsidRDefault="00F17B19" w:rsidP="00F17B19">
      <w:pPr>
        <w:spacing w:after="0" w:line="240" w:lineRule="auto"/>
        <w:rPr>
          <w:rFonts w:ascii="Times New Roman" w:eastAsia="Times New Roman" w:hAnsi="Times New Roman" w:cs="Times New Roman"/>
          <w:lang w:eastAsia="ko-KR"/>
        </w:rPr>
      </w:pPr>
    </w:p>
    <w:p w14:paraId="3FA2B8E6"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CANDAU, Vera Maria. Multiculturalismo e educação: desafios para a prática pedagógica. In: MOREIRA, Antonio Flávio; CANDAU, Vera Maria (org.). </w:t>
      </w:r>
      <w:r w:rsidRPr="00F17B19">
        <w:rPr>
          <w:rFonts w:ascii="Times New Roman" w:eastAsia="Times New Roman" w:hAnsi="Times New Roman" w:cs="Times New Roman"/>
          <w:b/>
          <w:bCs/>
          <w:lang w:eastAsia="ko-KR"/>
        </w:rPr>
        <w:t>Multiculturalismo</w:t>
      </w:r>
      <w:r w:rsidRPr="00F17B19">
        <w:rPr>
          <w:rFonts w:ascii="Times New Roman" w:eastAsia="Times New Roman" w:hAnsi="Times New Roman" w:cs="Times New Roman"/>
          <w:lang w:eastAsia="ko-KR"/>
        </w:rPr>
        <w:t>: diferenças culturais e práticas pedagógicas. 10. ed. Petrópolis: Vozes, 2013. Cap. 1. p. 13-37.</w:t>
      </w:r>
    </w:p>
    <w:p w14:paraId="609C1DDA" w14:textId="77777777" w:rsidR="00F17B19" w:rsidRPr="00F17B19" w:rsidRDefault="00F17B19" w:rsidP="00F17B19">
      <w:pPr>
        <w:spacing w:after="0" w:line="240" w:lineRule="auto"/>
        <w:rPr>
          <w:rFonts w:ascii="Times New Roman" w:eastAsia="Times New Roman" w:hAnsi="Times New Roman" w:cs="Times New Roman"/>
          <w:lang w:eastAsia="ko-KR"/>
        </w:rPr>
      </w:pPr>
    </w:p>
    <w:p w14:paraId="60322D47"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CARDOSO, Flavio Fortunato. </w:t>
      </w:r>
      <w:r w:rsidRPr="00F17B19">
        <w:rPr>
          <w:rFonts w:ascii="Times New Roman" w:eastAsia="Times New Roman" w:hAnsi="Times New Roman" w:cs="Times New Roman"/>
          <w:b/>
          <w:bCs/>
          <w:lang w:eastAsia="ko-KR"/>
        </w:rPr>
        <w:t>O voo da Sankofa</w:t>
      </w:r>
      <w:r w:rsidRPr="00F17B19">
        <w:rPr>
          <w:rFonts w:ascii="Times New Roman" w:eastAsia="Times New Roman" w:hAnsi="Times New Roman" w:cs="Times New Roman"/>
          <w:lang w:eastAsia="ko-KR"/>
        </w:rPr>
        <w:t>: percursos e participação de negras e negros afrodiaspóricos e desenvolvimento no Alto Vale do Itajaí. 2022. 293 f. Dissertação (Mestrado) - Curso de Mestrado em Desenvolvimento Regional, Departamento de Ciências Sociais e Filosofia, Universidade Regional de Blumenau, Blumenau, 2022.</w:t>
      </w:r>
    </w:p>
    <w:p w14:paraId="7FFFEB02" w14:textId="77777777" w:rsidR="00F17B19" w:rsidRPr="00F17B19" w:rsidRDefault="00F17B19" w:rsidP="00F17B19">
      <w:pPr>
        <w:spacing w:after="0" w:line="240" w:lineRule="auto"/>
        <w:rPr>
          <w:rFonts w:ascii="Times New Roman" w:eastAsia="Times New Roman" w:hAnsi="Times New Roman" w:cs="Times New Roman"/>
          <w:lang w:eastAsia="ko-KR"/>
        </w:rPr>
      </w:pPr>
    </w:p>
    <w:p w14:paraId="17E7B359"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CERTEAU, Michel de. </w:t>
      </w:r>
      <w:r w:rsidRPr="00F17B19">
        <w:rPr>
          <w:rFonts w:ascii="Times New Roman" w:eastAsia="Times New Roman" w:hAnsi="Times New Roman" w:cs="Times New Roman"/>
          <w:b/>
          <w:bCs/>
          <w:lang w:eastAsia="ko-KR"/>
        </w:rPr>
        <w:t xml:space="preserve">A escrita da história. </w:t>
      </w:r>
      <w:r w:rsidRPr="00F17B19">
        <w:rPr>
          <w:rFonts w:ascii="Times New Roman" w:eastAsia="Times New Roman" w:hAnsi="Times New Roman" w:cs="Times New Roman"/>
          <w:lang w:eastAsia="ko-KR"/>
        </w:rPr>
        <w:t>Tradução de Maria de Lourdes Menezes. Rio de Janeiro: Forense Universitária, 1982.</w:t>
      </w:r>
    </w:p>
    <w:p w14:paraId="2ED82E7B" w14:textId="77777777" w:rsidR="00F17B19" w:rsidRPr="00F17B19" w:rsidRDefault="00F17B19" w:rsidP="00F17B19">
      <w:pPr>
        <w:spacing w:after="0" w:line="240" w:lineRule="auto"/>
        <w:rPr>
          <w:rFonts w:ascii="Times New Roman" w:eastAsia="Times New Roman" w:hAnsi="Times New Roman" w:cs="Times New Roman"/>
          <w:lang w:eastAsia="ko-KR"/>
        </w:rPr>
      </w:pPr>
    </w:p>
    <w:p w14:paraId="367BF3A9"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CUCHE, Denys. </w:t>
      </w:r>
      <w:r w:rsidRPr="00F17B19">
        <w:rPr>
          <w:rFonts w:ascii="Times New Roman" w:eastAsia="Times New Roman" w:hAnsi="Times New Roman" w:cs="Times New Roman"/>
          <w:b/>
          <w:bCs/>
          <w:lang w:eastAsia="ko-KR"/>
        </w:rPr>
        <w:t>A noção de cultura nas ciências sociais</w:t>
      </w:r>
      <w:r w:rsidRPr="00F17B19">
        <w:rPr>
          <w:rFonts w:ascii="Times New Roman" w:eastAsia="Times New Roman" w:hAnsi="Times New Roman" w:cs="Times New Roman"/>
          <w:lang w:eastAsia="ko-KR"/>
        </w:rPr>
        <w:t>. 2. ed. Bauru: EDUSC, 2002. 256 p. (Verbum). Tradução de Viviane Ribeiro.</w:t>
      </w:r>
    </w:p>
    <w:p w14:paraId="4C3F5F1A" w14:textId="77777777" w:rsidR="00F17B19" w:rsidRPr="00F17B19" w:rsidRDefault="00F17B19" w:rsidP="00F17B19">
      <w:pPr>
        <w:spacing w:after="0" w:line="240" w:lineRule="auto"/>
        <w:rPr>
          <w:rFonts w:ascii="Times New Roman" w:eastAsia="Times New Roman" w:hAnsi="Times New Roman" w:cs="Times New Roman"/>
          <w:lang w:eastAsia="ko-KR"/>
        </w:rPr>
      </w:pPr>
    </w:p>
    <w:p w14:paraId="363057F1"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EVARISTO, Conceição.</w:t>
      </w:r>
      <w:r w:rsidRPr="00F17B19">
        <w:rPr>
          <w:rFonts w:ascii="Times New Roman" w:eastAsia="Times New Roman" w:hAnsi="Times New Roman" w:cs="Times New Roman"/>
          <w:b/>
          <w:bCs/>
          <w:lang w:eastAsia="ko-KR"/>
        </w:rPr>
        <w:t xml:space="preserve"> Insubmissas lágrimas de mulheres</w:t>
      </w:r>
      <w:r w:rsidRPr="00F17B19">
        <w:rPr>
          <w:rFonts w:ascii="Times New Roman" w:eastAsia="Times New Roman" w:hAnsi="Times New Roman" w:cs="Times New Roman"/>
          <w:lang w:eastAsia="ko-KR"/>
        </w:rPr>
        <w:t>. 2. ed. Rio de Janeiro: Malê, 2016. 142 p.</w:t>
      </w:r>
    </w:p>
    <w:p w14:paraId="77AA76D0" w14:textId="77777777" w:rsidR="00F17B19" w:rsidRPr="00F17B19" w:rsidRDefault="00F17B19" w:rsidP="00F17B19">
      <w:pPr>
        <w:spacing w:after="0" w:line="240" w:lineRule="auto"/>
        <w:rPr>
          <w:rFonts w:ascii="Times New Roman" w:eastAsia="Times New Roman" w:hAnsi="Times New Roman" w:cs="Times New Roman"/>
          <w:lang w:eastAsia="ko-KR"/>
        </w:rPr>
      </w:pPr>
    </w:p>
    <w:p w14:paraId="619D0797"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FALS-BORDA, Orlando. Cómo investigar la realidad para transformarla. In: FALS-BORDA, Orlando. </w:t>
      </w:r>
      <w:r w:rsidRPr="00F17B19">
        <w:rPr>
          <w:rFonts w:ascii="Times New Roman" w:eastAsia="Times New Roman" w:hAnsi="Times New Roman" w:cs="Times New Roman"/>
          <w:b/>
          <w:bCs/>
          <w:lang w:eastAsia="ko-KR"/>
        </w:rPr>
        <w:t>Una sociología sentipensante para América Latina</w:t>
      </w:r>
      <w:r w:rsidRPr="00F17B19">
        <w:rPr>
          <w:rFonts w:ascii="Times New Roman" w:eastAsia="Times New Roman" w:hAnsi="Times New Roman" w:cs="Times New Roman"/>
          <w:lang w:eastAsia="ko-KR"/>
        </w:rPr>
        <w:t>: antología y presentación. Buenos Aires: Siglo XXI Editores, Clacso, 2015. Cap. 8. p. 253-302. Disponível em: http://biblioteca.clacso.edu.ar/clacso/se/20151027053622/AntologiaFalsBorda.pdf. Acesso em: 15 fev. 2021.</w:t>
      </w:r>
    </w:p>
    <w:p w14:paraId="603919C6" w14:textId="77777777" w:rsidR="00F17B19" w:rsidRPr="00F17B19" w:rsidRDefault="00F17B19" w:rsidP="00F17B19">
      <w:pPr>
        <w:spacing w:after="0" w:line="240" w:lineRule="auto"/>
        <w:rPr>
          <w:rFonts w:ascii="Times New Roman" w:eastAsia="Times New Roman" w:hAnsi="Times New Roman" w:cs="Times New Roman"/>
          <w:lang w:eastAsia="ko-KR"/>
        </w:rPr>
      </w:pPr>
    </w:p>
    <w:p w14:paraId="099EACAE"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FLEURI, Reinaldo Matias </w:t>
      </w:r>
      <w:r w:rsidRPr="00F17B19">
        <w:rPr>
          <w:rFonts w:ascii="Times New Roman" w:eastAsia="Times New Roman" w:hAnsi="Times New Roman" w:cs="Times New Roman"/>
          <w:i/>
          <w:iCs/>
          <w:lang w:eastAsia="ko-KR"/>
        </w:rPr>
        <w:t>et al</w:t>
      </w:r>
      <w:r w:rsidRPr="00F17B19">
        <w:rPr>
          <w:rFonts w:ascii="Times New Roman" w:eastAsia="Times New Roman" w:hAnsi="Times New Roman" w:cs="Times New Roman"/>
          <w:lang w:eastAsia="ko-KR"/>
        </w:rPr>
        <w:t xml:space="preserve">. Pesquisas Interculturais: descolonizar o saber, o poder, o ser e o viver. In: OLIVEIRA, Lilian Blanck de </w:t>
      </w:r>
      <w:r w:rsidRPr="00F17B19">
        <w:rPr>
          <w:rFonts w:ascii="Times New Roman" w:eastAsia="Times New Roman" w:hAnsi="Times New Roman" w:cs="Times New Roman"/>
          <w:i/>
          <w:iCs/>
          <w:lang w:eastAsia="ko-KR"/>
        </w:rPr>
        <w:t xml:space="preserve">et al </w:t>
      </w:r>
      <w:r w:rsidRPr="00F17B19">
        <w:rPr>
          <w:rFonts w:ascii="Times New Roman" w:eastAsia="Times New Roman" w:hAnsi="Times New Roman" w:cs="Times New Roman"/>
          <w:lang w:eastAsia="ko-KR"/>
        </w:rPr>
        <w:t xml:space="preserve">(org.). </w:t>
      </w:r>
      <w:r w:rsidRPr="00F17B19">
        <w:rPr>
          <w:rFonts w:ascii="Times New Roman" w:eastAsia="Times New Roman" w:hAnsi="Times New Roman" w:cs="Times New Roman"/>
          <w:b/>
          <w:bCs/>
          <w:lang w:eastAsia="ko-KR"/>
        </w:rPr>
        <w:t>Culturas e Diversidade Religiosa na América Latina</w:t>
      </w:r>
      <w:r w:rsidRPr="00F17B19">
        <w:rPr>
          <w:rFonts w:ascii="Times New Roman" w:eastAsia="Times New Roman" w:hAnsi="Times New Roman" w:cs="Times New Roman"/>
          <w:lang w:eastAsia="ko-KR"/>
        </w:rPr>
        <w:t>: pesquisas e perspectivas pedagógicas. Blumenau; São Leopoldo: EDIFURB: Nova Harmonia, 2009. Cap. 2. p. 30-46.</w:t>
      </w:r>
    </w:p>
    <w:p w14:paraId="27534A55" w14:textId="77777777" w:rsidR="00F17B19" w:rsidRPr="00F17B19" w:rsidRDefault="00F17B19" w:rsidP="00F17B19">
      <w:pPr>
        <w:spacing w:after="0" w:line="240" w:lineRule="auto"/>
        <w:rPr>
          <w:rFonts w:ascii="Times New Roman" w:eastAsia="Times New Roman" w:hAnsi="Times New Roman" w:cs="Times New Roman"/>
          <w:lang w:eastAsia="ko-KR"/>
        </w:rPr>
      </w:pPr>
    </w:p>
    <w:p w14:paraId="41575E6B"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FONTOURA, Georgia Carneiro da; OLIVEIRA, Lilian Blanck de. Povo Laklãnõ/Xokleng no/do Vale do Itajaí: Cosmologia e memórias e/m re-existências. </w:t>
      </w:r>
      <w:r w:rsidRPr="00F17B19">
        <w:rPr>
          <w:rFonts w:ascii="Times New Roman" w:eastAsia="Times New Roman" w:hAnsi="Times New Roman" w:cs="Times New Roman"/>
          <w:b/>
          <w:bCs/>
          <w:lang w:eastAsia="ko-KR"/>
        </w:rPr>
        <w:t>SIWO REVISTA DE TEOLOGÍA</w:t>
      </w:r>
      <w:r w:rsidRPr="00F17B19">
        <w:rPr>
          <w:rFonts w:ascii="Times New Roman" w:eastAsia="Times New Roman" w:hAnsi="Times New Roman" w:cs="Times New Roman"/>
          <w:lang w:eastAsia="ko-KR"/>
        </w:rPr>
        <w:t xml:space="preserve">, Heredia, v. 15, n. 1, p. 73-109, 18 jan. 2022. Semestral. Universidad Nacional de Costa Rica. </w:t>
      </w:r>
      <w:hyperlink r:id="rId10" w:history="1">
        <w:r w:rsidRPr="00F17B19">
          <w:rPr>
            <w:rFonts w:ascii="Times New Roman" w:eastAsia="Times New Roman" w:hAnsi="Times New Roman" w:cs="Times New Roman"/>
            <w:color w:val="0563C1"/>
            <w:u w:val="single"/>
            <w:lang w:eastAsia="ko-KR"/>
          </w:rPr>
          <w:t>http://dx.doi.org/10.15359/siwo.15-1.4</w:t>
        </w:r>
      </w:hyperlink>
      <w:r w:rsidRPr="00F17B19">
        <w:rPr>
          <w:rFonts w:ascii="Times New Roman" w:eastAsia="Times New Roman" w:hAnsi="Times New Roman" w:cs="Times New Roman"/>
          <w:lang w:eastAsia="ko-KR"/>
        </w:rPr>
        <w:t>.</w:t>
      </w:r>
    </w:p>
    <w:p w14:paraId="4FCE09E9" w14:textId="77777777" w:rsidR="00F17B19" w:rsidRPr="00F17B19" w:rsidRDefault="00F17B19" w:rsidP="00F17B19">
      <w:pPr>
        <w:spacing w:after="0" w:line="240" w:lineRule="auto"/>
        <w:rPr>
          <w:rFonts w:ascii="Times New Roman" w:eastAsia="Times New Roman" w:hAnsi="Times New Roman" w:cs="Times New Roman"/>
          <w:lang w:eastAsia="ko-KR"/>
        </w:rPr>
      </w:pPr>
    </w:p>
    <w:p w14:paraId="2E5EFDB9"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lastRenderedPageBreak/>
        <w:t xml:space="preserve">FREIRE, Paulo. </w:t>
      </w:r>
      <w:r w:rsidRPr="00F17B19">
        <w:rPr>
          <w:rFonts w:ascii="Times New Roman" w:eastAsia="Times New Roman" w:hAnsi="Times New Roman" w:cs="Times New Roman"/>
          <w:b/>
          <w:bCs/>
          <w:lang w:eastAsia="ko-KR"/>
        </w:rPr>
        <w:t>PEDAGOGIA DO OPRIMIDO</w:t>
      </w:r>
      <w:r w:rsidRPr="00F17B19">
        <w:rPr>
          <w:rFonts w:ascii="Times New Roman" w:eastAsia="Times New Roman" w:hAnsi="Times New Roman" w:cs="Times New Roman"/>
          <w:lang w:eastAsia="ko-KR"/>
        </w:rPr>
        <w:t>. 71. ed. Rio de Janeiro/São Paulo: Paz e Terra, 2019. 256 p.</w:t>
      </w:r>
    </w:p>
    <w:p w14:paraId="0D386007" w14:textId="77777777" w:rsidR="00F17B19" w:rsidRPr="00F17B19" w:rsidRDefault="00F17B19" w:rsidP="00F17B19">
      <w:pPr>
        <w:spacing w:after="0" w:line="240" w:lineRule="auto"/>
        <w:rPr>
          <w:rFonts w:ascii="Times New Roman" w:eastAsia="Times New Roman" w:hAnsi="Times New Roman" w:cs="Times New Roman"/>
          <w:lang w:eastAsia="ko-KR"/>
        </w:rPr>
      </w:pPr>
    </w:p>
    <w:p w14:paraId="46C89A66" w14:textId="77777777" w:rsidR="00F17B19" w:rsidRPr="00F17B19" w:rsidRDefault="00F17B19" w:rsidP="00F17B19">
      <w:pPr>
        <w:spacing w:after="0" w:line="240" w:lineRule="auto"/>
        <w:rPr>
          <w:rFonts w:ascii="Times New Roman" w:eastAsia="Times New Roman" w:hAnsi="Times New Roman" w:cs="Times New Roman"/>
          <w:lang w:val="en-US" w:eastAsia="ko-KR"/>
        </w:rPr>
      </w:pPr>
      <w:r w:rsidRPr="00F17B19">
        <w:rPr>
          <w:rFonts w:ascii="Times New Roman" w:eastAsia="Times New Roman" w:hAnsi="Times New Roman" w:cs="Times New Roman"/>
          <w:lang w:eastAsia="ko-KR"/>
        </w:rPr>
        <w:t>HAESBAERT, Rogério.</w:t>
      </w:r>
      <w:r w:rsidRPr="00F17B19">
        <w:rPr>
          <w:rFonts w:ascii="Times New Roman" w:eastAsia="Times New Roman" w:hAnsi="Times New Roman" w:cs="Times New Roman"/>
          <w:b/>
          <w:bCs/>
          <w:lang w:eastAsia="ko-KR"/>
        </w:rPr>
        <w:t xml:space="preserve"> O mito da desterritorialização: do "fim dos territórios" à</w:t>
      </w:r>
      <w:r w:rsidRPr="00F17B19">
        <w:rPr>
          <w:rFonts w:ascii="Times New Roman" w:eastAsia="Times New Roman" w:hAnsi="Times New Roman" w:cs="Times New Roman"/>
          <w:b/>
          <w:bCs/>
          <w:lang w:eastAsia="ko-KR"/>
        </w:rPr>
        <w:br/>
        <w:t xml:space="preserve">multiterritorialidade. </w:t>
      </w:r>
      <w:r w:rsidRPr="00F17B19">
        <w:rPr>
          <w:rFonts w:ascii="Times New Roman" w:eastAsia="Times New Roman" w:hAnsi="Times New Roman" w:cs="Times New Roman"/>
          <w:lang w:val="en-US" w:eastAsia="ko-KR"/>
        </w:rPr>
        <w:t xml:space="preserve">8. ed. Rio de Janeiro: Bertrand </w:t>
      </w:r>
      <w:proofErr w:type="spellStart"/>
      <w:r w:rsidRPr="00F17B19">
        <w:rPr>
          <w:rFonts w:ascii="Times New Roman" w:eastAsia="Times New Roman" w:hAnsi="Times New Roman" w:cs="Times New Roman"/>
          <w:lang w:val="en-US" w:eastAsia="ko-KR"/>
        </w:rPr>
        <w:t>Brasil</w:t>
      </w:r>
      <w:proofErr w:type="spellEnd"/>
      <w:r w:rsidRPr="00F17B19">
        <w:rPr>
          <w:rFonts w:ascii="Times New Roman" w:eastAsia="Times New Roman" w:hAnsi="Times New Roman" w:cs="Times New Roman"/>
          <w:lang w:val="en-US" w:eastAsia="ko-KR"/>
        </w:rPr>
        <w:t>, 2014. 396 p.</w:t>
      </w:r>
    </w:p>
    <w:p w14:paraId="18D81B31" w14:textId="77777777" w:rsidR="00F17B19" w:rsidRPr="00F17B19" w:rsidRDefault="00F17B19" w:rsidP="00F17B19">
      <w:pPr>
        <w:spacing w:after="0" w:line="240" w:lineRule="auto"/>
        <w:rPr>
          <w:rFonts w:ascii="Times New Roman" w:eastAsia="Times New Roman" w:hAnsi="Times New Roman" w:cs="Times New Roman"/>
          <w:lang w:val="en-US" w:eastAsia="ko-KR"/>
        </w:rPr>
      </w:pPr>
    </w:p>
    <w:p w14:paraId="3597DC00"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val="en-US" w:eastAsia="ko-KR"/>
        </w:rPr>
        <w:t xml:space="preserve">LYNCH, B. M. ROBBINS, L. H. </w:t>
      </w:r>
      <w:r w:rsidRPr="00F17B19">
        <w:rPr>
          <w:rFonts w:ascii="Times New Roman" w:eastAsia="Times New Roman" w:hAnsi="Times New Roman" w:cs="Times New Roman"/>
          <w:i/>
          <w:iCs/>
          <w:lang w:val="en-US" w:eastAsia="ko-KR"/>
        </w:rPr>
        <w:t>“</w:t>
      </w:r>
      <w:proofErr w:type="spellStart"/>
      <w:r w:rsidRPr="00F17B19">
        <w:rPr>
          <w:rFonts w:ascii="Times New Roman" w:eastAsia="Times New Roman" w:hAnsi="Times New Roman" w:cs="Times New Roman"/>
          <w:i/>
          <w:iCs/>
          <w:lang w:val="en-US" w:eastAsia="ko-KR"/>
        </w:rPr>
        <w:t>Namoratunga</w:t>
      </w:r>
      <w:proofErr w:type="spellEnd"/>
      <w:r w:rsidRPr="00F17B19">
        <w:rPr>
          <w:rFonts w:ascii="Times New Roman" w:eastAsia="Times New Roman" w:hAnsi="Times New Roman" w:cs="Times New Roman"/>
          <w:i/>
          <w:iCs/>
          <w:lang w:val="en-US" w:eastAsia="ko-KR"/>
        </w:rPr>
        <w:t xml:space="preserve">: the first </w:t>
      </w:r>
      <w:proofErr w:type="spellStart"/>
      <w:r w:rsidRPr="00F17B19">
        <w:rPr>
          <w:rFonts w:ascii="Times New Roman" w:eastAsia="Times New Roman" w:hAnsi="Times New Roman" w:cs="Times New Roman"/>
          <w:i/>
          <w:iCs/>
          <w:lang w:val="en-US" w:eastAsia="ko-KR"/>
        </w:rPr>
        <w:t>archaeoastronomical</w:t>
      </w:r>
      <w:proofErr w:type="spellEnd"/>
      <w:r w:rsidRPr="00F17B19">
        <w:rPr>
          <w:rFonts w:ascii="Times New Roman" w:eastAsia="Times New Roman" w:hAnsi="Times New Roman" w:cs="Times New Roman"/>
          <w:i/>
          <w:iCs/>
          <w:lang w:val="en-US" w:eastAsia="ko-KR"/>
        </w:rPr>
        <w:t xml:space="preserve"> evidence in Sub-Saharan Africa”</w:t>
      </w:r>
      <w:r w:rsidRPr="00F17B19">
        <w:rPr>
          <w:rFonts w:ascii="Times New Roman" w:eastAsia="Times New Roman" w:hAnsi="Times New Roman" w:cs="Times New Roman"/>
          <w:lang w:val="en-US" w:eastAsia="ko-KR"/>
        </w:rPr>
        <w:t xml:space="preserve">. In: SERTIMA, Ivan Van (org.). </w:t>
      </w:r>
      <w:r w:rsidRPr="00F17B19">
        <w:rPr>
          <w:rFonts w:ascii="Times New Roman" w:eastAsia="Times New Roman" w:hAnsi="Times New Roman" w:cs="Times New Roman"/>
          <w:b/>
          <w:bCs/>
          <w:i/>
          <w:iCs/>
          <w:lang w:val="en-US" w:eastAsia="ko-KR"/>
        </w:rPr>
        <w:t>Blacks in science</w:t>
      </w:r>
      <w:r w:rsidRPr="00F17B19">
        <w:rPr>
          <w:rFonts w:ascii="Times New Roman" w:eastAsia="Times New Roman" w:hAnsi="Times New Roman" w:cs="Times New Roman"/>
          <w:i/>
          <w:iCs/>
          <w:lang w:val="en-US" w:eastAsia="ko-KR"/>
        </w:rPr>
        <w:t>: Ancient and modern</w:t>
      </w:r>
      <w:r w:rsidRPr="00F17B19">
        <w:rPr>
          <w:rFonts w:ascii="Times New Roman" w:eastAsia="Times New Roman" w:hAnsi="Times New Roman" w:cs="Times New Roman"/>
          <w:lang w:val="en-US" w:eastAsia="ko-KR"/>
        </w:rPr>
        <w:t xml:space="preserve">. </w:t>
      </w:r>
      <w:r w:rsidRPr="00F17B19">
        <w:rPr>
          <w:rFonts w:ascii="Times New Roman" w:eastAsia="Times New Roman" w:hAnsi="Times New Roman" w:cs="Times New Roman"/>
          <w:lang w:eastAsia="ko-KR"/>
        </w:rPr>
        <w:t xml:space="preserve">New Brunswick; Oxford: </w:t>
      </w:r>
      <w:proofErr w:type="spellStart"/>
      <w:r w:rsidRPr="00F17B19">
        <w:rPr>
          <w:rFonts w:ascii="Times New Roman" w:eastAsia="Times New Roman" w:hAnsi="Times New Roman" w:cs="Times New Roman"/>
          <w:lang w:eastAsia="ko-KR"/>
        </w:rPr>
        <w:t>Transaction</w:t>
      </w:r>
      <w:proofErr w:type="spellEnd"/>
      <w:r w:rsidRPr="00F17B19">
        <w:rPr>
          <w:rFonts w:ascii="Times New Roman" w:eastAsia="Times New Roman" w:hAnsi="Times New Roman" w:cs="Times New Roman"/>
          <w:lang w:eastAsia="ko-KR"/>
        </w:rPr>
        <w:t xml:space="preserve"> Books, 1983, p. 51-56.</w:t>
      </w:r>
    </w:p>
    <w:p w14:paraId="1DDFC47E" w14:textId="77777777" w:rsidR="00F17B19" w:rsidRPr="00F17B19" w:rsidRDefault="00F17B19" w:rsidP="00F17B19">
      <w:pPr>
        <w:spacing w:after="0" w:line="240" w:lineRule="auto"/>
        <w:rPr>
          <w:rFonts w:ascii="Times New Roman" w:eastAsia="Times New Roman" w:hAnsi="Times New Roman" w:cs="Times New Roman"/>
          <w:lang w:eastAsia="ko-KR"/>
        </w:rPr>
      </w:pPr>
    </w:p>
    <w:p w14:paraId="2C81DD1B"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MAX-NEEF, Manfred A. </w:t>
      </w:r>
      <w:r w:rsidRPr="00F17B19">
        <w:rPr>
          <w:rFonts w:ascii="Times New Roman" w:eastAsia="Times New Roman" w:hAnsi="Times New Roman" w:cs="Times New Roman"/>
          <w:b/>
          <w:bCs/>
          <w:lang w:eastAsia="ko-KR"/>
        </w:rPr>
        <w:t>Desenvolvimento à escala humana</w:t>
      </w:r>
      <w:r w:rsidRPr="00F17B19">
        <w:rPr>
          <w:rFonts w:ascii="Times New Roman" w:eastAsia="Times New Roman" w:hAnsi="Times New Roman" w:cs="Times New Roman"/>
          <w:lang w:eastAsia="ko-KR"/>
        </w:rPr>
        <w:t>: concepção, aplicação e</w:t>
      </w:r>
      <w:r w:rsidRPr="00F17B19">
        <w:rPr>
          <w:rFonts w:ascii="Times New Roman" w:eastAsia="Times New Roman" w:hAnsi="Times New Roman" w:cs="Times New Roman"/>
          <w:lang w:eastAsia="ko-KR"/>
        </w:rPr>
        <w:br/>
        <w:t>reflexões posteriores. Blumenau: Edifurb, 2012. 108 p. (Sociedade e Ambiente; v. 6).</w:t>
      </w:r>
      <w:r w:rsidRPr="00F17B19">
        <w:rPr>
          <w:rFonts w:ascii="Times New Roman" w:eastAsia="Times New Roman" w:hAnsi="Times New Roman" w:cs="Times New Roman"/>
          <w:lang w:eastAsia="ko-KR"/>
        </w:rPr>
        <w:br/>
        <w:t>Tradução Rede Viva.</w:t>
      </w:r>
    </w:p>
    <w:p w14:paraId="0D0C2BA7" w14:textId="77777777" w:rsidR="00F17B19" w:rsidRPr="00F17B19" w:rsidRDefault="00F17B19" w:rsidP="00F17B19">
      <w:pPr>
        <w:spacing w:after="0" w:line="240" w:lineRule="auto"/>
        <w:rPr>
          <w:rFonts w:ascii="Times New Roman" w:eastAsia="Times New Roman" w:hAnsi="Times New Roman" w:cs="Times New Roman"/>
          <w:lang w:eastAsia="ko-KR"/>
        </w:rPr>
      </w:pPr>
    </w:p>
    <w:p w14:paraId="26F36D27" w14:textId="12A43294" w:rsid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MIRANDA, Eduardo Oliveira. </w:t>
      </w:r>
      <w:r w:rsidRPr="00F17B19">
        <w:rPr>
          <w:rFonts w:ascii="Times New Roman" w:eastAsia="Times New Roman" w:hAnsi="Times New Roman" w:cs="Times New Roman"/>
          <w:b/>
          <w:bCs/>
          <w:lang w:eastAsia="ko-KR"/>
        </w:rPr>
        <w:t>Corpo Território &amp; Educação Decolonial</w:t>
      </w:r>
      <w:r w:rsidRPr="00F17B19">
        <w:rPr>
          <w:rFonts w:ascii="Times New Roman" w:eastAsia="Times New Roman" w:hAnsi="Times New Roman" w:cs="Times New Roman"/>
          <w:lang w:eastAsia="ko-KR"/>
        </w:rPr>
        <w:t>: proposições afro-brasileiras na invenção da docência. Salvador: Edufba, 2020. 207 p.</w:t>
      </w:r>
    </w:p>
    <w:p w14:paraId="4035058C" w14:textId="77777777" w:rsidR="00162086" w:rsidRPr="00F17B19" w:rsidRDefault="00162086" w:rsidP="00F17B19">
      <w:pPr>
        <w:spacing w:after="0" w:line="240" w:lineRule="auto"/>
        <w:rPr>
          <w:rFonts w:ascii="Times New Roman" w:eastAsia="Times New Roman" w:hAnsi="Times New Roman" w:cs="Times New Roman"/>
          <w:lang w:eastAsia="ko-KR"/>
        </w:rPr>
      </w:pPr>
    </w:p>
    <w:p w14:paraId="63AF2F95"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NASCIMENTO, Elisa Larkin do. As civilizações africanas no mundo antigo. In: NASCIMENTO, Elisa Larkin (org.). </w:t>
      </w:r>
      <w:r w:rsidRPr="00F17B19">
        <w:rPr>
          <w:rFonts w:ascii="Times New Roman" w:eastAsia="Times New Roman" w:hAnsi="Times New Roman" w:cs="Times New Roman"/>
          <w:b/>
          <w:bCs/>
          <w:lang w:eastAsia="ko-KR"/>
        </w:rPr>
        <w:t>A matriz africana no mundo</w:t>
      </w:r>
      <w:r w:rsidRPr="00F17B19">
        <w:rPr>
          <w:rFonts w:ascii="Times New Roman" w:eastAsia="Times New Roman" w:hAnsi="Times New Roman" w:cs="Times New Roman"/>
          <w:lang w:eastAsia="ko-KR"/>
        </w:rPr>
        <w:t>. São Paulo: Selo Negro, 2008. Cap. 3. p. 73-108. (Sankofa: matrizes africanas da cultura brasileira; 1)</w:t>
      </w:r>
    </w:p>
    <w:p w14:paraId="52C14CBB" w14:textId="77777777" w:rsidR="00F17B19" w:rsidRPr="00F17B19" w:rsidRDefault="00F17B19" w:rsidP="00F17B19">
      <w:pPr>
        <w:spacing w:after="0" w:line="240" w:lineRule="auto"/>
        <w:rPr>
          <w:rFonts w:ascii="Times New Roman" w:eastAsia="Times New Roman" w:hAnsi="Times New Roman" w:cs="Times New Roman"/>
          <w:lang w:eastAsia="ko-KR"/>
        </w:rPr>
      </w:pPr>
    </w:p>
    <w:p w14:paraId="5CA98776"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OSTERHAMMEL, Jürgen; JANSEN, Jan C. </w:t>
      </w:r>
      <w:r w:rsidRPr="00F17B19">
        <w:rPr>
          <w:rFonts w:ascii="Times New Roman" w:eastAsia="Times New Roman" w:hAnsi="Times New Roman" w:cs="Times New Roman"/>
          <w:b/>
          <w:bCs/>
          <w:lang w:eastAsia="ko-KR"/>
        </w:rPr>
        <w:t xml:space="preserve">Colonialismo: </w:t>
      </w:r>
      <w:r w:rsidRPr="00F17B19">
        <w:rPr>
          <w:rFonts w:ascii="Times New Roman" w:eastAsia="Times New Roman" w:hAnsi="Times New Roman" w:cs="Times New Roman"/>
          <w:lang w:eastAsia="ko-KR"/>
        </w:rPr>
        <w:t>História, formas, efeitos.</w:t>
      </w:r>
      <w:r w:rsidRPr="00F17B19">
        <w:rPr>
          <w:rFonts w:ascii="Times New Roman" w:eastAsia="Times New Roman" w:hAnsi="Times New Roman" w:cs="Times New Roman"/>
          <w:lang w:eastAsia="ko-KR"/>
        </w:rPr>
        <w:br/>
        <w:t>Madrid: Siglo XXI de España Editores, 2019. p. 173. (Tradução para o Espanhol de Juanmari Madariaga).</w:t>
      </w:r>
    </w:p>
    <w:p w14:paraId="6EBE986D" w14:textId="77777777" w:rsidR="00F17B19" w:rsidRPr="00F17B19" w:rsidRDefault="00F17B19" w:rsidP="00F17B19">
      <w:pPr>
        <w:spacing w:after="0" w:line="240" w:lineRule="auto"/>
        <w:rPr>
          <w:rFonts w:ascii="Times New Roman" w:eastAsia="Times New Roman" w:hAnsi="Times New Roman" w:cs="Times New Roman"/>
          <w:lang w:eastAsia="ko-KR"/>
        </w:rPr>
      </w:pPr>
    </w:p>
    <w:p w14:paraId="20EA7048"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RUFINO, Luiz. </w:t>
      </w:r>
      <w:r w:rsidRPr="00F17B19">
        <w:rPr>
          <w:rFonts w:ascii="Times New Roman" w:eastAsia="Times New Roman" w:hAnsi="Times New Roman" w:cs="Times New Roman"/>
          <w:b/>
          <w:bCs/>
          <w:lang w:eastAsia="ko-KR"/>
        </w:rPr>
        <w:t>Vence-Demanda</w:t>
      </w:r>
      <w:r w:rsidRPr="00F17B19">
        <w:rPr>
          <w:rFonts w:ascii="Times New Roman" w:eastAsia="Times New Roman" w:hAnsi="Times New Roman" w:cs="Times New Roman"/>
          <w:lang w:eastAsia="ko-KR"/>
        </w:rPr>
        <w:t>: educação e descolonização. Rio de Janeiro: Mórula, 2021. 84 p.</w:t>
      </w:r>
    </w:p>
    <w:p w14:paraId="5CE2362C" w14:textId="77777777" w:rsidR="00F17B19" w:rsidRPr="00F17B19" w:rsidRDefault="00F17B19" w:rsidP="00F17B19">
      <w:pPr>
        <w:spacing w:after="0" w:line="240" w:lineRule="auto"/>
        <w:rPr>
          <w:rFonts w:ascii="Times New Roman" w:eastAsia="Times New Roman" w:hAnsi="Times New Roman" w:cs="Times New Roman"/>
          <w:lang w:eastAsia="ko-KR"/>
        </w:rPr>
      </w:pPr>
    </w:p>
    <w:p w14:paraId="6D4522C7"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______. </w:t>
      </w:r>
      <w:r w:rsidRPr="00F17B19">
        <w:rPr>
          <w:rFonts w:ascii="Times New Roman" w:eastAsia="Times New Roman" w:hAnsi="Times New Roman" w:cs="Times New Roman"/>
          <w:b/>
          <w:bCs/>
          <w:lang w:eastAsia="ko-KR"/>
        </w:rPr>
        <w:t>Pedagogia das Encruzilhadas</w:t>
      </w:r>
      <w:r w:rsidRPr="00F17B19">
        <w:rPr>
          <w:rFonts w:ascii="Times New Roman" w:eastAsia="Times New Roman" w:hAnsi="Times New Roman" w:cs="Times New Roman"/>
          <w:lang w:eastAsia="ko-KR"/>
        </w:rPr>
        <w:t>. Rio de Janeiro: Mórula, 2019. 164 p</w:t>
      </w:r>
    </w:p>
    <w:p w14:paraId="1054229C" w14:textId="77777777" w:rsidR="00F17B19" w:rsidRPr="00F17B19" w:rsidRDefault="00F17B19" w:rsidP="00F17B19">
      <w:pPr>
        <w:spacing w:after="0" w:line="240" w:lineRule="auto"/>
        <w:rPr>
          <w:rFonts w:ascii="Times New Roman" w:eastAsia="Times New Roman" w:hAnsi="Times New Roman" w:cs="Times New Roman"/>
          <w:lang w:eastAsia="ko-KR"/>
        </w:rPr>
      </w:pPr>
    </w:p>
    <w:p w14:paraId="06C066F5"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SANTOS, Boaventura de Sousa. </w:t>
      </w:r>
      <w:r w:rsidRPr="00F17B19">
        <w:rPr>
          <w:rFonts w:ascii="Times New Roman" w:eastAsia="Times New Roman" w:hAnsi="Times New Roman" w:cs="Times New Roman"/>
          <w:b/>
          <w:bCs/>
          <w:lang w:eastAsia="ko-KR"/>
        </w:rPr>
        <w:t>O FIM DO IMPÉRIO COGNITIVO</w:t>
      </w:r>
      <w:r w:rsidRPr="00F17B19">
        <w:rPr>
          <w:rFonts w:ascii="Times New Roman" w:eastAsia="Times New Roman" w:hAnsi="Times New Roman" w:cs="Times New Roman"/>
          <w:lang w:eastAsia="ko-KR"/>
        </w:rPr>
        <w:t>: a afirmação das epistemologias do sul. Belo Horizonte: Autêntica, 2020. 478 p.</w:t>
      </w:r>
    </w:p>
    <w:p w14:paraId="1E3A85E5" w14:textId="77777777" w:rsidR="00F17B19" w:rsidRPr="00F17B19" w:rsidRDefault="00F17B19" w:rsidP="00F17B19">
      <w:pPr>
        <w:spacing w:after="0" w:line="240" w:lineRule="auto"/>
        <w:rPr>
          <w:rFonts w:ascii="Times New Roman" w:eastAsia="Times New Roman" w:hAnsi="Times New Roman" w:cs="Times New Roman"/>
          <w:lang w:eastAsia="ko-KR"/>
        </w:rPr>
      </w:pPr>
    </w:p>
    <w:p w14:paraId="462F6135"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SANTOS, Elinaldo Leal </w:t>
      </w:r>
      <w:r w:rsidRPr="00F17B19">
        <w:rPr>
          <w:rFonts w:ascii="Times New Roman" w:eastAsia="Times New Roman" w:hAnsi="Times New Roman" w:cs="Times New Roman"/>
          <w:i/>
          <w:iCs/>
          <w:lang w:eastAsia="ko-KR"/>
        </w:rPr>
        <w:t>et al</w:t>
      </w:r>
      <w:r w:rsidRPr="00F17B19">
        <w:rPr>
          <w:rFonts w:ascii="Times New Roman" w:eastAsia="Times New Roman" w:hAnsi="Times New Roman" w:cs="Times New Roman"/>
          <w:lang w:eastAsia="ko-KR"/>
        </w:rPr>
        <w:t xml:space="preserve">. DESENVOLVIMENTO: um conceito multidimensional. </w:t>
      </w:r>
      <w:r w:rsidRPr="00F17B19">
        <w:rPr>
          <w:rFonts w:ascii="Times New Roman" w:eastAsia="Times New Roman" w:hAnsi="Times New Roman" w:cs="Times New Roman"/>
          <w:b/>
          <w:bCs/>
          <w:lang w:eastAsia="ko-KR"/>
        </w:rPr>
        <w:t>DRd</w:t>
      </w:r>
      <w:r w:rsidRPr="00F17B19">
        <w:rPr>
          <w:rFonts w:ascii="Times New Roman" w:eastAsia="Times New Roman" w:hAnsi="Times New Roman" w:cs="Times New Roman"/>
          <w:lang w:eastAsia="ko-KR"/>
        </w:rPr>
        <w:t>: Desenvolvimento Regional em debate, Canoinhas, v. 2, n. 1, p. 44-61, jul. 2012. Semestral.</w:t>
      </w:r>
    </w:p>
    <w:p w14:paraId="22B0FEE1" w14:textId="77777777" w:rsidR="00F17B19" w:rsidRPr="00F17B19" w:rsidRDefault="00F17B19" w:rsidP="00F17B19">
      <w:pPr>
        <w:spacing w:after="0" w:line="240" w:lineRule="auto"/>
        <w:rPr>
          <w:rFonts w:ascii="Times New Roman" w:eastAsia="Times New Roman" w:hAnsi="Times New Roman" w:cs="Times New Roman"/>
          <w:lang w:eastAsia="ko-KR"/>
        </w:rPr>
      </w:pPr>
    </w:p>
    <w:p w14:paraId="7B2EC24B"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SODRÉ, Muniz. </w:t>
      </w:r>
      <w:r w:rsidRPr="00F17B19">
        <w:rPr>
          <w:rFonts w:ascii="Times New Roman" w:eastAsia="Times New Roman" w:hAnsi="Times New Roman" w:cs="Times New Roman"/>
          <w:b/>
          <w:bCs/>
          <w:lang w:eastAsia="ko-KR"/>
        </w:rPr>
        <w:t>O terreiro e a cidade</w:t>
      </w:r>
      <w:r w:rsidRPr="00F17B19">
        <w:rPr>
          <w:rFonts w:ascii="Times New Roman" w:eastAsia="Times New Roman" w:hAnsi="Times New Roman" w:cs="Times New Roman"/>
          <w:lang w:eastAsia="ko-KR"/>
        </w:rPr>
        <w:t>: a forma social negro-brasileira. 3. ed. Rio de Janeiro: Mauad X, 2019. 168 p.</w:t>
      </w:r>
    </w:p>
    <w:p w14:paraId="4BE0BF2A" w14:textId="77777777" w:rsidR="00F17B19" w:rsidRPr="00F17B19" w:rsidRDefault="00F17B19" w:rsidP="00F17B19">
      <w:pPr>
        <w:spacing w:after="0" w:line="240" w:lineRule="auto"/>
        <w:rPr>
          <w:rFonts w:ascii="Times New Roman" w:eastAsia="Times New Roman" w:hAnsi="Times New Roman" w:cs="Times New Roman"/>
          <w:lang w:eastAsia="ko-KR"/>
        </w:rPr>
      </w:pPr>
    </w:p>
    <w:p w14:paraId="08129B48"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TUBINO, Fidel. </w:t>
      </w:r>
      <w:r w:rsidRPr="00F17B19">
        <w:rPr>
          <w:rFonts w:ascii="Times New Roman" w:eastAsia="Times New Roman" w:hAnsi="Times New Roman" w:cs="Times New Roman"/>
          <w:i/>
          <w:iCs/>
          <w:lang w:eastAsia="ko-KR"/>
        </w:rPr>
        <w:t xml:space="preserve">La interculturalidad crítica como proyecto </w:t>
      </w:r>
      <w:proofErr w:type="spellStart"/>
      <w:r w:rsidRPr="00F17B19">
        <w:rPr>
          <w:rFonts w:ascii="Times New Roman" w:eastAsia="Times New Roman" w:hAnsi="Times New Roman" w:cs="Times New Roman"/>
          <w:i/>
          <w:iCs/>
          <w:lang w:eastAsia="ko-KR"/>
        </w:rPr>
        <w:t>éticopolítico</w:t>
      </w:r>
      <w:proofErr w:type="spellEnd"/>
      <w:r w:rsidRPr="00F17B19">
        <w:rPr>
          <w:rFonts w:ascii="Times New Roman" w:eastAsia="Times New Roman" w:hAnsi="Times New Roman" w:cs="Times New Roman"/>
          <w:i/>
          <w:iCs/>
          <w:lang w:eastAsia="ko-KR"/>
        </w:rPr>
        <w:t xml:space="preserve">. In: </w:t>
      </w:r>
      <w:proofErr w:type="spellStart"/>
      <w:r w:rsidRPr="00F17B19">
        <w:rPr>
          <w:rFonts w:ascii="Times New Roman" w:eastAsia="Times New Roman" w:hAnsi="Times New Roman" w:cs="Times New Roman"/>
          <w:i/>
          <w:iCs/>
          <w:lang w:eastAsia="ko-KR"/>
        </w:rPr>
        <w:t>Encuentro</w:t>
      </w:r>
      <w:proofErr w:type="spellEnd"/>
      <w:r w:rsidRPr="00F17B19">
        <w:rPr>
          <w:rFonts w:ascii="Times New Roman" w:eastAsia="Times New Roman" w:hAnsi="Times New Roman" w:cs="Times New Roman"/>
          <w:i/>
          <w:iCs/>
          <w:lang w:eastAsia="ko-KR"/>
        </w:rPr>
        <w:t xml:space="preserve"> Continental de Educadores </w:t>
      </w:r>
      <w:proofErr w:type="spellStart"/>
      <w:r w:rsidRPr="00F17B19">
        <w:rPr>
          <w:rFonts w:ascii="Times New Roman" w:eastAsia="Times New Roman" w:hAnsi="Times New Roman" w:cs="Times New Roman"/>
          <w:i/>
          <w:iCs/>
          <w:lang w:eastAsia="ko-KR"/>
        </w:rPr>
        <w:t>Agustinos</w:t>
      </w:r>
      <w:proofErr w:type="spellEnd"/>
      <w:r w:rsidRPr="00F17B19">
        <w:rPr>
          <w:rFonts w:ascii="Times New Roman" w:eastAsia="Times New Roman" w:hAnsi="Times New Roman" w:cs="Times New Roman"/>
          <w:i/>
          <w:iCs/>
          <w:lang w:eastAsia="ko-KR"/>
        </w:rPr>
        <w:t xml:space="preserve">, 1., 2005, Lima. </w:t>
      </w:r>
      <w:r w:rsidRPr="00F17B19">
        <w:rPr>
          <w:rFonts w:ascii="Times New Roman" w:eastAsia="Times New Roman" w:hAnsi="Times New Roman" w:cs="Times New Roman"/>
          <w:b/>
          <w:bCs/>
          <w:i/>
          <w:iCs/>
          <w:lang w:eastAsia="ko-KR"/>
        </w:rPr>
        <w:t xml:space="preserve">Anais [...] . </w:t>
      </w:r>
      <w:r w:rsidRPr="00F17B19">
        <w:rPr>
          <w:rFonts w:ascii="Times New Roman" w:eastAsia="Times New Roman" w:hAnsi="Times New Roman" w:cs="Times New Roman"/>
          <w:i/>
          <w:iCs/>
          <w:lang w:eastAsia="ko-KR"/>
        </w:rPr>
        <w:t xml:space="preserve">Lima: </w:t>
      </w:r>
      <w:proofErr w:type="spellStart"/>
      <w:r w:rsidRPr="00F17B19">
        <w:rPr>
          <w:rFonts w:ascii="Times New Roman" w:eastAsia="Times New Roman" w:hAnsi="Times New Roman" w:cs="Times New Roman"/>
          <w:i/>
          <w:iCs/>
          <w:lang w:eastAsia="ko-KR"/>
        </w:rPr>
        <w:t>Oala</w:t>
      </w:r>
      <w:proofErr w:type="spellEnd"/>
      <w:r w:rsidRPr="00F17B19">
        <w:rPr>
          <w:rFonts w:ascii="Times New Roman" w:eastAsia="Times New Roman" w:hAnsi="Times New Roman" w:cs="Times New Roman"/>
          <w:i/>
          <w:iCs/>
          <w:lang w:eastAsia="ko-KR"/>
        </w:rPr>
        <w:t>, 2005. v. 1, p. 24-28</w:t>
      </w:r>
      <w:r w:rsidRPr="00F17B19">
        <w:rPr>
          <w:rFonts w:ascii="Times New Roman" w:eastAsia="Times New Roman" w:hAnsi="Times New Roman" w:cs="Times New Roman"/>
          <w:lang w:eastAsia="ko-KR"/>
        </w:rPr>
        <w:t>. Disponível em: http://www.oalagustinos.org/edudoc/LAINTERCULTURALIDADCR%C3%8DTICACOMOPROYECTO%C3%89TICO.pdf. Acesso em: 16 dez. 2021.</w:t>
      </w:r>
    </w:p>
    <w:p w14:paraId="4CDBD7A5" w14:textId="77777777" w:rsidR="00F17B19" w:rsidRPr="00F17B19" w:rsidRDefault="00F17B19" w:rsidP="00F17B19">
      <w:pPr>
        <w:spacing w:after="0" w:line="240" w:lineRule="auto"/>
        <w:rPr>
          <w:rFonts w:ascii="Times New Roman" w:eastAsia="Times New Roman" w:hAnsi="Times New Roman" w:cs="Times New Roman"/>
          <w:lang w:eastAsia="ko-KR"/>
        </w:rPr>
      </w:pPr>
    </w:p>
    <w:p w14:paraId="28ECC184"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VERHELST, Thierry G. </w:t>
      </w:r>
      <w:r w:rsidRPr="00F17B19">
        <w:rPr>
          <w:rFonts w:ascii="Times New Roman" w:eastAsia="Times New Roman" w:hAnsi="Times New Roman" w:cs="Times New Roman"/>
          <w:b/>
          <w:bCs/>
          <w:lang w:eastAsia="ko-KR"/>
        </w:rPr>
        <w:t xml:space="preserve">O Direito à diferença </w:t>
      </w:r>
      <w:r w:rsidRPr="00F17B19">
        <w:rPr>
          <w:rFonts w:ascii="Times New Roman" w:eastAsia="Times New Roman" w:hAnsi="Times New Roman" w:cs="Times New Roman"/>
          <w:lang w:eastAsia="ko-KR"/>
        </w:rPr>
        <w:t>- Sul-Norte: Identidades culturais e</w:t>
      </w:r>
      <w:r w:rsidRPr="00F17B19">
        <w:rPr>
          <w:rFonts w:ascii="Times New Roman" w:eastAsia="Times New Roman" w:hAnsi="Times New Roman" w:cs="Times New Roman"/>
          <w:lang w:eastAsia="ko-KR"/>
        </w:rPr>
        <w:br/>
        <w:t>desenvolvimento. Trad. Maria Luíza César. Petrópolis, RJ: Vozes; ISER, 1992.</w:t>
      </w:r>
    </w:p>
    <w:p w14:paraId="1DC8A000" w14:textId="77777777" w:rsidR="00F17B19" w:rsidRPr="00F17B19" w:rsidRDefault="00F17B19" w:rsidP="00F17B19">
      <w:pPr>
        <w:spacing w:after="0" w:line="240" w:lineRule="auto"/>
        <w:rPr>
          <w:rFonts w:ascii="Times New Roman" w:eastAsia="Times New Roman" w:hAnsi="Times New Roman" w:cs="Times New Roman"/>
          <w:lang w:eastAsia="ko-KR"/>
        </w:rPr>
      </w:pPr>
    </w:p>
    <w:p w14:paraId="34AED892"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WALSH, Catherine. Interculturalidade Crítica e Pedagogia Decolonial: in-surgir, re-sistir e re-viver. In: CANDAU, Vera Maria (org.). </w:t>
      </w:r>
      <w:r w:rsidRPr="00F17B19">
        <w:rPr>
          <w:rFonts w:ascii="Times New Roman" w:eastAsia="Times New Roman" w:hAnsi="Times New Roman" w:cs="Times New Roman"/>
          <w:b/>
          <w:bCs/>
          <w:lang w:eastAsia="ko-KR"/>
        </w:rPr>
        <w:t>Educação Intercultural na América Latina</w:t>
      </w:r>
      <w:r w:rsidRPr="00F17B19">
        <w:rPr>
          <w:rFonts w:ascii="Times New Roman" w:eastAsia="Times New Roman" w:hAnsi="Times New Roman" w:cs="Times New Roman"/>
          <w:lang w:eastAsia="ko-KR"/>
        </w:rPr>
        <w:t>: entre concepções, tensões e propostas. 12. ed. Rio de Janeiro: 7 Letras, 2009. Cap. 1. p. 12-42.</w:t>
      </w:r>
    </w:p>
    <w:p w14:paraId="32B73833" w14:textId="77777777" w:rsidR="00F17B19" w:rsidRPr="00F17B19" w:rsidRDefault="00F17B19" w:rsidP="00F17B19">
      <w:pPr>
        <w:spacing w:after="0" w:line="240" w:lineRule="auto"/>
        <w:rPr>
          <w:rFonts w:ascii="Times New Roman" w:eastAsia="Times New Roman" w:hAnsi="Times New Roman" w:cs="Times New Roman"/>
          <w:lang w:eastAsia="ko-KR"/>
        </w:rPr>
      </w:pPr>
    </w:p>
    <w:p w14:paraId="39F3CA3B" w14:textId="77777777" w:rsidR="00F17B19" w:rsidRPr="00F17B19" w:rsidRDefault="00F17B19" w:rsidP="00F17B19">
      <w:pPr>
        <w:spacing w:after="0" w:line="240" w:lineRule="auto"/>
        <w:rPr>
          <w:rFonts w:ascii="Times New Roman" w:eastAsia="Times New Roman" w:hAnsi="Times New Roman" w:cs="Times New Roman"/>
          <w:lang w:eastAsia="ko-KR"/>
        </w:rPr>
      </w:pPr>
      <w:r w:rsidRPr="00F17B19">
        <w:rPr>
          <w:rFonts w:ascii="Times New Roman" w:eastAsia="Times New Roman" w:hAnsi="Times New Roman" w:cs="Times New Roman"/>
          <w:lang w:eastAsia="ko-KR"/>
        </w:rPr>
        <w:t xml:space="preserve">WARTHA, Rodrigo. </w:t>
      </w:r>
      <w:r w:rsidRPr="00F17B19">
        <w:rPr>
          <w:rFonts w:ascii="Times New Roman" w:eastAsia="Times New Roman" w:hAnsi="Times New Roman" w:cs="Times New Roman"/>
          <w:b/>
          <w:bCs/>
          <w:lang w:eastAsia="ko-KR"/>
        </w:rPr>
        <w:t xml:space="preserve">A história inconclusa do Vale do Itajaí: </w:t>
      </w:r>
      <w:r w:rsidRPr="00F17B19">
        <w:rPr>
          <w:rFonts w:ascii="Times New Roman" w:eastAsia="Times New Roman" w:hAnsi="Times New Roman" w:cs="Times New Roman"/>
          <w:lang w:eastAsia="ko-KR"/>
        </w:rPr>
        <w:t>território, memória e</w:t>
      </w:r>
      <w:r w:rsidRPr="00F17B19">
        <w:rPr>
          <w:rFonts w:ascii="Times New Roman" w:eastAsia="Times New Roman" w:hAnsi="Times New Roman" w:cs="Times New Roman"/>
          <w:lang w:eastAsia="ko-KR"/>
        </w:rPr>
        <w:br/>
        <w:t>identidade nas vozes atuais do povo Xokleng Laklãnõ.</w:t>
      </w:r>
      <w:r w:rsidRPr="00F17B19">
        <w:rPr>
          <w:rFonts w:ascii="Times New Roman" w:eastAsia="Times New Roman" w:hAnsi="Times New Roman" w:cs="Times New Roman"/>
          <w:b/>
          <w:bCs/>
          <w:lang w:eastAsia="ko-KR"/>
        </w:rPr>
        <w:t xml:space="preserve"> </w:t>
      </w:r>
      <w:r w:rsidRPr="00F17B19">
        <w:rPr>
          <w:rFonts w:ascii="Times New Roman" w:eastAsia="Times New Roman" w:hAnsi="Times New Roman" w:cs="Times New Roman"/>
          <w:lang w:eastAsia="ko-KR"/>
        </w:rPr>
        <w:t>2018. 123 f. Dissertação (Mestrado) - Curso de Desenvolvimento Regional, Departamento de Ciências Sociais e Filosofia, Universidade Regional de Blumenau, Blumenau, 2018.</w:t>
      </w:r>
    </w:p>
    <w:p w14:paraId="4ABFB3C5" w14:textId="77777777" w:rsidR="0049535C" w:rsidRDefault="0049535C" w:rsidP="00F17B19">
      <w:pPr>
        <w:spacing w:after="0" w:line="240" w:lineRule="auto"/>
        <w:jc w:val="both"/>
        <w:rPr>
          <w:rFonts w:ascii="Times New Roman" w:hAnsi="Times New Roman" w:cs="Times New Roman"/>
          <w:sz w:val="24"/>
          <w:szCs w:val="24"/>
        </w:rPr>
      </w:pPr>
    </w:p>
    <w:sectPr w:rsidR="0049535C" w:rsidSect="00F17B19">
      <w:headerReference w:type="default" r:id="rId11"/>
      <w:footerReference w:type="default" r:id="rId12"/>
      <w:pgSz w:w="11906" w:h="16838"/>
      <w:pgMar w:top="1701" w:right="1134" w:bottom="1134" w:left="1701"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934D4" w14:textId="77777777" w:rsidR="00671488" w:rsidRDefault="00671488">
      <w:pPr>
        <w:spacing w:line="240" w:lineRule="auto"/>
      </w:pPr>
      <w:r>
        <w:separator/>
      </w:r>
    </w:p>
  </w:endnote>
  <w:endnote w:type="continuationSeparator" w:id="0">
    <w:p w14:paraId="65E4C6AC" w14:textId="77777777" w:rsidR="00671488" w:rsidRDefault="006714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79265" w14:textId="77777777" w:rsidR="0049535C"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21969CE0" wp14:editId="2A0D0B01">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6A07EAA8" w14:textId="77777777" w:rsidR="0049535C" w:rsidRDefault="0049535C">
    <w:pPr>
      <w:pStyle w:val="Rodap"/>
      <w:jc w:val="both"/>
      <w:rPr>
        <w:rFonts w:ascii="Times New Roman" w:hAnsi="Times New Roman" w:cs="Times New Roman"/>
        <w:sz w:val="20"/>
        <w:szCs w:val="20"/>
      </w:rPr>
    </w:pPr>
  </w:p>
  <w:p w14:paraId="4CC21130" w14:textId="3B14AC5D" w:rsidR="0049535C"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r w:rsidR="00162086">
      <w:rPr>
        <w:rFonts w:ascii="Times New Roman" w:hAnsi="Times New Roman" w:cs="Times New Roman"/>
        <w:sz w:val="20"/>
        <w:szCs w:val="20"/>
      </w:rPr>
      <w:t>CE</w:t>
    </w:r>
    <w:r>
      <w:rPr>
        <w:rFonts w:ascii="Times New Roman" w:hAnsi="Times New Roman" w:cs="Times New Roman"/>
        <w:sz w:val="20"/>
        <w:szCs w:val="20"/>
      </w:rPr>
      <w:t>, 06 a 08 de dezembro de 2022. ISSN 2358-4408.</w:t>
    </w:r>
  </w:p>
  <w:p w14:paraId="4C1A3654" w14:textId="77777777" w:rsidR="0049535C" w:rsidRDefault="0049535C">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B2BF6" w14:textId="77777777" w:rsidR="00671488" w:rsidRDefault="00671488">
      <w:pPr>
        <w:spacing w:after="0"/>
      </w:pPr>
      <w:r>
        <w:separator/>
      </w:r>
    </w:p>
  </w:footnote>
  <w:footnote w:type="continuationSeparator" w:id="0">
    <w:p w14:paraId="7CA1D56A" w14:textId="77777777" w:rsidR="00671488" w:rsidRDefault="00671488">
      <w:pPr>
        <w:spacing w:after="0"/>
      </w:pPr>
      <w:r>
        <w:continuationSeparator/>
      </w:r>
    </w:p>
  </w:footnote>
  <w:footnote w:id="1">
    <w:p w14:paraId="29A49219" w14:textId="77777777" w:rsidR="00F17B19" w:rsidRPr="00B33E59" w:rsidRDefault="00F17B19" w:rsidP="00F17B19">
      <w:pPr>
        <w:pStyle w:val="Textodenotaderodap"/>
        <w:jc w:val="both"/>
        <w:rPr>
          <w:rFonts w:ascii="Times New Roman" w:hAnsi="Times New Roman" w:cs="Times New Roman"/>
        </w:rPr>
      </w:pPr>
      <w:r w:rsidRPr="00B33E59">
        <w:rPr>
          <w:rStyle w:val="Refdenotaderodap"/>
          <w:rFonts w:ascii="Times New Roman" w:hAnsi="Times New Roman" w:cs="Times New Roman"/>
        </w:rPr>
        <w:footnoteRef/>
      </w:r>
      <w:r w:rsidRPr="00B33E59">
        <w:rPr>
          <w:rFonts w:ascii="Times New Roman" w:hAnsi="Times New Roman" w:cs="Times New Roman"/>
        </w:rPr>
        <w:t xml:space="preserve"> A utilização do termo liberação é proposital, visto que os escravizados do Brasil, foram liberados das senzalas (não libertados), mas por não ter para onde ir na maioria dos casos, retornam, e como não são mais oficialmente escravizados, devem agora pagar para morar no lugar/espaço que lhe escravizou, para comer e para vestir, tendo que trabalhar em troca do mesmo tratamento recebido no tempo em que estavam escravizados.</w:t>
      </w:r>
    </w:p>
  </w:footnote>
  <w:footnote w:id="2">
    <w:p w14:paraId="2985876D" w14:textId="77777777" w:rsidR="00F17B19" w:rsidRPr="006F2C84" w:rsidRDefault="00F17B19" w:rsidP="00F17B19">
      <w:pPr>
        <w:pStyle w:val="Textodenotaderodap"/>
        <w:jc w:val="both"/>
        <w:rPr>
          <w:rFonts w:ascii="Times New Roman" w:hAnsi="Times New Roman" w:cs="Times New Roman"/>
        </w:rPr>
      </w:pPr>
      <w:r w:rsidRPr="006F2C84">
        <w:rPr>
          <w:rStyle w:val="Refdenotaderodap"/>
          <w:rFonts w:ascii="Times New Roman" w:hAnsi="Times New Roman" w:cs="Times New Roman"/>
        </w:rPr>
        <w:footnoteRef/>
      </w:r>
      <w:r w:rsidRPr="006F2C84">
        <w:rPr>
          <w:rFonts w:ascii="Times New Roman" w:hAnsi="Times New Roman" w:cs="Times New Roman"/>
        </w:rPr>
        <w:t xml:space="preserve"> O </w:t>
      </w:r>
      <w:r w:rsidRPr="006F2C84">
        <w:rPr>
          <w:rFonts w:ascii="Times New Roman" w:hAnsi="Times New Roman" w:cs="Times New Roman"/>
          <w:i/>
          <w:iCs/>
        </w:rPr>
        <w:t>colonialismo</w:t>
      </w:r>
      <w:r w:rsidRPr="006F2C84">
        <w:rPr>
          <w:rFonts w:ascii="Times New Roman" w:hAnsi="Times New Roman" w:cs="Times New Roman"/>
        </w:rPr>
        <w:t xml:space="preserve"> é uma relação de domínio entre coletivos, em que as decisões fundamentais sobre o modo de vida dos colonizados são tomadas e feitas cumprir por uma minoria cultural diferente e pouco disposta a conciliação dos senhores coloniais que priorizam seus interesses externos. Isso costuma estar ligado, nos tempos modernos, a doutrinas justificativas ideológicas de tipo missionário, que se baseiam na convicção dos senhores coloniais de sua própria superioridade cultural (tradução nossa).</w:t>
      </w:r>
    </w:p>
    <w:p w14:paraId="02A918DF" w14:textId="77777777" w:rsidR="00F17B19" w:rsidRPr="00C81CC7" w:rsidRDefault="00F17B19" w:rsidP="00F17B19">
      <w:pPr>
        <w:pStyle w:val="Textodenotaderodap"/>
        <w:jc w:val="both"/>
        <w:rPr>
          <w:rFonts w:ascii="Times New Roman" w:hAnsi="Times New Roman" w:cs="Times New Roman"/>
        </w:rPr>
      </w:pPr>
    </w:p>
  </w:footnote>
  <w:footnote w:id="3">
    <w:p w14:paraId="2C2BE64D" w14:textId="77777777" w:rsidR="00F17B19" w:rsidRPr="003A3175" w:rsidRDefault="00F17B19" w:rsidP="00F17B19">
      <w:pPr>
        <w:pStyle w:val="Textodenotaderodap"/>
        <w:jc w:val="both"/>
      </w:pPr>
      <w:r w:rsidRPr="003A3175">
        <w:rPr>
          <w:rStyle w:val="Refdenotaderodap"/>
        </w:rPr>
        <w:footnoteRef/>
      </w:r>
      <w:r w:rsidRPr="003A3175">
        <w:t xml:space="preserve"> </w:t>
      </w:r>
      <w:r w:rsidRPr="003A3175">
        <w:rPr>
          <w:rFonts w:ascii="Times New Roman" w:hAnsi="Times New Roman" w:cs="Times New Roman"/>
        </w:rPr>
        <w:t>Àgbà: s. Pessoa mais velha ou um animal, maturidade (BENISTE,</w:t>
      </w:r>
      <w:r w:rsidRPr="003A3175">
        <w:rPr>
          <w:rFonts w:ascii="Times New Roman" w:hAnsi="Times New Roman" w:cs="Times New Roman"/>
          <w:i/>
          <w:iCs/>
        </w:rPr>
        <w:t xml:space="preserve"> </w:t>
      </w:r>
      <w:r w:rsidRPr="003A3175">
        <w:rPr>
          <w:rFonts w:ascii="Times New Roman" w:hAnsi="Times New Roman" w:cs="Times New Roman"/>
        </w:rPr>
        <w:t>2020, p. 53).</w:t>
      </w:r>
    </w:p>
  </w:footnote>
  <w:footnote w:id="4">
    <w:p w14:paraId="2B2ECFCC" w14:textId="77777777" w:rsidR="00F17B19" w:rsidRPr="003A3175" w:rsidRDefault="00F17B19" w:rsidP="00F17B19">
      <w:pPr>
        <w:pStyle w:val="Textodenotaderodap"/>
        <w:jc w:val="both"/>
        <w:rPr>
          <w:rFonts w:ascii="Times New Roman" w:hAnsi="Times New Roman" w:cs="Times New Roman"/>
        </w:rPr>
      </w:pPr>
      <w:r w:rsidRPr="003A3175">
        <w:rPr>
          <w:rStyle w:val="Refdenotaderodap"/>
          <w:rFonts w:ascii="Times New Roman" w:hAnsi="Times New Roman" w:cs="Times New Roman"/>
        </w:rPr>
        <w:footnoteRef/>
      </w:r>
      <w:r w:rsidRPr="003A3175">
        <w:rPr>
          <w:rFonts w:ascii="Times New Roman" w:hAnsi="Times New Roman" w:cs="Times New Roman"/>
        </w:rPr>
        <w:t xml:space="preserve"> </w:t>
      </w:r>
      <w:r w:rsidRPr="003A3175">
        <w:rPr>
          <w:rFonts w:ascii="Times New Roman" w:hAnsi="Times New Roman" w:cs="Times New Roman"/>
          <w:i/>
          <w:iCs/>
        </w:rPr>
        <w:t xml:space="preserve">Ọmọdé: </w:t>
      </w:r>
      <w:r w:rsidRPr="003A3175">
        <w:rPr>
          <w:rFonts w:ascii="Times New Roman" w:hAnsi="Times New Roman" w:cs="Times New Roman"/>
        </w:rPr>
        <w:t>s. Criança (BENISTE,</w:t>
      </w:r>
      <w:r w:rsidRPr="003A3175">
        <w:rPr>
          <w:rFonts w:ascii="Times New Roman" w:hAnsi="Times New Roman" w:cs="Times New Roman"/>
          <w:i/>
          <w:iCs/>
        </w:rPr>
        <w:t xml:space="preserve"> </w:t>
      </w:r>
      <w:r w:rsidRPr="003A3175">
        <w:rPr>
          <w:rFonts w:ascii="Times New Roman" w:hAnsi="Times New Roman" w:cs="Times New Roman"/>
        </w:rPr>
        <w:t>2020, p. 618).</w:t>
      </w:r>
    </w:p>
  </w:footnote>
  <w:footnote w:id="5">
    <w:p w14:paraId="3DE69BF4" w14:textId="77777777" w:rsidR="00F17B19" w:rsidRPr="00DF2E4D" w:rsidRDefault="00F17B19" w:rsidP="00F17B19">
      <w:pPr>
        <w:pStyle w:val="Textodenotaderodap"/>
        <w:jc w:val="both"/>
        <w:rPr>
          <w:rFonts w:ascii="Times New Roman" w:hAnsi="Times New Roman" w:cs="Times New Roman"/>
        </w:rPr>
      </w:pPr>
      <w:r w:rsidRPr="00DF2E4D">
        <w:rPr>
          <w:rStyle w:val="Refdenotaderodap"/>
          <w:rFonts w:ascii="Times New Roman" w:hAnsi="Times New Roman" w:cs="Times New Roman"/>
        </w:rPr>
        <w:footnoteRef/>
      </w:r>
      <w:r w:rsidRPr="00DF2E4D">
        <w:rPr>
          <w:rFonts w:ascii="Times New Roman" w:hAnsi="Times New Roman" w:cs="Times New Roman"/>
        </w:rPr>
        <w:t xml:space="preserve"> Enquanto no interculturalismo funcional busca-se promover o diálogo e a tolerância sem tocar as causas da assimetria social e cultural hoje vigentes, no interculturalismo crítico busca-se suprimi-las por métodos políticos não violentos. A assimetria social e a discriminação cultural tornam inviável o diálogo intercultural autentico, [...] Para tornar real o diálogo, é preciso começar por tornar visíveis as causas do não diálogo. E isso passa necessariamente por um discurso de crítica social. (Tradução nossa)</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18D99" w14:textId="77777777" w:rsidR="0049535C"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2F6CA7B7" wp14:editId="766AF211">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7FD5672A" wp14:editId="38E3B32A">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125D244F" wp14:editId="1A469A35">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31520811" w14:textId="77777777" w:rsidR="0049535C" w:rsidRDefault="0049535C">
    <w:pPr>
      <w:pStyle w:val="Cabealho"/>
      <w:jc w:val="center"/>
    </w:pPr>
  </w:p>
  <w:p w14:paraId="330C33B7" w14:textId="77777777" w:rsidR="0049535C" w:rsidRDefault="0049535C">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F13AF"/>
    <w:multiLevelType w:val="hybridMultilevel"/>
    <w:tmpl w:val="80FA66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E7436BD"/>
    <w:multiLevelType w:val="hybridMultilevel"/>
    <w:tmpl w:val="37C6359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F0658C7"/>
    <w:multiLevelType w:val="multilevel"/>
    <w:tmpl w:val="0A42C73E"/>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65E420C2"/>
    <w:multiLevelType w:val="hybridMultilevel"/>
    <w:tmpl w:val="DBD284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92070284">
    <w:abstractNumId w:val="0"/>
  </w:num>
  <w:num w:numId="2" w16cid:durableId="439880270">
    <w:abstractNumId w:val="1"/>
  </w:num>
  <w:num w:numId="3" w16cid:durableId="1959138686">
    <w:abstractNumId w:val="3"/>
  </w:num>
  <w:num w:numId="4" w16cid:durableId="1123308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51436"/>
    <w:rsid w:val="00162086"/>
    <w:rsid w:val="0017619A"/>
    <w:rsid w:val="00206A92"/>
    <w:rsid w:val="002411D2"/>
    <w:rsid w:val="00241841"/>
    <w:rsid w:val="00255C43"/>
    <w:rsid w:val="003633A5"/>
    <w:rsid w:val="0049535C"/>
    <w:rsid w:val="004D292A"/>
    <w:rsid w:val="00507F7E"/>
    <w:rsid w:val="00510F45"/>
    <w:rsid w:val="00671488"/>
    <w:rsid w:val="006A1C7A"/>
    <w:rsid w:val="007A3A8D"/>
    <w:rsid w:val="007C3EAC"/>
    <w:rsid w:val="0085799B"/>
    <w:rsid w:val="009F167A"/>
    <w:rsid w:val="00A12BDF"/>
    <w:rsid w:val="00BC6D50"/>
    <w:rsid w:val="00C87F92"/>
    <w:rsid w:val="00E50039"/>
    <w:rsid w:val="00E5069B"/>
    <w:rsid w:val="00F17B1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F5E1"/>
  <w15:docId w15:val="{4E2A7F9C-92C8-419C-A90C-821385F49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Legenda">
    <w:name w:val="caption"/>
    <w:basedOn w:val="Normal"/>
    <w:next w:val="Normal"/>
    <w:uiPriority w:val="35"/>
    <w:semiHidden/>
    <w:unhideWhenUsed/>
    <w:qFormat/>
    <w:rsid w:val="00F17B19"/>
    <w:pPr>
      <w:spacing w:after="200" w:line="240" w:lineRule="auto"/>
    </w:pPr>
    <w:rPr>
      <w:i/>
      <w:iCs/>
      <w:color w:val="44546A" w:themeColor="text2"/>
      <w:sz w:val="18"/>
      <w:szCs w:val="18"/>
    </w:rPr>
  </w:style>
  <w:style w:type="paragraph" w:styleId="Textodenotaderodap">
    <w:name w:val="footnote text"/>
    <w:aliases w:val="RODAPÉ, Char,Texto de nota de rodapé Char Char Char,RODAPE,Texto de rodapé"/>
    <w:basedOn w:val="Normal"/>
    <w:link w:val="TextodenotaderodapChar"/>
    <w:uiPriority w:val="99"/>
    <w:unhideWhenUsed/>
    <w:rsid w:val="00F17B19"/>
    <w:pPr>
      <w:spacing w:after="0" w:line="240" w:lineRule="auto"/>
    </w:pPr>
    <w:rPr>
      <w:rFonts w:ascii="Calibri" w:eastAsia="Calibri" w:hAnsi="Calibri" w:cs="Calibri"/>
      <w:sz w:val="20"/>
      <w:szCs w:val="20"/>
      <w:lang w:eastAsia="pt-BR"/>
    </w:rPr>
  </w:style>
  <w:style w:type="character" w:customStyle="1" w:styleId="TextodenotaderodapChar">
    <w:name w:val="Texto de nota de rodapé Char"/>
    <w:aliases w:val="RODAPÉ Char, Char Char,Texto de nota de rodapé Char Char Char Char,RODAPE Char,Texto de rodapé Char"/>
    <w:basedOn w:val="Fontepargpadro"/>
    <w:link w:val="Textodenotaderodap"/>
    <w:uiPriority w:val="99"/>
    <w:rsid w:val="00F17B19"/>
    <w:rPr>
      <w:rFonts w:ascii="Calibri" w:eastAsia="Calibri" w:hAnsi="Calibri" w:cs="Calibri"/>
    </w:rPr>
  </w:style>
  <w:style w:type="character" w:styleId="Refdenotaderodap">
    <w:name w:val="footnote reference"/>
    <w:aliases w:val="Referência de rodapé"/>
    <w:basedOn w:val="Fontepargpadro"/>
    <w:uiPriority w:val="99"/>
    <w:unhideWhenUsed/>
    <w:rsid w:val="00F17B19"/>
    <w:rPr>
      <w:vertAlign w:val="superscript"/>
    </w:rPr>
  </w:style>
  <w:style w:type="table" w:styleId="Tabelacomgrade">
    <w:name w:val="Table Grid"/>
    <w:basedOn w:val="Tabelanormal"/>
    <w:uiPriority w:val="39"/>
    <w:rsid w:val="00F17B1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99"/>
    <w:rsid w:val="00162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dx.doi.org/10.15359/siwo.15-1.4"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9464</Words>
  <Characters>51110</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2022-07-10T13:28:00Z</dcterms:created>
  <dcterms:modified xsi:type="dcterms:W3CDTF">2022-07-10T13:28:00Z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