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D6BBD" w14:textId="356E296D" w:rsidR="004E666D" w:rsidRDefault="003406B6" w:rsidP="003406B6">
      <w:pPr>
        <w:pStyle w:val="Corpodetexto3"/>
        <w:spacing w:line="360" w:lineRule="auto"/>
        <w:rPr>
          <w:szCs w:val="28"/>
        </w:rPr>
      </w:pPr>
      <w:r>
        <w:rPr>
          <w:szCs w:val="28"/>
        </w:rPr>
        <w:t xml:space="preserve">ESPAÇO, ECONOMIA E POPULAÇÃO: </w:t>
      </w:r>
      <w:r w:rsidR="009177D2">
        <w:rPr>
          <w:szCs w:val="28"/>
        </w:rPr>
        <w:t xml:space="preserve">redes de cidades e </w:t>
      </w:r>
      <w:r>
        <w:rPr>
          <w:szCs w:val="28"/>
        </w:rPr>
        <w:t>a dinâmica urbano-regional recente do Estado do Piauí</w:t>
      </w:r>
    </w:p>
    <w:p w14:paraId="5E38054D" w14:textId="77777777" w:rsidR="00DD246B" w:rsidRDefault="00DD246B" w:rsidP="003406B6">
      <w:pPr>
        <w:pStyle w:val="Corpodetexto3"/>
        <w:spacing w:line="360" w:lineRule="auto"/>
        <w:rPr>
          <w:szCs w:val="28"/>
        </w:rPr>
      </w:pPr>
    </w:p>
    <w:p w14:paraId="633B25B9" w14:textId="77777777" w:rsidR="004E666D" w:rsidRDefault="00D65EDA">
      <w:pPr>
        <w:pStyle w:val="Ttulo"/>
        <w:jc w:val="both"/>
        <w:rPr>
          <w:rFonts w:ascii="Times New Roman" w:hAnsi="Times New Roman"/>
          <w:sz w:val="24"/>
        </w:rPr>
      </w:pPr>
      <w:r>
        <w:rPr>
          <w:rFonts w:ascii="Times New Roman" w:hAnsi="Times New Roman"/>
          <w:sz w:val="24"/>
        </w:rPr>
        <w:t>RESUMO</w:t>
      </w:r>
    </w:p>
    <w:p w14:paraId="60A27500" w14:textId="662804D0" w:rsidR="002E24DF" w:rsidRDefault="002E24DF" w:rsidP="002E24DF">
      <w:pPr>
        <w:spacing w:after="0" w:line="240" w:lineRule="auto"/>
        <w:jc w:val="both"/>
        <w:rPr>
          <w:rFonts w:ascii="Times New Roman" w:hAnsi="Times New Roman" w:cs="Times New Roman"/>
          <w:sz w:val="24"/>
        </w:rPr>
      </w:pPr>
      <w:r>
        <w:rPr>
          <w:rFonts w:ascii="Times New Roman" w:hAnsi="Times New Roman" w:cs="Times New Roman"/>
          <w:sz w:val="24"/>
        </w:rPr>
        <w:t>O trabalho tem o objetivo de discutir a dinâmica urbano-regional do Piauí, estabelecida por meio de suas redes de cidades</w:t>
      </w:r>
      <w:r w:rsidR="001313F7">
        <w:rPr>
          <w:rFonts w:ascii="Times New Roman" w:hAnsi="Times New Roman" w:cs="Times New Roman"/>
          <w:sz w:val="24"/>
        </w:rPr>
        <w:t>, neste início de século XXI</w:t>
      </w:r>
      <w:r>
        <w:rPr>
          <w:rFonts w:ascii="Times New Roman" w:hAnsi="Times New Roman" w:cs="Times New Roman"/>
          <w:sz w:val="24"/>
        </w:rPr>
        <w:t xml:space="preserve">. </w:t>
      </w:r>
      <w:r w:rsidR="003E7FB0">
        <w:rPr>
          <w:rFonts w:ascii="Times New Roman" w:hAnsi="Times New Roman" w:cs="Times New Roman"/>
          <w:sz w:val="24"/>
        </w:rPr>
        <w:t>Para isso, c</w:t>
      </w:r>
      <w:r>
        <w:rPr>
          <w:rFonts w:ascii="Times New Roman" w:hAnsi="Times New Roman" w:cs="Times New Roman"/>
          <w:sz w:val="24"/>
        </w:rPr>
        <w:t xml:space="preserve">onsiderou-se a configuração da região de influência de Teresina (RIT), com base na REGIC-2018. </w:t>
      </w:r>
      <w:r w:rsidR="003E7FB0">
        <w:rPr>
          <w:rFonts w:ascii="Times New Roman" w:hAnsi="Times New Roman" w:cs="Times New Roman"/>
          <w:sz w:val="24"/>
        </w:rPr>
        <w:t>Tem por base</w:t>
      </w:r>
      <w:r>
        <w:rPr>
          <w:rFonts w:ascii="Times New Roman" w:hAnsi="Times New Roman" w:cs="Times New Roman"/>
          <w:sz w:val="24"/>
        </w:rPr>
        <w:t xml:space="preserve">, portanto, a forma como as suas cidades estão funcionalmente articuladas entre si e a hierarquia que se estabelece entre elas, consubstanciando a maneira como se manifestam as suas características econômico-espaciais. A análise dos dados revelou um caráter ao mesmo tempo concentrado e disperso da dinâmica urbano-regional do Estado, com destaque para Teresina, mas com relevância do segundo nível hierárquico de cidades devido </w:t>
      </w:r>
      <w:r w:rsidR="00DD246B">
        <w:rPr>
          <w:rFonts w:ascii="Times New Roman" w:hAnsi="Times New Roman" w:cs="Times New Roman"/>
          <w:sz w:val="24"/>
        </w:rPr>
        <w:t>a</w:t>
      </w:r>
      <w:r>
        <w:rPr>
          <w:rFonts w:ascii="Times New Roman" w:hAnsi="Times New Roman" w:cs="Times New Roman"/>
          <w:sz w:val="24"/>
        </w:rPr>
        <w:t>os papéis desempenhados em seus respectivos espaços sub-regionais (Parnaíba, Picos e Floriano). Por outro lado, verifica-se um conjunto mais disperso de cidades, mas que contribuem para o arranjo socioespacial daquele território.</w:t>
      </w:r>
    </w:p>
    <w:p w14:paraId="536F6A33" w14:textId="17960BB7" w:rsidR="002E24DF" w:rsidRDefault="002E24DF" w:rsidP="00E56D2D">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Dinâmica urbano-regional; </w:t>
      </w:r>
      <w:r w:rsidR="00E56D2D">
        <w:rPr>
          <w:rFonts w:ascii="Times New Roman" w:hAnsi="Times New Roman" w:cs="Times New Roman"/>
          <w:sz w:val="24"/>
          <w:szCs w:val="24"/>
        </w:rPr>
        <w:t>e</w:t>
      </w:r>
      <w:r>
        <w:rPr>
          <w:rFonts w:ascii="Times New Roman" w:hAnsi="Times New Roman" w:cs="Times New Roman"/>
          <w:sz w:val="24"/>
          <w:szCs w:val="24"/>
        </w:rPr>
        <w:t xml:space="preserve">conomia regional e urbana; </w:t>
      </w:r>
      <w:r w:rsidR="00E56D2D">
        <w:rPr>
          <w:rFonts w:ascii="Times New Roman" w:hAnsi="Times New Roman" w:cs="Times New Roman"/>
          <w:sz w:val="24"/>
          <w:szCs w:val="24"/>
        </w:rPr>
        <w:t>Piauí; r</w:t>
      </w:r>
      <w:r>
        <w:rPr>
          <w:rFonts w:ascii="Times New Roman" w:hAnsi="Times New Roman" w:cs="Times New Roman"/>
          <w:sz w:val="24"/>
          <w:szCs w:val="24"/>
        </w:rPr>
        <w:t xml:space="preserve">ede urbana; </w:t>
      </w:r>
      <w:r w:rsidR="00E56D2D">
        <w:rPr>
          <w:rFonts w:ascii="Times New Roman" w:hAnsi="Times New Roman" w:cs="Times New Roman"/>
          <w:sz w:val="24"/>
          <w:szCs w:val="24"/>
        </w:rPr>
        <w:t>REGIC</w:t>
      </w:r>
      <w:r>
        <w:rPr>
          <w:rFonts w:ascii="Times New Roman" w:hAnsi="Times New Roman" w:cs="Times New Roman"/>
          <w:sz w:val="24"/>
          <w:szCs w:val="24"/>
        </w:rPr>
        <w:t>.</w:t>
      </w:r>
    </w:p>
    <w:p w14:paraId="75B193C6" w14:textId="77777777" w:rsidR="00807B53" w:rsidRDefault="00807B53">
      <w:pPr>
        <w:spacing w:after="0" w:line="240" w:lineRule="auto"/>
        <w:jc w:val="both"/>
        <w:rPr>
          <w:rFonts w:ascii="Times New Roman" w:hAnsi="Times New Roman" w:cs="Times New Roman"/>
          <w:sz w:val="24"/>
        </w:rPr>
      </w:pPr>
    </w:p>
    <w:p w14:paraId="25128538" w14:textId="65FE383E" w:rsidR="004E666D" w:rsidRDefault="00D65ED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02591D">
        <w:rPr>
          <w:rFonts w:ascii="Times New Roman" w:hAnsi="Times New Roman" w:cs="Times New Roman"/>
          <w:b/>
          <w:bCs/>
          <w:sz w:val="24"/>
          <w:szCs w:val="24"/>
        </w:rPr>
        <w:t>3</w:t>
      </w:r>
      <w:r>
        <w:rPr>
          <w:rFonts w:ascii="Times New Roman" w:hAnsi="Times New Roman" w:cs="Times New Roman"/>
          <w:sz w:val="24"/>
          <w:szCs w:val="24"/>
        </w:rPr>
        <w:t xml:space="preserve">: </w:t>
      </w:r>
      <w:r w:rsidR="0002591D">
        <w:rPr>
          <w:rFonts w:ascii="Times New Roman" w:hAnsi="Times New Roman" w:cs="Times New Roman"/>
          <w:sz w:val="24"/>
          <w:szCs w:val="24"/>
        </w:rPr>
        <w:t>Dinâmicas socioeconômicas do Território</w:t>
      </w:r>
    </w:p>
    <w:p w14:paraId="528D7DA6" w14:textId="77777777" w:rsidR="004E666D" w:rsidRDefault="004E666D">
      <w:pPr>
        <w:spacing w:after="0" w:line="360" w:lineRule="auto"/>
        <w:jc w:val="both"/>
        <w:rPr>
          <w:rFonts w:ascii="Times New Roman" w:hAnsi="Times New Roman" w:cs="Times New Roman"/>
          <w:sz w:val="24"/>
          <w:szCs w:val="24"/>
        </w:rPr>
      </w:pPr>
    </w:p>
    <w:p w14:paraId="191A2E03" w14:textId="77777777" w:rsidR="004E666D" w:rsidRDefault="00D65ED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58CC0167" w14:textId="245A25C9" w:rsidR="00B17C25" w:rsidRDefault="00A150AB" w:rsidP="00A150AB">
      <w:pPr>
        <w:spacing w:after="0" w:line="360" w:lineRule="auto"/>
        <w:ind w:firstLine="709"/>
        <w:jc w:val="both"/>
        <w:rPr>
          <w:rFonts w:ascii="Times New Roman" w:hAnsi="Times New Roman" w:cs="Times New Roman"/>
          <w:sz w:val="24"/>
        </w:rPr>
      </w:pPr>
      <w:r>
        <w:rPr>
          <w:rFonts w:ascii="Times New Roman" w:hAnsi="Times New Roman" w:cs="Times New Roman"/>
          <w:sz w:val="24"/>
        </w:rPr>
        <w:t>O objetivo deste texto é discutir a dinâmica urbano-regional recente do Estado do Piauí, estabelecida por meio de suas redes de cidades. A investigação recaiu sobre o período iniciado a partir dos anos 1990 até 2019</w:t>
      </w:r>
      <w:r w:rsidR="00742E94">
        <w:rPr>
          <w:rFonts w:ascii="Times New Roman" w:hAnsi="Times New Roman" w:cs="Times New Roman"/>
          <w:sz w:val="24"/>
        </w:rPr>
        <w:t>, conforme o tipo de dado utilizado</w:t>
      </w:r>
      <w:r>
        <w:rPr>
          <w:rFonts w:ascii="Times New Roman" w:hAnsi="Times New Roman" w:cs="Times New Roman"/>
          <w:sz w:val="24"/>
        </w:rPr>
        <w:t xml:space="preserve">. Para a análise objetiva deste tema, </w:t>
      </w:r>
      <w:r w:rsidR="00F56577">
        <w:rPr>
          <w:rFonts w:ascii="Times New Roman" w:hAnsi="Times New Roman" w:cs="Times New Roman"/>
          <w:sz w:val="24"/>
        </w:rPr>
        <w:t>adot</w:t>
      </w:r>
      <w:r>
        <w:rPr>
          <w:rFonts w:ascii="Times New Roman" w:hAnsi="Times New Roman" w:cs="Times New Roman"/>
          <w:sz w:val="24"/>
        </w:rPr>
        <w:t xml:space="preserve">ou-se a configuração </w:t>
      </w:r>
      <w:r w:rsidR="00131517">
        <w:rPr>
          <w:rFonts w:ascii="Times New Roman" w:hAnsi="Times New Roman" w:cs="Times New Roman"/>
          <w:sz w:val="24"/>
        </w:rPr>
        <w:t xml:space="preserve">atual </w:t>
      </w:r>
      <w:r>
        <w:rPr>
          <w:rFonts w:ascii="Times New Roman" w:hAnsi="Times New Roman" w:cs="Times New Roman"/>
          <w:sz w:val="24"/>
        </w:rPr>
        <w:t xml:space="preserve">da região de influência de Teresina (RIT) com base </w:t>
      </w:r>
      <w:r w:rsidR="00131517">
        <w:rPr>
          <w:rFonts w:ascii="Times New Roman" w:hAnsi="Times New Roman" w:cs="Times New Roman"/>
          <w:sz w:val="24"/>
        </w:rPr>
        <w:t>em</w:t>
      </w:r>
      <w:r>
        <w:rPr>
          <w:rFonts w:ascii="Times New Roman" w:hAnsi="Times New Roman" w:cs="Times New Roman"/>
          <w:sz w:val="24"/>
        </w:rPr>
        <w:t xml:space="preserve"> critérios definidos pela pesquisa Regiões de Influência das Cidades (REGIC-2018), formulada pelo IBGE (2020). Considera-se, portanto, a forma como as suas cidades estão funcionalmente articuladas entre si e a hierarquia que se estabelece entre elas, consubstanciando a maneira como manifestam as suas características econômico-espaciais. </w:t>
      </w:r>
    </w:p>
    <w:p w14:paraId="3D984711" w14:textId="52405D8E" w:rsidR="00B17C25" w:rsidRDefault="00B17C25" w:rsidP="00A150AB">
      <w:pPr>
        <w:spacing w:after="0" w:line="360" w:lineRule="auto"/>
        <w:ind w:firstLine="709"/>
        <w:jc w:val="both"/>
        <w:rPr>
          <w:rFonts w:ascii="Times New Roman" w:hAnsi="Times New Roman" w:cs="Times New Roman"/>
          <w:sz w:val="24"/>
        </w:rPr>
      </w:pPr>
      <w:r>
        <w:rPr>
          <w:rFonts w:ascii="Times New Roman" w:hAnsi="Times New Roman" w:cs="Times New Roman"/>
          <w:sz w:val="24"/>
        </w:rPr>
        <w:t>De acordo com Porto (2022), a dinâmica urbano-regional</w:t>
      </w:r>
      <w:r w:rsidR="00DA2014">
        <w:rPr>
          <w:rFonts w:ascii="Times New Roman" w:hAnsi="Times New Roman" w:cs="Times New Roman"/>
          <w:sz w:val="24"/>
        </w:rPr>
        <w:t xml:space="preserve"> é reflexo </w:t>
      </w:r>
      <w:r w:rsidR="00262234">
        <w:rPr>
          <w:rFonts w:ascii="Times New Roman" w:hAnsi="Times New Roman" w:cs="Times New Roman"/>
          <w:sz w:val="24"/>
        </w:rPr>
        <w:t>de como diferentes relações socioeconômicas</w:t>
      </w:r>
      <w:r w:rsidR="006B65FB">
        <w:rPr>
          <w:rFonts w:ascii="Times New Roman" w:hAnsi="Times New Roman" w:cs="Times New Roman"/>
          <w:sz w:val="24"/>
        </w:rPr>
        <w:t xml:space="preserve"> influenciam a maneira pela qual a sociedade está organizada espacia</w:t>
      </w:r>
      <w:r w:rsidR="00355331">
        <w:rPr>
          <w:rFonts w:ascii="Times New Roman" w:hAnsi="Times New Roman" w:cs="Times New Roman"/>
          <w:sz w:val="24"/>
        </w:rPr>
        <w:t>lmente.</w:t>
      </w:r>
      <w:r w:rsidR="00B615B1">
        <w:rPr>
          <w:rFonts w:ascii="Times New Roman" w:hAnsi="Times New Roman" w:cs="Times New Roman"/>
          <w:sz w:val="24"/>
        </w:rPr>
        <w:t xml:space="preserve"> </w:t>
      </w:r>
      <w:r w:rsidR="002372F5">
        <w:rPr>
          <w:rFonts w:ascii="Times New Roman" w:hAnsi="Times New Roman" w:cs="Times New Roman"/>
          <w:sz w:val="24"/>
        </w:rPr>
        <w:t>Para sua compreensão, é preciso considerar</w:t>
      </w:r>
      <w:r w:rsidR="00DD1B75">
        <w:rPr>
          <w:rFonts w:ascii="Times New Roman" w:hAnsi="Times New Roman" w:cs="Times New Roman"/>
          <w:sz w:val="24"/>
        </w:rPr>
        <w:t xml:space="preserve"> as especificidades espaciais</w:t>
      </w:r>
      <w:r w:rsidR="007E5E6F">
        <w:rPr>
          <w:rFonts w:ascii="Times New Roman" w:hAnsi="Times New Roman" w:cs="Times New Roman"/>
          <w:sz w:val="24"/>
        </w:rPr>
        <w:t>, uma vez que a dinâmica urbano-regional não se manifesta igualmente em todos os lugares. Também é necessário considerar seus condicionantes históricos</w:t>
      </w:r>
      <w:r w:rsidR="00A73C65">
        <w:rPr>
          <w:rFonts w:ascii="Times New Roman" w:hAnsi="Times New Roman" w:cs="Times New Roman"/>
          <w:sz w:val="24"/>
        </w:rPr>
        <w:t>, o que implica em conhecer</w:t>
      </w:r>
      <w:r w:rsidR="00F518F9">
        <w:rPr>
          <w:rFonts w:ascii="Times New Roman" w:hAnsi="Times New Roman" w:cs="Times New Roman"/>
          <w:sz w:val="24"/>
        </w:rPr>
        <w:t xml:space="preserve"> o conjunto </w:t>
      </w:r>
      <w:r w:rsidR="00F518F9">
        <w:rPr>
          <w:rFonts w:ascii="Times New Roman" w:hAnsi="Times New Roman" w:cs="Times New Roman"/>
          <w:sz w:val="24"/>
        </w:rPr>
        <w:lastRenderedPageBreak/>
        <w:t>de determinações que ocorrem sob distintas escalas espaciais</w:t>
      </w:r>
      <w:r w:rsidR="008F2849">
        <w:rPr>
          <w:rFonts w:ascii="Times New Roman" w:hAnsi="Times New Roman" w:cs="Times New Roman"/>
          <w:sz w:val="24"/>
        </w:rPr>
        <w:t xml:space="preserve"> e</w:t>
      </w:r>
      <w:r w:rsidR="00F518F9">
        <w:rPr>
          <w:rFonts w:ascii="Times New Roman" w:hAnsi="Times New Roman" w:cs="Times New Roman"/>
          <w:sz w:val="24"/>
        </w:rPr>
        <w:t xml:space="preserve"> que têm rebatimentos sobre</w:t>
      </w:r>
      <w:r w:rsidR="005B740F">
        <w:rPr>
          <w:rFonts w:ascii="Times New Roman" w:hAnsi="Times New Roman" w:cs="Times New Roman"/>
          <w:sz w:val="24"/>
        </w:rPr>
        <w:t xml:space="preserve"> o território analisado, conforme proposto por </w:t>
      </w:r>
      <w:proofErr w:type="spellStart"/>
      <w:r w:rsidR="005B740F">
        <w:rPr>
          <w:rFonts w:ascii="Times New Roman" w:hAnsi="Times New Roman" w:cs="Times New Roman"/>
          <w:sz w:val="24"/>
        </w:rPr>
        <w:t>Egler</w:t>
      </w:r>
      <w:proofErr w:type="spellEnd"/>
      <w:r w:rsidR="005B740F">
        <w:rPr>
          <w:rFonts w:ascii="Times New Roman" w:hAnsi="Times New Roman" w:cs="Times New Roman"/>
          <w:sz w:val="24"/>
        </w:rPr>
        <w:t xml:space="preserve"> (1991).</w:t>
      </w:r>
    </w:p>
    <w:p w14:paraId="3A0E20E9" w14:textId="79E58FC1" w:rsidR="00A06FF7" w:rsidRDefault="00A06FF7" w:rsidP="00A150AB">
      <w:pPr>
        <w:spacing w:after="0" w:line="360" w:lineRule="auto"/>
        <w:ind w:firstLine="709"/>
        <w:jc w:val="both"/>
        <w:rPr>
          <w:rFonts w:ascii="Times New Roman" w:hAnsi="Times New Roman" w:cs="Times New Roman"/>
          <w:sz w:val="24"/>
        </w:rPr>
      </w:pPr>
      <w:r w:rsidRPr="00A06FF7">
        <w:rPr>
          <w:rFonts w:ascii="Times New Roman" w:hAnsi="Times New Roman" w:cs="Times New Roman"/>
          <w:sz w:val="24"/>
        </w:rPr>
        <w:t xml:space="preserve">A importância </w:t>
      </w:r>
      <w:r>
        <w:rPr>
          <w:rFonts w:ascii="Times New Roman" w:hAnsi="Times New Roman" w:cs="Times New Roman"/>
          <w:sz w:val="24"/>
        </w:rPr>
        <w:t xml:space="preserve">deste </w:t>
      </w:r>
      <w:r w:rsidR="00FA3412">
        <w:rPr>
          <w:rFonts w:ascii="Times New Roman" w:hAnsi="Times New Roman" w:cs="Times New Roman"/>
          <w:sz w:val="24"/>
        </w:rPr>
        <w:t>tipo de análise</w:t>
      </w:r>
      <w:r w:rsidRPr="00A06FF7">
        <w:rPr>
          <w:rFonts w:ascii="Times New Roman" w:hAnsi="Times New Roman" w:cs="Times New Roman"/>
          <w:sz w:val="24"/>
        </w:rPr>
        <w:t xml:space="preserve"> consiste no fato de que a conformação de um sistema urbano-regional piauiense está associada às mudanças produtivas e às tendências do desenvolvimento regional. Dessa maneira, podemos obter uma visão de conjunto – uma análise integrada das transformações </w:t>
      </w:r>
      <w:r w:rsidR="00E56D2D">
        <w:rPr>
          <w:rFonts w:ascii="Times New Roman" w:hAnsi="Times New Roman" w:cs="Times New Roman"/>
          <w:sz w:val="24"/>
        </w:rPr>
        <w:t>socioeconômicas</w:t>
      </w:r>
      <w:r w:rsidRPr="00A06FF7">
        <w:rPr>
          <w:rFonts w:ascii="Times New Roman" w:hAnsi="Times New Roman" w:cs="Times New Roman"/>
          <w:sz w:val="24"/>
        </w:rPr>
        <w:t xml:space="preserve"> piauienses. Essas transformações decorrem tanto da importância relativa que tem o seu principal centro urbano – a capital estadual – como do movimento de interiorização do </w:t>
      </w:r>
      <w:r w:rsidR="00171189">
        <w:rPr>
          <w:rFonts w:ascii="Times New Roman" w:hAnsi="Times New Roman" w:cs="Times New Roman"/>
          <w:sz w:val="24"/>
        </w:rPr>
        <w:t>crescimento econômico</w:t>
      </w:r>
      <w:r w:rsidRPr="00A06FF7">
        <w:rPr>
          <w:rFonts w:ascii="Times New Roman" w:hAnsi="Times New Roman" w:cs="Times New Roman"/>
          <w:sz w:val="24"/>
        </w:rPr>
        <w:t xml:space="preserve">, seja no sentido sudoeste do Estado </w:t>
      </w:r>
      <w:r w:rsidR="004A7D61">
        <w:rPr>
          <w:rFonts w:ascii="Times New Roman" w:hAnsi="Times New Roman" w:cs="Times New Roman"/>
          <w:sz w:val="24"/>
        </w:rPr>
        <w:t xml:space="preserve">– área de expansão da agricultura exportadora – </w:t>
      </w:r>
      <w:r w:rsidRPr="00A06FF7">
        <w:rPr>
          <w:rFonts w:ascii="Times New Roman" w:hAnsi="Times New Roman" w:cs="Times New Roman"/>
          <w:sz w:val="24"/>
        </w:rPr>
        <w:t xml:space="preserve">ou </w:t>
      </w:r>
      <w:r w:rsidR="009B7558">
        <w:rPr>
          <w:rFonts w:ascii="Times New Roman" w:hAnsi="Times New Roman" w:cs="Times New Roman"/>
          <w:sz w:val="24"/>
        </w:rPr>
        <w:t>no litoral</w:t>
      </w:r>
      <w:r w:rsidRPr="00A06FF7">
        <w:rPr>
          <w:rFonts w:ascii="Times New Roman" w:hAnsi="Times New Roman" w:cs="Times New Roman"/>
          <w:sz w:val="24"/>
        </w:rPr>
        <w:t>, onde está o município de Parnaíba e sua região metropolitana</w:t>
      </w:r>
      <w:r w:rsidR="00FA3412">
        <w:rPr>
          <w:rFonts w:ascii="Times New Roman" w:hAnsi="Times New Roman" w:cs="Times New Roman"/>
          <w:sz w:val="24"/>
        </w:rPr>
        <w:t xml:space="preserve"> recém-criada</w:t>
      </w:r>
      <w:r w:rsidRPr="00A06FF7">
        <w:rPr>
          <w:rFonts w:ascii="Times New Roman" w:hAnsi="Times New Roman" w:cs="Times New Roman"/>
          <w:sz w:val="24"/>
        </w:rPr>
        <w:t>.</w:t>
      </w:r>
    </w:p>
    <w:p w14:paraId="052BAB5A" w14:textId="17F20936" w:rsidR="00F629B7" w:rsidRDefault="00A150AB" w:rsidP="00A150AB">
      <w:pPr>
        <w:spacing w:after="0" w:line="360" w:lineRule="auto"/>
        <w:ind w:firstLine="709"/>
        <w:jc w:val="both"/>
        <w:rPr>
          <w:rFonts w:ascii="Times New Roman" w:hAnsi="Times New Roman" w:cs="Times New Roman"/>
          <w:sz w:val="24"/>
        </w:rPr>
      </w:pPr>
      <w:r>
        <w:rPr>
          <w:rFonts w:ascii="Times New Roman" w:hAnsi="Times New Roman" w:cs="Times New Roman"/>
          <w:sz w:val="24"/>
        </w:rPr>
        <w:t xml:space="preserve">A análise dos dados revelou um caráter ao mesmo tempo concentrado e disperso da dinâmica urbano-regional do Estado, capitaneada por Teresina – integrada à rede de cidades de Fortaleza, CE –, mas com relevância do segundo nível hierárquico de cidades </w:t>
      </w:r>
      <w:r w:rsidR="00F629B7">
        <w:rPr>
          <w:rFonts w:ascii="Times New Roman" w:hAnsi="Times New Roman" w:cs="Times New Roman"/>
          <w:sz w:val="24"/>
        </w:rPr>
        <w:t>cuja influência se manifesta</w:t>
      </w:r>
      <w:r>
        <w:rPr>
          <w:rFonts w:ascii="Times New Roman" w:hAnsi="Times New Roman" w:cs="Times New Roman"/>
          <w:sz w:val="24"/>
        </w:rPr>
        <w:t xml:space="preserve"> em seus respectivos espaços sub-regionais.</w:t>
      </w:r>
      <w:r w:rsidR="00F629B7">
        <w:rPr>
          <w:rFonts w:ascii="Times New Roman" w:hAnsi="Times New Roman" w:cs="Times New Roman"/>
          <w:sz w:val="24"/>
        </w:rPr>
        <w:t xml:space="preserve"> Além desta, o texto divide-se em mais 4 seções, na seguinte ordem: 2. Aspectos metodológicos; 3. Referencial teórico; 4. Resultados e discussões; 5. Conclusão.</w:t>
      </w:r>
    </w:p>
    <w:p w14:paraId="50DD40B9" w14:textId="77777777" w:rsidR="004E666D" w:rsidRDefault="004E666D">
      <w:pPr>
        <w:spacing w:after="0" w:line="240" w:lineRule="auto"/>
        <w:jc w:val="both"/>
        <w:rPr>
          <w:rFonts w:ascii="Times New Roman" w:hAnsi="Times New Roman" w:cs="Times New Roman"/>
          <w:sz w:val="24"/>
          <w:szCs w:val="24"/>
        </w:rPr>
      </w:pPr>
    </w:p>
    <w:p w14:paraId="166F8FB2" w14:textId="77777777" w:rsidR="004E666D" w:rsidRDefault="00D65EDA" w:rsidP="002927B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0C527C92" w14:textId="3BD4D345" w:rsidR="008452F1" w:rsidRDefault="008452F1" w:rsidP="00BA35A5">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A pesquisa teve um caráter</w:t>
      </w:r>
      <w:r w:rsidRPr="008452F1">
        <w:rPr>
          <w:rFonts w:ascii="Times New Roman" w:hAnsi="Times New Roman" w:cs="Times New Roman"/>
          <w:sz w:val="24"/>
          <w:szCs w:val="24"/>
        </w:rPr>
        <w:t xml:space="preserve"> analítico-descritiv</w:t>
      </w:r>
      <w:r>
        <w:rPr>
          <w:rFonts w:ascii="Times New Roman" w:hAnsi="Times New Roman" w:cs="Times New Roman"/>
          <w:sz w:val="24"/>
          <w:szCs w:val="24"/>
        </w:rPr>
        <w:t>o</w:t>
      </w:r>
      <w:r w:rsidR="00581F75">
        <w:rPr>
          <w:rFonts w:ascii="Times New Roman" w:hAnsi="Times New Roman" w:cs="Times New Roman"/>
          <w:sz w:val="24"/>
          <w:szCs w:val="24"/>
        </w:rPr>
        <w:t xml:space="preserve"> e</w:t>
      </w:r>
      <w:r>
        <w:rPr>
          <w:rFonts w:ascii="Times New Roman" w:hAnsi="Times New Roman" w:cs="Times New Roman"/>
          <w:sz w:val="24"/>
          <w:szCs w:val="24"/>
        </w:rPr>
        <w:t xml:space="preserve"> busca explorar</w:t>
      </w:r>
      <w:r w:rsidRPr="008452F1">
        <w:rPr>
          <w:rFonts w:ascii="Times New Roman" w:hAnsi="Times New Roman" w:cs="Times New Roman"/>
          <w:sz w:val="24"/>
          <w:szCs w:val="24"/>
        </w:rPr>
        <w:t xml:space="preserve"> as características demográficas e econômicas </w:t>
      </w:r>
      <w:r>
        <w:rPr>
          <w:rFonts w:ascii="Times New Roman" w:hAnsi="Times New Roman" w:cs="Times New Roman"/>
          <w:sz w:val="24"/>
          <w:szCs w:val="24"/>
        </w:rPr>
        <w:t>da rede de cidades que é articulada a partir de Teresina, consubstanciando o espaço</w:t>
      </w:r>
      <w:r w:rsidR="00581F75">
        <w:rPr>
          <w:rFonts w:ascii="Times New Roman" w:hAnsi="Times New Roman" w:cs="Times New Roman"/>
          <w:sz w:val="24"/>
          <w:szCs w:val="24"/>
        </w:rPr>
        <w:t xml:space="preserve"> socioeconômico</w:t>
      </w:r>
      <w:r>
        <w:rPr>
          <w:rFonts w:ascii="Times New Roman" w:hAnsi="Times New Roman" w:cs="Times New Roman"/>
          <w:sz w:val="24"/>
          <w:szCs w:val="24"/>
        </w:rPr>
        <w:t xml:space="preserve"> piauiense. Abre-se, com isso, a proposição de uma agenda de pesquisa que busca acompanhar as novas articulações espaciais que se impõem àquele espaço.</w:t>
      </w:r>
      <w:r w:rsidR="004D3EA5">
        <w:rPr>
          <w:rFonts w:ascii="Times New Roman" w:hAnsi="Times New Roman" w:cs="Times New Roman"/>
          <w:sz w:val="24"/>
          <w:szCs w:val="24"/>
        </w:rPr>
        <w:t xml:space="preserve"> </w:t>
      </w:r>
      <w:r>
        <w:rPr>
          <w:rFonts w:ascii="Times New Roman" w:hAnsi="Times New Roman" w:cs="Times New Roman"/>
          <w:sz w:val="24"/>
          <w:szCs w:val="24"/>
        </w:rPr>
        <w:t>Part</w:t>
      </w:r>
      <w:r w:rsidR="0029284E">
        <w:rPr>
          <w:rFonts w:ascii="Times New Roman" w:hAnsi="Times New Roman" w:cs="Times New Roman"/>
          <w:sz w:val="24"/>
          <w:szCs w:val="24"/>
        </w:rPr>
        <w:t>imos</w:t>
      </w:r>
      <w:r>
        <w:rPr>
          <w:rFonts w:ascii="Times New Roman" w:hAnsi="Times New Roman" w:cs="Times New Roman"/>
          <w:sz w:val="24"/>
          <w:szCs w:val="24"/>
        </w:rPr>
        <w:t xml:space="preserve">, então, </w:t>
      </w:r>
      <w:r w:rsidRPr="008452F1">
        <w:rPr>
          <w:rFonts w:ascii="Times New Roman" w:hAnsi="Times New Roman" w:cs="Times New Roman"/>
          <w:sz w:val="24"/>
          <w:szCs w:val="24"/>
        </w:rPr>
        <w:t>da</w:t>
      </w:r>
      <w:r>
        <w:rPr>
          <w:rFonts w:ascii="Times New Roman" w:hAnsi="Times New Roman" w:cs="Times New Roman"/>
          <w:sz w:val="24"/>
          <w:szCs w:val="24"/>
        </w:rPr>
        <w:t xml:space="preserve"> configuração atual da rede de cidades no Estado do Piauí, tomando como parâmetros a</w:t>
      </w:r>
      <w:r w:rsidRPr="008452F1">
        <w:rPr>
          <w:rFonts w:ascii="Times New Roman" w:hAnsi="Times New Roman" w:cs="Times New Roman"/>
          <w:sz w:val="24"/>
          <w:szCs w:val="24"/>
        </w:rPr>
        <w:t xml:space="preserve"> pesquisa Regiões de Influência das Cidades-20</w:t>
      </w:r>
      <w:r>
        <w:rPr>
          <w:rFonts w:ascii="Times New Roman" w:hAnsi="Times New Roman" w:cs="Times New Roman"/>
          <w:sz w:val="24"/>
          <w:szCs w:val="24"/>
        </w:rPr>
        <w:t>18</w:t>
      </w:r>
      <w:r w:rsidRPr="008452F1">
        <w:rPr>
          <w:rFonts w:ascii="Times New Roman" w:hAnsi="Times New Roman" w:cs="Times New Roman"/>
          <w:sz w:val="24"/>
          <w:szCs w:val="24"/>
        </w:rPr>
        <w:t xml:space="preserve"> (</w:t>
      </w:r>
      <w:r>
        <w:rPr>
          <w:rFonts w:ascii="Times New Roman" w:hAnsi="Times New Roman" w:cs="Times New Roman"/>
          <w:sz w:val="24"/>
          <w:szCs w:val="24"/>
        </w:rPr>
        <w:t>RECIG-2018</w:t>
      </w:r>
      <w:r w:rsidRPr="008452F1">
        <w:rPr>
          <w:rFonts w:ascii="Times New Roman" w:hAnsi="Times New Roman" w:cs="Times New Roman"/>
          <w:sz w:val="24"/>
          <w:szCs w:val="24"/>
        </w:rPr>
        <w:t xml:space="preserve">), </w:t>
      </w:r>
      <w:r>
        <w:rPr>
          <w:rFonts w:ascii="Times New Roman" w:hAnsi="Times New Roman" w:cs="Times New Roman"/>
          <w:sz w:val="24"/>
          <w:szCs w:val="24"/>
        </w:rPr>
        <w:t>recentemente divulgada pel</w:t>
      </w:r>
      <w:r w:rsidRPr="008452F1">
        <w:rPr>
          <w:rFonts w:ascii="Times New Roman" w:hAnsi="Times New Roman" w:cs="Times New Roman"/>
          <w:sz w:val="24"/>
          <w:szCs w:val="24"/>
        </w:rPr>
        <w:t>o IBGE (</w:t>
      </w:r>
      <w:r>
        <w:rPr>
          <w:rFonts w:ascii="Times New Roman" w:hAnsi="Times New Roman" w:cs="Times New Roman"/>
          <w:sz w:val="24"/>
          <w:szCs w:val="24"/>
        </w:rPr>
        <w:t>2020</w:t>
      </w:r>
      <w:r w:rsidRPr="008452F1">
        <w:rPr>
          <w:rFonts w:ascii="Times New Roman" w:hAnsi="Times New Roman" w:cs="Times New Roman"/>
          <w:sz w:val="24"/>
          <w:szCs w:val="24"/>
        </w:rPr>
        <w:t>)</w:t>
      </w:r>
      <w:r>
        <w:rPr>
          <w:rFonts w:ascii="Times New Roman" w:hAnsi="Times New Roman" w:cs="Times New Roman"/>
          <w:sz w:val="24"/>
          <w:szCs w:val="24"/>
        </w:rPr>
        <w:t>. Num primeiro momento, comparamos</w:t>
      </w:r>
      <w:r w:rsidR="0029284E">
        <w:rPr>
          <w:rFonts w:ascii="Times New Roman" w:hAnsi="Times New Roman" w:cs="Times New Roman"/>
          <w:sz w:val="24"/>
          <w:szCs w:val="24"/>
        </w:rPr>
        <w:t xml:space="preserve"> sua configuração atual com o último levantamento feito pelo IBGE (2008), através da REGIC-2007, a fim de conhecer como esse sistema urbano vem evoluindo e a importância relativa de seu conjunto regional de cidades.</w:t>
      </w:r>
    </w:p>
    <w:p w14:paraId="0B7371CF" w14:textId="5F59AAAF" w:rsidR="002927BE" w:rsidRPr="006A7FED" w:rsidRDefault="0029284E" w:rsidP="00BA35A5">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E</w:t>
      </w:r>
      <w:r w:rsidR="008452F1" w:rsidRPr="008452F1">
        <w:rPr>
          <w:rFonts w:ascii="Times New Roman" w:hAnsi="Times New Roman" w:cs="Times New Roman"/>
          <w:sz w:val="24"/>
          <w:szCs w:val="24"/>
        </w:rPr>
        <w:t>m seguida,</w:t>
      </w:r>
      <w:r>
        <w:rPr>
          <w:rFonts w:ascii="Times New Roman" w:hAnsi="Times New Roman" w:cs="Times New Roman"/>
          <w:sz w:val="24"/>
          <w:szCs w:val="24"/>
        </w:rPr>
        <w:t xml:space="preserve"> fizemos</w:t>
      </w:r>
      <w:r w:rsidR="008452F1" w:rsidRPr="008452F1">
        <w:rPr>
          <w:rFonts w:ascii="Times New Roman" w:hAnsi="Times New Roman" w:cs="Times New Roman"/>
          <w:sz w:val="24"/>
          <w:szCs w:val="24"/>
        </w:rPr>
        <w:t xml:space="preserve"> o recorte espacial </w:t>
      </w:r>
      <w:r>
        <w:rPr>
          <w:rFonts w:ascii="Times New Roman" w:hAnsi="Times New Roman" w:cs="Times New Roman"/>
          <w:sz w:val="24"/>
          <w:szCs w:val="24"/>
        </w:rPr>
        <w:t>do que denominamos de Região de Influência de Teresina (RIT)</w:t>
      </w:r>
      <w:r w:rsidR="008452F1" w:rsidRPr="008452F1">
        <w:rPr>
          <w:rFonts w:ascii="Times New Roman" w:hAnsi="Times New Roman" w:cs="Times New Roman"/>
          <w:sz w:val="24"/>
          <w:szCs w:val="24"/>
        </w:rPr>
        <w:t>,</w:t>
      </w:r>
      <w:r>
        <w:rPr>
          <w:rFonts w:ascii="Times New Roman" w:hAnsi="Times New Roman" w:cs="Times New Roman"/>
          <w:sz w:val="24"/>
          <w:szCs w:val="24"/>
        </w:rPr>
        <w:t xml:space="preserve"> para podermos avaliar como se dá a sua dinâmica urbano-regional recente. </w:t>
      </w:r>
      <w:r>
        <w:rPr>
          <w:rFonts w:ascii="Times New Roman" w:hAnsi="Times New Roman" w:cs="Times New Roman"/>
          <w:sz w:val="24"/>
          <w:szCs w:val="24"/>
        </w:rPr>
        <w:lastRenderedPageBreak/>
        <w:t>Para tanto,</w:t>
      </w:r>
      <w:r w:rsidR="008452F1" w:rsidRPr="008452F1">
        <w:rPr>
          <w:rFonts w:ascii="Times New Roman" w:hAnsi="Times New Roman" w:cs="Times New Roman"/>
          <w:sz w:val="24"/>
          <w:szCs w:val="24"/>
        </w:rPr>
        <w:t xml:space="preserve"> </w:t>
      </w:r>
      <w:r>
        <w:rPr>
          <w:rFonts w:ascii="Times New Roman" w:hAnsi="Times New Roman" w:cs="Times New Roman"/>
          <w:sz w:val="24"/>
          <w:szCs w:val="24"/>
        </w:rPr>
        <w:t>fizemos a análise e discussão de</w:t>
      </w:r>
      <w:r w:rsidR="008452F1" w:rsidRPr="008452F1">
        <w:rPr>
          <w:rFonts w:ascii="Times New Roman" w:hAnsi="Times New Roman" w:cs="Times New Roman"/>
          <w:sz w:val="24"/>
          <w:szCs w:val="24"/>
        </w:rPr>
        <w:t xml:space="preserve"> dados relativos aos aspectos demográficos e econômicos</w:t>
      </w:r>
      <w:r>
        <w:rPr>
          <w:rFonts w:ascii="Times New Roman" w:hAnsi="Times New Roman" w:cs="Times New Roman"/>
          <w:sz w:val="24"/>
          <w:szCs w:val="24"/>
        </w:rPr>
        <w:t>, organizados segundo a hierarquia urbano-regional interna à RIT. Com isso, pudemos examinar</w:t>
      </w:r>
      <w:r w:rsidR="008452F1" w:rsidRPr="008452F1">
        <w:rPr>
          <w:rFonts w:ascii="Times New Roman" w:hAnsi="Times New Roman" w:cs="Times New Roman"/>
          <w:sz w:val="24"/>
          <w:szCs w:val="24"/>
        </w:rPr>
        <w:t xml:space="preserve"> o movimento de ganhos e perdas de centralidade das cidades </w:t>
      </w:r>
      <w:r>
        <w:rPr>
          <w:rFonts w:ascii="Times New Roman" w:hAnsi="Times New Roman" w:cs="Times New Roman"/>
          <w:sz w:val="24"/>
          <w:szCs w:val="24"/>
        </w:rPr>
        <w:t>piauienses e ter uma caracterização d</w:t>
      </w:r>
      <w:r w:rsidR="008452F1" w:rsidRPr="008452F1">
        <w:rPr>
          <w:rFonts w:ascii="Times New Roman" w:hAnsi="Times New Roman" w:cs="Times New Roman"/>
          <w:sz w:val="24"/>
          <w:szCs w:val="24"/>
        </w:rPr>
        <w:t xml:space="preserve">o perfil socioeconômico do sistema urbano </w:t>
      </w:r>
      <w:r>
        <w:rPr>
          <w:rFonts w:ascii="Times New Roman" w:hAnsi="Times New Roman" w:cs="Times New Roman"/>
          <w:sz w:val="24"/>
          <w:szCs w:val="24"/>
        </w:rPr>
        <w:t>do Piauí</w:t>
      </w:r>
      <w:r w:rsidR="008452F1" w:rsidRPr="008452F1">
        <w:rPr>
          <w:rFonts w:ascii="Times New Roman" w:hAnsi="Times New Roman" w:cs="Times New Roman"/>
          <w:sz w:val="24"/>
          <w:szCs w:val="24"/>
        </w:rPr>
        <w:t>.</w:t>
      </w:r>
    </w:p>
    <w:p w14:paraId="51107CFD" w14:textId="77777777" w:rsidR="0029284E" w:rsidRPr="006A7FED" w:rsidRDefault="0029284E" w:rsidP="00BA35A5">
      <w:pPr>
        <w:spacing w:after="0" w:line="360" w:lineRule="auto"/>
        <w:ind w:firstLine="851"/>
        <w:jc w:val="both"/>
        <w:rPr>
          <w:rFonts w:ascii="Times New Roman" w:hAnsi="Times New Roman" w:cs="Times New Roman"/>
          <w:sz w:val="24"/>
          <w:szCs w:val="24"/>
        </w:rPr>
      </w:pPr>
    </w:p>
    <w:p w14:paraId="7CC53DE6" w14:textId="03F2CE16" w:rsidR="004E666D" w:rsidRDefault="00D65EDA" w:rsidP="00317FC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DD246B">
        <w:rPr>
          <w:rFonts w:ascii="Times New Roman" w:hAnsi="Times New Roman" w:cs="Times New Roman"/>
          <w:b/>
          <w:bCs/>
          <w:sz w:val="24"/>
          <w:szCs w:val="24"/>
        </w:rPr>
        <w:t>REFERENCIAL TEÓRICO</w:t>
      </w:r>
    </w:p>
    <w:p w14:paraId="10F590C5" w14:textId="342FB382" w:rsidR="00CC0434" w:rsidRPr="005401AA" w:rsidRDefault="00F73F63"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O estudo</w:t>
      </w:r>
      <w:r w:rsidR="00DD246B" w:rsidRPr="005401AA">
        <w:rPr>
          <w:rFonts w:ascii="Times New Roman" w:hAnsi="Times New Roman" w:cs="Times New Roman"/>
          <w:sz w:val="24"/>
          <w:szCs w:val="24"/>
        </w:rPr>
        <w:t xml:space="preserve"> da rede urbana passa por </w:t>
      </w:r>
      <w:r w:rsidR="00623867" w:rsidRPr="005401AA">
        <w:rPr>
          <w:rFonts w:ascii="Times New Roman" w:hAnsi="Times New Roman" w:cs="Times New Roman"/>
          <w:sz w:val="24"/>
          <w:szCs w:val="24"/>
        </w:rPr>
        <w:t>entender</w:t>
      </w:r>
      <w:r w:rsidR="00DD246B" w:rsidRPr="005401AA">
        <w:rPr>
          <w:rFonts w:ascii="Times New Roman" w:hAnsi="Times New Roman" w:cs="Times New Roman"/>
          <w:sz w:val="24"/>
          <w:szCs w:val="24"/>
        </w:rPr>
        <w:t xml:space="preserve"> como as cidades estão estruturadas pelo território e se articulam espacialmente em diferentes níveis de hierarquia urbano-regional</w:t>
      </w:r>
      <w:r w:rsidRPr="005401AA">
        <w:rPr>
          <w:rFonts w:ascii="Times New Roman" w:hAnsi="Times New Roman" w:cs="Times New Roman"/>
          <w:sz w:val="24"/>
          <w:szCs w:val="24"/>
        </w:rPr>
        <w:t xml:space="preserve">. </w:t>
      </w:r>
      <w:r w:rsidR="00D06AD3" w:rsidRPr="005401AA">
        <w:rPr>
          <w:rFonts w:ascii="Times New Roman" w:hAnsi="Times New Roman" w:cs="Times New Roman"/>
          <w:sz w:val="24"/>
          <w:szCs w:val="24"/>
        </w:rPr>
        <w:t>Assim, a</w:t>
      </w:r>
      <w:r w:rsidR="00DD246B" w:rsidRPr="005401AA">
        <w:rPr>
          <w:rFonts w:ascii="Times New Roman" w:hAnsi="Times New Roman" w:cs="Times New Roman"/>
          <w:sz w:val="24"/>
          <w:szCs w:val="24"/>
        </w:rPr>
        <w:t xml:space="preserve"> configuração regional de um sistema de cidades tem relações com o movimento mais geral das transformações </w:t>
      </w:r>
      <w:r w:rsidR="00D06AD3" w:rsidRPr="005401AA">
        <w:rPr>
          <w:rFonts w:ascii="Times New Roman" w:hAnsi="Times New Roman" w:cs="Times New Roman"/>
          <w:sz w:val="24"/>
          <w:szCs w:val="24"/>
        </w:rPr>
        <w:t>econômicas e sociais</w:t>
      </w:r>
      <w:r w:rsidR="00DD246B" w:rsidRPr="005401AA">
        <w:rPr>
          <w:rFonts w:ascii="Times New Roman" w:hAnsi="Times New Roman" w:cs="Times New Roman"/>
          <w:sz w:val="24"/>
          <w:szCs w:val="24"/>
        </w:rPr>
        <w:t xml:space="preserve">. </w:t>
      </w:r>
      <w:r w:rsidR="00BE6E0A" w:rsidRPr="005401AA">
        <w:rPr>
          <w:rFonts w:ascii="Times New Roman" w:hAnsi="Times New Roman" w:cs="Times New Roman"/>
          <w:sz w:val="24"/>
          <w:szCs w:val="24"/>
        </w:rPr>
        <w:t>De acordo com Porto (2022), o</w:t>
      </w:r>
      <w:r w:rsidR="00DD246B" w:rsidRPr="005401AA">
        <w:rPr>
          <w:rFonts w:ascii="Times New Roman" w:hAnsi="Times New Roman" w:cs="Times New Roman"/>
          <w:sz w:val="24"/>
          <w:szCs w:val="24"/>
        </w:rPr>
        <w:t xml:space="preserve">s efeitos dessas transformações sobre a rede urbana decorrem de diferentes níveis de determinação – desde o global até os mais diretamente ligados às respectivas localidades, passando por mediações de outras escalas, </w:t>
      </w:r>
      <w:r w:rsidR="001B310E" w:rsidRPr="005401AA">
        <w:rPr>
          <w:rFonts w:ascii="Times New Roman" w:hAnsi="Times New Roman" w:cs="Times New Roman"/>
          <w:sz w:val="24"/>
          <w:szCs w:val="24"/>
        </w:rPr>
        <w:t>em especial a</w:t>
      </w:r>
      <w:r w:rsidR="00DD246B" w:rsidRPr="005401AA">
        <w:rPr>
          <w:rFonts w:ascii="Times New Roman" w:hAnsi="Times New Roman" w:cs="Times New Roman"/>
          <w:sz w:val="24"/>
          <w:szCs w:val="24"/>
        </w:rPr>
        <w:t xml:space="preserve"> escala nacional</w:t>
      </w:r>
      <w:r w:rsidR="00CC0434" w:rsidRPr="005401AA">
        <w:rPr>
          <w:rFonts w:ascii="Times New Roman" w:hAnsi="Times New Roman" w:cs="Times New Roman"/>
          <w:sz w:val="24"/>
          <w:szCs w:val="24"/>
        </w:rPr>
        <w:t xml:space="preserve"> (BRANDÃO, 2006)</w:t>
      </w:r>
      <w:r w:rsidR="00DD246B" w:rsidRPr="005401AA">
        <w:rPr>
          <w:rFonts w:ascii="Times New Roman" w:hAnsi="Times New Roman" w:cs="Times New Roman"/>
          <w:sz w:val="24"/>
          <w:szCs w:val="24"/>
        </w:rPr>
        <w:t>.</w:t>
      </w:r>
    </w:p>
    <w:p w14:paraId="53BFDC9F" w14:textId="5519BA14" w:rsidR="00C931DA" w:rsidRPr="005401AA" w:rsidRDefault="00B8081F"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Nesse sentido, a</w:t>
      </w:r>
      <w:r w:rsidR="00E41675" w:rsidRPr="005401AA">
        <w:rPr>
          <w:rFonts w:ascii="Times New Roman" w:hAnsi="Times New Roman" w:cs="Times New Roman"/>
          <w:sz w:val="24"/>
          <w:szCs w:val="24"/>
        </w:rPr>
        <w:t xml:space="preserve"> composição e a estrutura da rede de cidades que se organiza no interior d</w:t>
      </w:r>
      <w:r w:rsidRPr="005401AA">
        <w:rPr>
          <w:rFonts w:ascii="Times New Roman" w:hAnsi="Times New Roman" w:cs="Times New Roman"/>
          <w:sz w:val="24"/>
          <w:szCs w:val="24"/>
        </w:rPr>
        <w:t>e um país ou região</w:t>
      </w:r>
      <w:r w:rsidR="00492CC1" w:rsidRPr="005401AA">
        <w:rPr>
          <w:rFonts w:ascii="Times New Roman" w:hAnsi="Times New Roman" w:cs="Times New Roman"/>
          <w:sz w:val="24"/>
          <w:szCs w:val="24"/>
        </w:rPr>
        <w:t xml:space="preserve"> </w:t>
      </w:r>
      <w:r w:rsidR="009F7D42" w:rsidRPr="005401AA">
        <w:rPr>
          <w:rFonts w:ascii="Times New Roman" w:hAnsi="Times New Roman" w:cs="Times New Roman"/>
          <w:sz w:val="24"/>
          <w:szCs w:val="24"/>
        </w:rPr>
        <w:t>f</w:t>
      </w:r>
      <w:r w:rsidR="00841FAF" w:rsidRPr="005401AA">
        <w:rPr>
          <w:rFonts w:ascii="Times New Roman" w:hAnsi="Times New Roman" w:cs="Times New Roman"/>
          <w:sz w:val="24"/>
          <w:szCs w:val="24"/>
        </w:rPr>
        <w:t>ornece</w:t>
      </w:r>
      <w:r w:rsidR="00E41675" w:rsidRPr="005401AA">
        <w:rPr>
          <w:rFonts w:ascii="Times New Roman" w:hAnsi="Times New Roman" w:cs="Times New Roman"/>
          <w:sz w:val="24"/>
          <w:szCs w:val="24"/>
        </w:rPr>
        <w:t xml:space="preserve"> elementos </w:t>
      </w:r>
      <w:r w:rsidR="00492CC1" w:rsidRPr="005401AA">
        <w:rPr>
          <w:rFonts w:ascii="Times New Roman" w:hAnsi="Times New Roman" w:cs="Times New Roman"/>
          <w:sz w:val="24"/>
          <w:szCs w:val="24"/>
        </w:rPr>
        <w:t xml:space="preserve">relevantes </w:t>
      </w:r>
      <w:r w:rsidR="00E41675" w:rsidRPr="005401AA">
        <w:rPr>
          <w:rFonts w:ascii="Times New Roman" w:hAnsi="Times New Roman" w:cs="Times New Roman"/>
          <w:sz w:val="24"/>
          <w:szCs w:val="24"/>
        </w:rPr>
        <w:t>para compreendermos</w:t>
      </w:r>
      <w:r w:rsidR="00841FAF" w:rsidRPr="005401AA">
        <w:rPr>
          <w:rFonts w:ascii="Times New Roman" w:hAnsi="Times New Roman" w:cs="Times New Roman"/>
          <w:sz w:val="24"/>
          <w:szCs w:val="24"/>
        </w:rPr>
        <w:t xml:space="preserve"> </w:t>
      </w:r>
      <w:r w:rsidR="00BC65AB" w:rsidRPr="005401AA">
        <w:rPr>
          <w:rFonts w:ascii="Times New Roman" w:hAnsi="Times New Roman" w:cs="Times New Roman"/>
          <w:sz w:val="24"/>
          <w:szCs w:val="24"/>
        </w:rPr>
        <w:t xml:space="preserve">aspectos </w:t>
      </w:r>
      <w:r w:rsidR="00841FAF" w:rsidRPr="005401AA">
        <w:rPr>
          <w:rFonts w:ascii="Times New Roman" w:hAnsi="Times New Roman" w:cs="Times New Roman"/>
          <w:sz w:val="24"/>
          <w:szCs w:val="24"/>
        </w:rPr>
        <w:t xml:space="preserve">de </w:t>
      </w:r>
      <w:r w:rsidR="00E41675" w:rsidRPr="005401AA">
        <w:rPr>
          <w:rFonts w:ascii="Times New Roman" w:hAnsi="Times New Roman" w:cs="Times New Roman"/>
          <w:sz w:val="24"/>
          <w:szCs w:val="24"/>
        </w:rPr>
        <w:t xml:space="preserve">sua dinâmica demográfica recente e distribuição espacial da população. Com efeito, a rede urbana corresponde a uma espécie de </w:t>
      </w:r>
      <w:r w:rsidR="009F7D42" w:rsidRPr="005401AA">
        <w:rPr>
          <w:rFonts w:ascii="Times New Roman" w:hAnsi="Times New Roman" w:cs="Times New Roman"/>
          <w:sz w:val="24"/>
          <w:szCs w:val="24"/>
        </w:rPr>
        <w:t>“armadura</w:t>
      </w:r>
      <w:r w:rsidR="00E41675" w:rsidRPr="005401AA">
        <w:rPr>
          <w:rFonts w:ascii="Times New Roman" w:hAnsi="Times New Roman" w:cs="Times New Roman"/>
          <w:sz w:val="24"/>
          <w:szCs w:val="24"/>
        </w:rPr>
        <w:t xml:space="preserve"> </w:t>
      </w:r>
      <w:r w:rsidR="009F7D42" w:rsidRPr="005401AA">
        <w:rPr>
          <w:rFonts w:ascii="Times New Roman" w:hAnsi="Times New Roman" w:cs="Times New Roman"/>
          <w:sz w:val="24"/>
          <w:szCs w:val="24"/>
        </w:rPr>
        <w:t>socioespacial</w:t>
      </w:r>
      <w:r w:rsidR="00E41675" w:rsidRPr="005401AA">
        <w:rPr>
          <w:rFonts w:ascii="Times New Roman" w:hAnsi="Times New Roman" w:cs="Times New Roman"/>
          <w:sz w:val="24"/>
          <w:szCs w:val="24"/>
        </w:rPr>
        <w:t xml:space="preserve">” por onde se dá os principais fluxos sociodemográficos e socioeconômicos regionais </w:t>
      </w:r>
      <w:r w:rsidR="00574744" w:rsidRPr="005401AA">
        <w:rPr>
          <w:rFonts w:ascii="Times New Roman" w:hAnsi="Times New Roman" w:cs="Times New Roman"/>
          <w:sz w:val="24"/>
          <w:szCs w:val="24"/>
        </w:rPr>
        <w:t>(IPEA, IBGE e UNICAMP, 200</w:t>
      </w:r>
      <w:r w:rsidR="00841FAF" w:rsidRPr="005401AA">
        <w:rPr>
          <w:rFonts w:ascii="Times New Roman" w:hAnsi="Times New Roman" w:cs="Times New Roman"/>
          <w:sz w:val="24"/>
          <w:szCs w:val="24"/>
        </w:rPr>
        <w:t>1</w:t>
      </w:r>
      <w:r w:rsidR="00574744" w:rsidRPr="005401AA">
        <w:rPr>
          <w:rFonts w:ascii="Times New Roman" w:hAnsi="Times New Roman" w:cs="Times New Roman"/>
          <w:sz w:val="24"/>
          <w:szCs w:val="24"/>
        </w:rPr>
        <w:t>)</w:t>
      </w:r>
      <w:r w:rsidR="00E41675" w:rsidRPr="005401AA">
        <w:rPr>
          <w:rFonts w:ascii="Times New Roman" w:hAnsi="Times New Roman" w:cs="Times New Roman"/>
          <w:sz w:val="24"/>
          <w:szCs w:val="24"/>
        </w:rPr>
        <w:t xml:space="preserve">. É também a rede urbana que organiza espacialmente os municípios brasileiros </w:t>
      </w:r>
      <w:r w:rsidR="00574744" w:rsidRPr="005401AA">
        <w:rPr>
          <w:rFonts w:ascii="Times New Roman" w:hAnsi="Times New Roman" w:cs="Times New Roman"/>
          <w:sz w:val="24"/>
          <w:szCs w:val="24"/>
        </w:rPr>
        <w:t>(BRITO e PINHO, 2015)</w:t>
      </w:r>
      <w:r w:rsidR="00E41675" w:rsidRPr="005401AA">
        <w:rPr>
          <w:rFonts w:ascii="Times New Roman" w:hAnsi="Times New Roman" w:cs="Times New Roman"/>
          <w:sz w:val="24"/>
          <w:szCs w:val="24"/>
        </w:rPr>
        <w:t>.</w:t>
      </w:r>
    </w:p>
    <w:p w14:paraId="68396EEE" w14:textId="7591C3C9" w:rsidR="00C931DA" w:rsidRPr="005401AA" w:rsidRDefault="001E5F0F"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Segundo</w:t>
      </w:r>
      <w:r w:rsidR="00C931DA" w:rsidRPr="005401AA">
        <w:rPr>
          <w:rFonts w:ascii="Times New Roman" w:hAnsi="Times New Roman" w:cs="Times New Roman"/>
          <w:sz w:val="24"/>
          <w:szCs w:val="24"/>
        </w:rPr>
        <w:t xml:space="preserve"> o IBGE (2008; 2020), a rede urbana </w:t>
      </w:r>
      <w:r w:rsidR="00C5080A" w:rsidRPr="005401AA">
        <w:rPr>
          <w:rFonts w:ascii="Times New Roman" w:hAnsi="Times New Roman" w:cs="Times New Roman"/>
          <w:sz w:val="24"/>
          <w:szCs w:val="24"/>
        </w:rPr>
        <w:t>brasileira</w:t>
      </w:r>
      <w:r w:rsidR="00C931DA" w:rsidRPr="005401AA">
        <w:rPr>
          <w:rFonts w:ascii="Times New Roman" w:hAnsi="Times New Roman" w:cs="Times New Roman"/>
          <w:sz w:val="24"/>
          <w:szCs w:val="24"/>
        </w:rPr>
        <w:t xml:space="preserve"> tem caráter </w:t>
      </w:r>
      <w:proofErr w:type="spellStart"/>
      <w:r w:rsidR="00C931DA" w:rsidRPr="005401AA">
        <w:rPr>
          <w:rFonts w:ascii="Times New Roman" w:hAnsi="Times New Roman" w:cs="Times New Roman"/>
          <w:sz w:val="24"/>
          <w:szCs w:val="24"/>
        </w:rPr>
        <w:t>policêntrico</w:t>
      </w:r>
      <w:proofErr w:type="spellEnd"/>
      <w:r w:rsidR="00C931DA" w:rsidRPr="005401AA">
        <w:rPr>
          <w:rFonts w:ascii="Times New Roman" w:hAnsi="Times New Roman" w:cs="Times New Roman"/>
          <w:sz w:val="24"/>
          <w:szCs w:val="24"/>
        </w:rPr>
        <w:t xml:space="preserve"> e se organiza desde o nível das metrópoles – com destaque para São Paulo como a Grande Metrópole Nacional – até os pequenos centros locais, que não exercem influência sobre outras localidades. As cidades </w:t>
      </w:r>
      <w:r w:rsidR="00404163" w:rsidRPr="005401AA">
        <w:rPr>
          <w:rFonts w:ascii="Times New Roman" w:hAnsi="Times New Roman" w:cs="Times New Roman"/>
          <w:sz w:val="24"/>
          <w:szCs w:val="24"/>
        </w:rPr>
        <w:t>do</w:t>
      </w:r>
      <w:r w:rsidR="00C931DA" w:rsidRPr="005401AA">
        <w:rPr>
          <w:rFonts w:ascii="Times New Roman" w:hAnsi="Times New Roman" w:cs="Times New Roman"/>
          <w:sz w:val="24"/>
          <w:szCs w:val="24"/>
        </w:rPr>
        <w:t xml:space="preserve"> nível metropolitano são as maiores aglomerações urbanas do país e </w:t>
      </w:r>
      <w:r w:rsidR="00C5080A" w:rsidRPr="005401AA">
        <w:rPr>
          <w:rFonts w:ascii="Times New Roman" w:hAnsi="Times New Roman" w:cs="Times New Roman"/>
          <w:sz w:val="24"/>
          <w:szCs w:val="24"/>
        </w:rPr>
        <w:t>possuem</w:t>
      </w:r>
      <w:r w:rsidR="00C931DA" w:rsidRPr="005401AA">
        <w:rPr>
          <w:rFonts w:ascii="Times New Roman" w:hAnsi="Times New Roman" w:cs="Times New Roman"/>
          <w:sz w:val="24"/>
          <w:szCs w:val="24"/>
        </w:rPr>
        <w:t xml:space="preserve"> maior nível de complexidade e gestão sobre o território.</w:t>
      </w:r>
      <w:r w:rsidR="00A975E3" w:rsidRPr="005401AA">
        <w:rPr>
          <w:rFonts w:ascii="Times New Roman" w:hAnsi="Times New Roman" w:cs="Times New Roman"/>
          <w:sz w:val="24"/>
          <w:szCs w:val="24"/>
        </w:rPr>
        <w:t xml:space="preserve"> Possuem</w:t>
      </w:r>
      <w:r w:rsidR="00C931DA" w:rsidRPr="005401AA">
        <w:rPr>
          <w:rFonts w:ascii="Times New Roman" w:hAnsi="Times New Roman" w:cs="Times New Roman"/>
          <w:sz w:val="24"/>
          <w:szCs w:val="24"/>
        </w:rPr>
        <w:t xml:space="preserve"> mais fortes relacionamentos entre si e áreas de influência</w:t>
      </w:r>
      <w:r w:rsidR="00A975E3" w:rsidRPr="005401AA">
        <w:rPr>
          <w:rFonts w:ascii="Times New Roman" w:hAnsi="Times New Roman" w:cs="Times New Roman"/>
          <w:sz w:val="24"/>
          <w:szCs w:val="24"/>
        </w:rPr>
        <w:t xml:space="preserve"> mais extensas</w:t>
      </w:r>
      <w:r w:rsidR="00C931DA" w:rsidRPr="005401AA">
        <w:rPr>
          <w:rFonts w:ascii="Times New Roman" w:hAnsi="Times New Roman" w:cs="Times New Roman"/>
          <w:sz w:val="24"/>
          <w:szCs w:val="24"/>
        </w:rPr>
        <w:t xml:space="preserve"> (IBGE, 2020; 2008).</w:t>
      </w:r>
    </w:p>
    <w:p w14:paraId="304FD2DC" w14:textId="4D69AE72" w:rsidR="00C931DA" w:rsidRPr="005401AA" w:rsidRDefault="007224DA"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Em seguida</w:t>
      </w:r>
      <w:r w:rsidR="00C931DA" w:rsidRPr="005401AA">
        <w:rPr>
          <w:rFonts w:ascii="Times New Roman" w:hAnsi="Times New Roman" w:cs="Times New Roman"/>
          <w:sz w:val="24"/>
          <w:szCs w:val="24"/>
        </w:rPr>
        <w:t xml:space="preserve">, as Capitais Regionais se relacionam diretamente com as metrópoles, com capacidade de gestão em nível inferior ao dessas, e servem de destino para grande número de atividades por um conjunto numeroso de municípios, definindo a sua área de influência (IBGE, 2020; 2008). Por sua vez, os Centros Sub-regionais são núcleos urbanos de porte intermediário, </w:t>
      </w:r>
      <w:r w:rsidR="00C931DA" w:rsidRPr="005401AA">
        <w:rPr>
          <w:rFonts w:ascii="Times New Roman" w:hAnsi="Times New Roman" w:cs="Times New Roman"/>
          <w:sz w:val="24"/>
          <w:szCs w:val="24"/>
        </w:rPr>
        <w:lastRenderedPageBreak/>
        <w:t>mas que desempenham atividades de gestão menos complexa e áreas de influência pouco extensas</w:t>
      </w:r>
      <w:r w:rsidR="00B41EE1" w:rsidRPr="005401AA">
        <w:rPr>
          <w:rFonts w:ascii="Times New Roman" w:hAnsi="Times New Roman" w:cs="Times New Roman"/>
          <w:sz w:val="24"/>
          <w:szCs w:val="24"/>
        </w:rPr>
        <w:t xml:space="preserve">, </w:t>
      </w:r>
      <w:r w:rsidR="000F2F58" w:rsidRPr="005401AA">
        <w:rPr>
          <w:rFonts w:ascii="Times New Roman" w:hAnsi="Times New Roman" w:cs="Times New Roman"/>
          <w:sz w:val="24"/>
          <w:szCs w:val="24"/>
        </w:rPr>
        <w:t>comparadas às</w:t>
      </w:r>
      <w:r w:rsidR="00C931DA" w:rsidRPr="005401AA">
        <w:rPr>
          <w:rFonts w:ascii="Times New Roman" w:hAnsi="Times New Roman" w:cs="Times New Roman"/>
          <w:sz w:val="24"/>
          <w:szCs w:val="24"/>
        </w:rPr>
        <w:t xml:space="preserve"> anteriores.</w:t>
      </w:r>
    </w:p>
    <w:p w14:paraId="5217DEAF" w14:textId="25A07092" w:rsidR="00C931DA" w:rsidRPr="005401AA" w:rsidRDefault="00C931DA"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Seguindo o rol da hierarquia urbano-regional brasileira, no próximo nível estão os Centros de Zona e os Centros Locais. </w:t>
      </w:r>
      <w:r w:rsidR="00C866B9" w:rsidRPr="005401AA">
        <w:rPr>
          <w:rFonts w:ascii="Times New Roman" w:hAnsi="Times New Roman" w:cs="Times New Roman"/>
          <w:sz w:val="24"/>
          <w:szCs w:val="24"/>
        </w:rPr>
        <w:t>Esses</w:t>
      </w:r>
      <w:r w:rsidRPr="005401AA">
        <w:rPr>
          <w:rFonts w:ascii="Times New Roman" w:hAnsi="Times New Roman" w:cs="Times New Roman"/>
          <w:sz w:val="24"/>
          <w:szCs w:val="24"/>
        </w:rPr>
        <w:t xml:space="preserve"> dois grupos figuram entre os menores níveis de centralidade. </w:t>
      </w:r>
      <w:r w:rsidR="00127D3C" w:rsidRPr="005401AA">
        <w:rPr>
          <w:rFonts w:ascii="Times New Roman" w:hAnsi="Times New Roman" w:cs="Times New Roman"/>
          <w:sz w:val="24"/>
          <w:szCs w:val="24"/>
        </w:rPr>
        <w:t>O</w:t>
      </w:r>
      <w:r w:rsidRPr="005401AA">
        <w:rPr>
          <w:rFonts w:ascii="Times New Roman" w:hAnsi="Times New Roman" w:cs="Times New Roman"/>
          <w:sz w:val="24"/>
          <w:szCs w:val="24"/>
        </w:rPr>
        <w:t>s Centros de Zona são núcleos urbanos de menor porte e atuação restrita às suas áreas de influência imediatas. Isso não quer dizer, contudo, que não desempenhem funções regionais relevantes, sobretudo, nas diferentes áreas do interior da região Nordeste. De acordo com Porto e Miranda (2019), por exemplo, em decorrência da estrutura vertical da rede urbana nordestina, o relativo isolamento (ou distanciamento geográfico) dessas cidades com outros centros urbanos de maior porte faz com que elas assumam papéis e funções que não costumam ser assumidos por este nível hierárquico em outras partes do território nacional.</w:t>
      </w:r>
    </w:p>
    <w:p w14:paraId="15A42902" w14:textId="1730620F" w:rsidR="00E41675" w:rsidRPr="005401AA" w:rsidRDefault="00C931DA"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De acordo com o IBGE (2020; 2008), os C</w:t>
      </w:r>
      <w:r w:rsidR="0079621B" w:rsidRPr="005401AA">
        <w:rPr>
          <w:rFonts w:ascii="Times New Roman" w:hAnsi="Times New Roman" w:cs="Times New Roman"/>
          <w:sz w:val="24"/>
          <w:szCs w:val="24"/>
        </w:rPr>
        <w:t>entros Locais</w:t>
      </w:r>
      <w:r w:rsidRPr="005401AA">
        <w:rPr>
          <w:rFonts w:ascii="Times New Roman" w:hAnsi="Times New Roman" w:cs="Times New Roman"/>
          <w:sz w:val="24"/>
          <w:szCs w:val="24"/>
        </w:rPr>
        <w:t xml:space="preserve"> formam um conjunto numeroso de núcleos urbanos com centralidade e atuação que não extrapolam os limites municipais, com população bastante reduzida. Com isso, são cidades que não possuem outros municípios em sua área de influência, servindo apenas aos seus habitantes locais.</w:t>
      </w:r>
      <w:r w:rsidR="00E41675" w:rsidRPr="005401AA">
        <w:rPr>
          <w:rFonts w:ascii="Times New Roman" w:hAnsi="Times New Roman" w:cs="Times New Roman"/>
          <w:sz w:val="24"/>
          <w:szCs w:val="24"/>
        </w:rPr>
        <w:t xml:space="preserve"> </w:t>
      </w:r>
    </w:p>
    <w:p w14:paraId="55C5FD41" w14:textId="191D0B1E" w:rsidR="00E41675" w:rsidRPr="005401AA" w:rsidRDefault="0079621B"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Temos, então</w:t>
      </w:r>
      <w:r w:rsidR="00E41675" w:rsidRPr="005401AA">
        <w:rPr>
          <w:rFonts w:ascii="Times New Roman" w:hAnsi="Times New Roman" w:cs="Times New Roman"/>
          <w:sz w:val="24"/>
          <w:szCs w:val="24"/>
        </w:rPr>
        <w:t>,</w:t>
      </w:r>
      <w:r w:rsidRPr="005401AA">
        <w:rPr>
          <w:rFonts w:ascii="Times New Roman" w:hAnsi="Times New Roman" w:cs="Times New Roman"/>
          <w:sz w:val="24"/>
          <w:szCs w:val="24"/>
        </w:rPr>
        <w:t xml:space="preserve"> </w:t>
      </w:r>
      <w:r w:rsidR="009F7D42" w:rsidRPr="005401AA">
        <w:rPr>
          <w:rFonts w:ascii="Times New Roman" w:hAnsi="Times New Roman" w:cs="Times New Roman"/>
          <w:sz w:val="24"/>
          <w:szCs w:val="24"/>
        </w:rPr>
        <w:t>a rede urbana nos fornece</w:t>
      </w:r>
      <w:r w:rsidR="00281CF3" w:rsidRPr="005401AA">
        <w:rPr>
          <w:rFonts w:ascii="Times New Roman" w:hAnsi="Times New Roman" w:cs="Times New Roman"/>
          <w:sz w:val="24"/>
          <w:szCs w:val="24"/>
        </w:rPr>
        <w:t>ndo</w:t>
      </w:r>
      <w:r w:rsidR="00E41675" w:rsidRPr="005401AA">
        <w:rPr>
          <w:rFonts w:ascii="Times New Roman" w:hAnsi="Times New Roman" w:cs="Times New Roman"/>
          <w:sz w:val="24"/>
          <w:szCs w:val="24"/>
        </w:rPr>
        <w:t xml:space="preserve"> a hierarquia que é dada pel</w:t>
      </w:r>
      <w:r w:rsidR="00964DC4" w:rsidRPr="005401AA">
        <w:rPr>
          <w:rFonts w:ascii="Times New Roman" w:hAnsi="Times New Roman" w:cs="Times New Roman"/>
          <w:sz w:val="24"/>
          <w:szCs w:val="24"/>
        </w:rPr>
        <w:t>o nível de</w:t>
      </w:r>
      <w:r w:rsidR="00E41675" w:rsidRPr="005401AA">
        <w:rPr>
          <w:rFonts w:ascii="Times New Roman" w:hAnsi="Times New Roman" w:cs="Times New Roman"/>
          <w:sz w:val="24"/>
          <w:szCs w:val="24"/>
        </w:rPr>
        <w:t xml:space="preserve"> centralidade d</w:t>
      </w:r>
      <w:r w:rsidR="00964DC4" w:rsidRPr="005401AA">
        <w:rPr>
          <w:rFonts w:ascii="Times New Roman" w:hAnsi="Times New Roman" w:cs="Times New Roman"/>
          <w:sz w:val="24"/>
          <w:szCs w:val="24"/>
        </w:rPr>
        <w:t>as cidades</w:t>
      </w:r>
      <w:r w:rsidR="001D7E40" w:rsidRPr="005401AA">
        <w:rPr>
          <w:rFonts w:ascii="Times New Roman" w:hAnsi="Times New Roman" w:cs="Times New Roman"/>
          <w:sz w:val="24"/>
          <w:szCs w:val="24"/>
        </w:rPr>
        <w:t xml:space="preserve"> e</w:t>
      </w:r>
      <w:r w:rsidR="00E41675" w:rsidRPr="005401AA">
        <w:rPr>
          <w:rFonts w:ascii="Times New Roman" w:hAnsi="Times New Roman" w:cs="Times New Roman"/>
          <w:sz w:val="24"/>
          <w:szCs w:val="24"/>
        </w:rPr>
        <w:t xml:space="preserve">, </w:t>
      </w:r>
      <w:r w:rsidRPr="005401AA">
        <w:rPr>
          <w:rFonts w:ascii="Times New Roman" w:hAnsi="Times New Roman" w:cs="Times New Roman"/>
          <w:sz w:val="24"/>
          <w:szCs w:val="24"/>
        </w:rPr>
        <w:t>também</w:t>
      </w:r>
      <w:r w:rsidR="00E41675" w:rsidRPr="005401AA">
        <w:rPr>
          <w:rFonts w:ascii="Times New Roman" w:hAnsi="Times New Roman" w:cs="Times New Roman"/>
          <w:sz w:val="24"/>
          <w:szCs w:val="24"/>
        </w:rPr>
        <w:t xml:space="preserve">, </w:t>
      </w:r>
      <w:r w:rsidR="00A363CF" w:rsidRPr="005401AA">
        <w:rPr>
          <w:rFonts w:ascii="Times New Roman" w:hAnsi="Times New Roman" w:cs="Times New Roman"/>
          <w:sz w:val="24"/>
          <w:szCs w:val="24"/>
        </w:rPr>
        <w:t xml:space="preserve">as </w:t>
      </w:r>
      <w:r w:rsidR="00E41675" w:rsidRPr="005401AA">
        <w:rPr>
          <w:rFonts w:ascii="Times New Roman" w:hAnsi="Times New Roman" w:cs="Times New Roman"/>
          <w:sz w:val="24"/>
          <w:szCs w:val="24"/>
        </w:rPr>
        <w:t xml:space="preserve">relações que </w:t>
      </w:r>
      <w:r w:rsidRPr="005401AA">
        <w:rPr>
          <w:rFonts w:ascii="Times New Roman" w:hAnsi="Times New Roman" w:cs="Times New Roman"/>
          <w:sz w:val="24"/>
          <w:szCs w:val="24"/>
        </w:rPr>
        <w:t>esses</w:t>
      </w:r>
      <w:r w:rsidR="00E41675" w:rsidRPr="005401AA">
        <w:rPr>
          <w:rFonts w:ascii="Times New Roman" w:hAnsi="Times New Roman" w:cs="Times New Roman"/>
          <w:sz w:val="24"/>
          <w:szCs w:val="24"/>
        </w:rPr>
        <w:t xml:space="preserve"> núcleos estabelecem com as suas respectivas regiões de influência, dando um caráter territorial aos distintos processos espaciais. Isso exige que se observe como se dá a dinâmica urbano-regional (PORTO, 2022) nas diferentes porções do território. Por esses motivos, </w:t>
      </w:r>
      <w:r w:rsidR="009F7D42" w:rsidRPr="005401AA">
        <w:rPr>
          <w:rFonts w:ascii="Times New Roman" w:hAnsi="Times New Roman" w:cs="Times New Roman"/>
          <w:sz w:val="24"/>
          <w:szCs w:val="24"/>
        </w:rPr>
        <w:t>importa</w:t>
      </w:r>
      <w:r w:rsidR="00E41675" w:rsidRPr="005401AA">
        <w:rPr>
          <w:rFonts w:ascii="Times New Roman" w:hAnsi="Times New Roman" w:cs="Times New Roman"/>
          <w:sz w:val="24"/>
          <w:szCs w:val="24"/>
        </w:rPr>
        <w:t xml:space="preserve"> analisar algumas características da dinâmica </w:t>
      </w:r>
      <w:r w:rsidR="009F7D42" w:rsidRPr="005401AA">
        <w:rPr>
          <w:rFonts w:ascii="Times New Roman" w:hAnsi="Times New Roman" w:cs="Times New Roman"/>
          <w:sz w:val="24"/>
          <w:szCs w:val="24"/>
        </w:rPr>
        <w:t>econômico-espacial</w:t>
      </w:r>
      <w:r w:rsidR="00E41675" w:rsidRPr="005401AA">
        <w:rPr>
          <w:rFonts w:ascii="Times New Roman" w:hAnsi="Times New Roman" w:cs="Times New Roman"/>
          <w:sz w:val="24"/>
          <w:szCs w:val="24"/>
        </w:rPr>
        <w:t>, sob o prisma da sua rede de cidades e por distintas perspectivas territoriais.</w:t>
      </w:r>
    </w:p>
    <w:p w14:paraId="2791840D" w14:textId="1E006E58" w:rsidR="00E41675" w:rsidRPr="005401AA" w:rsidRDefault="009F7D42"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Ess</w:t>
      </w:r>
      <w:r w:rsidR="00E41675" w:rsidRPr="005401AA">
        <w:rPr>
          <w:rFonts w:ascii="Times New Roman" w:hAnsi="Times New Roman" w:cs="Times New Roman"/>
          <w:sz w:val="24"/>
          <w:szCs w:val="24"/>
        </w:rPr>
        <w:t>a investigação do desempenho econômico</w:t>
      </w:r>
      <w:r w:rsidRPr="005401AA">
        <w:rPr>
          <w:rFonts w:ascii="Times New Roman" w:hAnsi="Times New Roman" w:cs="Times New Roman"/>
          <w:sz w:val="24"/>
          <w:szCs w:val="24"/>
        </w:rPr>
        <w:t>-espacial</w:t>
      </w:r>
      <w:r w:rsidR="00E41675" w:rsidRPr="005401AA">
        <w:rPr>
          <w:rFonts w:ascii="Times New Roman" w:hAnsi="Times New Roman" w:cs="Times New Roman"/>
          <w:sz w:val="24"/>
          <w:szCs w:val="24"/>
        </w:rPr>
        <w:t xml:space="preserve"> visa caracterizar os elementos constitutivos da dinâmica urbano-regional </w:t>
      </w:r>
      <w:r w:rsidRPr="005401AA">
        <w:rPr>
          <w:rFonts w:ascii="Times New Roman" w:hAnsi="Times New Roman" w:cs="Times New Roman"/>
          <w:sz w:val="24"/>
          <w:szCs w:val="24"/>
        </w:rPr>
        <w:t>(PORTO, 2022)</w:t>
      </w:r>
      <w:r w:rsidR="00E41675" w:rsidRPr="005401AA">
        <w:rPr>
          <w:rFonts w:ascii="Times New Roman" w:hAnsi="Times New Roman" w:cs="Times New Roman"/>
          <w:sz w:val="24"/>
          <w:szCs w:val="24"/>
        </w:rPr>
        <w:t xml:space="preserve">. Desse modo, por um lado, temos o avanço de um processo de urbanização e de transformação de suas redes de cidades e, por outro, </w:t>
      </w:r>
      <w:r w:rsidRPr="005401AA">
        <w:rPr>
          <w:rFonts w:ascii="Times New Roman" w:hAnsi="Times New Roman" w:cs="Times New Roman"/>
          <w:sz w:val="24"/>
          <w:szCs w:val="24"/>
        </w:rPr>
        <w:t>um</w:t>
      </w:r>
      <w:r w:rsidR="00E41675" w:rsidRPr="005401AA">
        <w:rPr>
          <w:rFonts w:ascii="Times New Roman" w:hAnsi="Times New Roman" w:cs="Times New Roman"/>
          <w:sz w:val="24"/>
          <w:szCs w:val="24"/>
        </w:rPr>
        <w:t xml:space="preserve"> conjunto </w:t>
      </w:r>
      <w:r w:rsidRPr="005401AA">
        <w:rPr>
          <w:rFonts w:ascii="Times New Roman" w:hAnsi="Times New Roman" w:cs="Times New Roman"/>
          <w:sz w:val="24"/>
          <w:szCs w:val="24"/>
        </w:rPr>
        <w:t xml:space="preserve">amplo </w:t>
      </w:r>
      <w:r w:rsidR="00E41675" w:rsidRPr="005401AA">
        <w:rPr>
          <w:rFonts w:ascii="Times New Roman" w:hAnsi="Times New Roman" w:cs="Times New Roman"/>
          <w:sz w:val="24"/>
          <w:szCs w:val="24"/>
        </w:rPr>
        <w:t>de determinações que passa a afetar a dinâmica regional com desdobramentos sobre o território.</w:t>
      </w:r>
    </w:p>
    <w:p w14:paraId="1483AD9C" w14:textId="44010127" w:rsidR="00E41675" w:rsidRPr="005401AA" w:rsidRDefault="00E41675"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De acordo com Porto (2022, p. 1), “a dinâmica urbano-regional reflete a forma pela qual as diferentes relações socioeconômicas influenciam o arranjo espacial da sociedade, num certo período de longa duração”. Isso significa que vão se constituindo diferentes padrões espaciais </w:t>
      </w:r>
      <w:r w:rsidRPr="005401AA">
        <w:rPr>
          <w:rFonts w:ascii="Times New Roman" w:hAnsi="Times New Roman" w:cs="Times New Roman"/>
          <w:sz w:val="24"/>
          <w:szCs w:val="24"/>
        </w:rPr>
        <w:lastRenderedPageBreak/>
        <w:t xml:space="preserve">decorrentes das articulações do território com as transformações econômicas que ocorrem em nível internacional, nacional e regional ou local. </w:t>
      </w:r>
      <w:r w:rsidR="002D1E26" w:rsidRPr="005401AA">
        <w:rPr>
          <w:rFonts w:ascii="Times New Roman" w:hAnsi="Times New Roman" w:cs="Times New Roman"/>
          <w:sz w:val="24"/>
          <w:szCs w:val="24"/>
        </w:rPr>
        <w:t>N</w:t>
      </w:r>
      <w:r w:rsidRPr="005401AA">
        <w:rPr>
          <w:rFonts w:ascii="Times New Roman" w:hAnsi="Times New Roman" w:cs="Times New Roman"/>
          <w:sz w:val="24"/>
          <w:szCs w:val="24"/>
        </w:rPr>
        <w:t>esse sentido, a dinâmica urbano-regional expressa a maneira como os diferentes espaços econômicos do território se integram entre si e com o restante da economia (nacional e mundial).</w:t>
      </w:r>
    </w:p>
    <w:p w14:paraId="1AA7E6B5" w14:textId="03B0E933" w:rsidR="00E41675" w:rsidRPr="005401AA" w:rsidRDefault="00E41675"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Para a discussão e compreensão de como se dá essa dinâmica, </w:t>
      </w:r>
      <w:r w:rsidR="009F7D42" w:rsidRPr="005401AA">
        <w:rPr>
          <w:rFonts w:ascii="Times New Roman" w:hAnsi="Times New Roman" w:cs="Times New Roman"/>
          <w:sz w:val="24"/>
          <w:szCs w:val="24"/>
        </w:rPr>
        <w:t>é preciso avaliar</w:t>
      </w:r>
      <w:r w:rsidRPr="005401AA">
        <w:rPr>
          <w:rFonts w:ascii="Times New Roman" w:hAnsi="Times New Roman" w:cs="Times New Roman"/>
          <w:sz w:val="24"/>
          <w:szCs w:val="24"/>
        </w:rPr>
        <w:t xml:space="preserve"> como tem evoluído o seu nível de atividade econômica e sua composição segundo os grandes setores da economia. Com isso, </w:t>
      </w:r>
      <w:r w:rsidR="00E342A9" w:rsidRPr="005401AA">
        <w:rPr>
          <w:rFonts w:ascii="Times New Roman" w:hAnsi="Times New Roman" w:cs="Times New Roman"/>
          <w:sz w:val="24"/>
          <w:szCs w:val="24"/>
        </w:rPr>
        <w:t>é possível identificar</w:t>
      </w:r>
      <w:r w:rsidRPr="005401AA">
        <w:rPr>
          <w:rFonts w:ascii="Times New Roman" w:hAnsi="Times New Roman" w:cs="Times New Roman"/>
          <w:sz w:val="24"/>
          <w:szCs w:val="24"/>
        </w:rPr>
        <w:t xml:space="preserve"> aspectos </w:t>
      </w:r>
      <w:r w:rsidR="00126F78" w:rsidRPr="005401AA">
        <w:rPr>
          <w:rFonts w:ascii="Times New Roman" w:hAnsi="Times New Roman" w:cs="Times New Roman"/>
          <w:sz w:val="24"/>
          <w:szCs w:val="24"/>
        </w:rPr>
        <w:t>d</w:t>
      </w:r>
      <w:r w:rsidRPr="005401AA">
        <w:rPr>
          <w:rFonts w:ascii="Times New Roman" w:hAnsi="Times New Roman" w:cs="Times New Roman"/>
          <w:sz w:val="24"/>
          <w:szCs w:val="24"/>
        </w:rPr>
        <w:t>a sua hierarquia urbano-regional e, principalmente, de sua trajetória recente de crescimento econômico e desenvolvimento social.</w:t>
      </w:r>
    </w:p>
    <w:p w14:paraId="34EEF25D" w14:textId="13271A3D" w:rsidR="008B5C06" w:rsidRPr="005401AA" w:rsidRDefault="00C80FF0"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Porém, o</w:t>
      </w:r>
      <w:r w:rsidR="008B5C06" w:rsidRPr="005401AA">
        <w:rPr>
          <w:rFonts w:ascii="Times New Roman" w:hAnsi="Times New Roman" w:cs="Times New Roman"/>
          <w:sz w:val="24"/>
          <w:szCs w:val="24"/>
        </w:rPr>
        <w:t xml:space="preserve"> desempenho econômico e social de um ente subnacional depende de um conjunto muito amplo de determinações. Esse é o caso do Estado do Piauí, cuja estrutura produtiva está inserida e integrada a uma economia nacional de grande porte articulada com todo o sistema econômico mundial. Em face disso, as múltiplas determinações econômico-espaciais da economia nacional terão os seus reflexos sobre a estrutura produtiva regional e, por conseguinte, estadual.</w:t>
      </w:r>
    </w:p>
    <w:p w14:paraId="2758F74C" w14:textId="3538690B" w:rsidR="00CD2554" w:rsidRPr="005401AA" w:rsidRDefault="00CD2554" w:rsidP="005401AA">
      <w:pPr>
        <w:tabs>
          <w:tab w:val="left" w:pos="5245"/>
        </w:tabs>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Em termos teóricos, estamos afirmando que o processo de desenvolvimento está relacionado e subordinado no espaço em diversas escalas com diferentes níveis de determinação e isso implica em estabelecer as articulações existentes entre eles (EGLER, 1991). Com efeito, a economia capitalista contemporânea alcançou grau tão elevado de complexidade que é preciso recompor seus principais elementos constitutivos para se compreender como esses elementos se inter-relacionam e se manifestam nos diferentes espaços regionais</w:t>
      </w:r>
      <w:r w:rsidR="00305D67" w:rsidRPr="005401AA">
        <w:rPr>
          <w:rFonts w:ascii="Times New Roman" w:hAnsi="Times New Roman" w:cs="Times New Roman"/>
          <w:sz w:val="24"/>
          <w:szCs w:val="24"/>
        </w:rPr>
        <w:t xml:space="preserve"> (CANO, 2012)</w:t>
      </w:r>
      <w:r w:rsidRPr="005401AA">
        <w:rPr>
          <w:rFonts w:ascii="Times New Roman" w:hAnsi="Times New Roman" w:cs="Times New Roman"/>
          <w:sz w:val="24"/>
          <w:szCs w:val="24"/>
        </w:rPr>
        <w:t>.</w:t>
      </w:r>
    </w:p>
    <w:p w14:paraId="00D50582" w14:textId="058E0226" w:rsidR="00C83638" w:rsidRPr="005401AA" w:rsidRDefault="00C83638"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No que diz respeito às transformações estruturais do sistema econômico mundial, </w:t>
      </w:r>
      <w:proofErr w:type="spellStart"/>
      <w:r w:rsidRPr="005401AA">
        <w:rPr>
          <w:rFonts w:ascii="Times New Roman" w:hAnsi="Times New Roman" w:cs="Times New Roman"/>
          <w:sz w:val="24"/>
          <w:szCs w:val="24"/>
        </w:rPr>
        <w:t>Serfati</w:t>
      </w:r>
      <w:proofErr w:type="spellEnd"/>
      <w:r w:rsidRPr="005401AA">
        <w:rPr>
          <w:rFonts w:ascii="Times New Roman" w:hAnsi="Times New Roman" w:cs="Times New Roman"/>
          <w:sz w:val="24"/>
          <w:szCs w:val="24"/>
        </w:rPr>
        <w:t xml:space="preserve"> (2011) identificou maior e mais forte inter-relação entre o setor produtivo e as finanças</w:t>
      </w:r>
      <w:r w:rsidR="00C35303" w:rsidRPr="005401AA">
        <w:rPr>
          <w:rFonts w:ascii="Times New Roman" w:hAnsi="Times New Roman" w:cs="Times New Roman"/>
          <w:sz w:val="24"/>
          <w:szCs w:val="24"/>
        </w:rPr>
        <w:t xml:space="preserve">, com </w:t>
      </w:r>
      <w:r w:rsidRPr="005401AA">
        <w:rPr>
          <w:rFonts w:ascii="Times New Roman" w:hAnsi="Times New Roman" w:cs="Times New Roman"/>
          <w:sz w:val="24"/>
          <w:szCs w:val="24"/>
        </w:rPr>
        <w:t>as grandes corporações transnacionais assumi</w:t>
      </w:r>
      <w:r w:rsidR="00C35303" w:rsidRPr="005401AA">
        <w:rPr>
          <w:rFonts w:ascii="Times New Roman" w:hAnsi="Times New Roman" w:cs="Times New Roman"/>
          <w:sz w:val="24"/>
          <w:szCs w:val="24"/>
        </w:rPr>
        <w:t>ndo</w:t>
      </w:r>
      <w:r w:rsidRPr="005401AA">
        <w:rPr>
          <w:rFonts w:ascii="Times New Roman" w:hAnsi="Times New Roman" w:cs="Times New Roman"/>
          <w:sz w:val="24"/>
          <w:szCs w:val="24"/>
        </w:rPr>
        <w:t xml:space="preserve"> papéis de comando e de centralização dos ativos financeiros. </w:t>
      </w:r>
      <w:r w:rsidR="004956FA" w:rsidRPr="005401AA">
        <w:rPr>
          <w:rFonts w:ascii="Times New Roman" w:hAnsi="Times New Roman" w:cs="Times New Roman"/>
          <w:sz w:val="24"/>
          <w:szCs w:val="24"/>
        </w:rPr>
        <w:t>S</w:t>
      </w:r>
      <w:r w:rsidRPr="005401AA">
        <w:rPr>
          <w:rFonts w:ascii="Times New Roman" w:hAnsi="Times New Roman" w:cs="Times New Roman"/>
          <w:sz w:val="24"/>
          <w:szCs w:val="24"/>
        </w:rPr>
        <w:t>ão essas corporações que estão à frente dos processos globais de valorização – e/ou das chamadas cadeias globais de valor (CGV).</w:t>
      </w:r>
    </w:p>
    <w:p w14:paraId="6C8AC025" w14:textId="1AFCDC99" w:rsidR="003E74EE" w:rsidRPr="005401AA" w:rsidRDefault="00583CB2" w:rsidP="005401A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C83638" w:rsidRPr="005401AA">
        <w:rPr>
          <w:rFonts w:ascii="Times New Roman" w:hAnsi="Times New Roman" w:cs="Times New Roman"/>
          <w:sz w:val="24"/>
          <w:szCs w:val="24"/>
        </w:rPr>
        <w:t xml:space="preserve"> maior dominância das finanças </w:t>
      </w:r>
      <w:r w:rsidR="003B57D1" w:rsidRPr="005401AA">
        <w:rPr>
          <w:rFonts w:ascii="Times New Roman" w:hAnsi="Times New Roman" w:cs="Times New Roman"/>
          <w:sz w:val="24"/>
          <w:szCs w:val="24"/>
        </w:rPr>
        <w:t xml:space="preserve">também </w:t>
      </w:r>
      <w:r w:rsidR="00C83638" w:rsidRPr="005401AA">
        <w:rPr>
          <w:rFonts w:ascii="Times New Roman" w:hAnsi="Times New Roman" w:cs="Times New Roman"/>
          <w:sz w:val="24"/>
          <w:szCs w:val="24"/>
        </w:rPr>
        <w:t>repercut</w:t>
      </w:r>
      <w:r>
        <w:rPr>
          <w:rFonts w:ascii="Times New Roman" w:hAnsi="Times New Roman" w:cs="Times New Roman"/>
          <w:sz w:val="24"/>
          <w:szCs w:val="24"/>
        </w:rPr>
        <w:t>iu</w:t>
      </w:r>
      <w:r w:rsidR="00C83638" w:rsidRPr="005401AA">
        <w:rPr>
          <w:rFonts w:ascii="Times New Roman" w:hAnsi="Times New Roman" w:cs="Times New Roman"/>
          <w:sz w:val="24"/>
          <w:szCs w:val="24"/>
        </w:rPr>
        <w:t xml:space="preserve"> na emergência de um novo padrão sistêmico de riqueza (BRAGA et al, 2021). Existe agora um profundo entrelaçamento global entre bancos, indústrias transnacionais, corporações de serviços e os grandes rentistas que operam no circuito financeiro internacional.</w:t>
      </w:r>
      <w:r w:rsidR="003B57D1" w:rsidRPr="005401AA">
        <w:rPr>
          <w:rFonts w:ascii="Times New Roman" w:hAnsi="Times New Roman" w:cs="Times New Roman"/>
          <w:sz w:val="24"/>
          <w:szCs w:val="24"/>
        </w:rPr>
        <w:t xml:space="preserve"> E</w:t>
      </w:r>
      <w:r w:rsidR="003E74EE" w:rsidRPr="005401AA">
        <w:rPr>
          <w:rFonts w:ascii="Times New Roman" w:hAnsi="Times New Roman" w:cs="Times New Roman"/>
          <w:sz w:val="24"/>
          <w:szCs w:val="24"/>
        </w:rPr>
        <w:t xml:space="preserve">ssa expansão da riqueza financeira mundial </w:t>
      </w:r>
      <w:r w:rsidR="003E74EE" w:rsidRPr="005401AA">
        <w:rPr>
          <w:rFonts w:ascii="Times New Roman" w:hAnsi="Times New Roman" w:cs="Times New Roman"/>
          <w:sz w:val="24"/>
          <w:szCs w:val="24"/>
        </w:rPr>
        <w:lastRenderedPageBreak/>
        <w:t>contrastou com a queda das taxas médias de crescimento das principais economias capitalistas. Verificou-se o deslocamento geográfico da produção</w:t>
      </w:r>
      <w:r w:rsidR="00D45963">
        <w:rPr>
          <w:rFonts w:ascii="Times New Roman" w:hAnsi="Times New Roman" w:cs="Times New Roman"/>
          <w:sz w:val="24"/>
          <w:szCs w:val="24"/>
        </w:rPr>
        <w:t xml:space="preserve"> </w:t>
      </w:r>
      <w:r w:rsidR="003E74EE" w:rsidRPr="005401AA">
        <w:rPr>
          <w:rFonts w:ascii="Times New Roman" w:hAnsi="Times New Roman" w:cs="Times New Roman"/>
          <w:sz w:val="24"/>
          <w:szCs w:val="24"/>
        </w:rPr>
        <w:t>em direção ao leste e sudeste asiáticos, bem como o maior processo de reestruturação e integração global das estruturas produtivas.</w:t>
      </w:r>
    </w:p>
    <w:p w14:paraId="4068156E" w14:textId="33D50164" w:rsidR="003E74EE" w:rsidRPr="005401AA" w:rsidRDefault="00E0306D" w:rsidP="005401A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w:t>
      </w:r>
      <w:r w:rsidR="003E74EE" w:rsidRPr="005401AA">
        <w:rPr>
          <w:rFonts w:ascii="Times New Roman" w:hAnsi="Times New Roman" w:cs="Times New Roman"/>
          <w:sz w:val="24"/>
          <w:szCs w:val="24"/>
        </w:rPr>
        <w:t xml:space="preserve"> deslocamento geográfico da produção e o processo de fragmentação produtiva são os dois traços mais característicos do processo de globalização produtiva</w:t>
      </w:r>
      <w:r w:rsidR="009F1E06" w:rsidRPr="005401AA">
        <w:rPr>
          <w:rFonts w:ascii="Times New Roman" w:hAnsi="Times New Roman" w:cs="Times New Roman"/>
          <w:sz w:val="24"/>
          <w:szCs w:val="24"/>
        </w:rPr>
        <w:t xml:space="preserve"> (GONÇALVES, 1998)</w:t>
      </w:r>
      <w:r w:rsidR="003E74EE" w:rsidRPr="005401AA">
        <w:rPr>
          <w:rFonts w:ascii="Times New Roman" w:hAnsi="Times New Roman" w:cs="Times New Roman"/>
          <w:sz w:val="24"/>
          <w:szCs w:val="24"/>
        </w:rPr>
        <w:t xml:space="preserve">. </w:t>
      </w:r>
      <w:r w:rsidR="009F1E06" w:rsidRPr="005401AA">
        <w:rPr>
          <w:rFonts w:ascii="Times New Roman" w:hAnsi="Times New Roman" w:cs="Times New Roman"/>
          <w:sz w:val="24"/>
          <w:szCs w:val="24"/>
        </w:rPr>
        <w:t>A</w:t>
      </w:r>
      <w:r w:rsidR="003E74EE" w:rsidRPr="005401AA">
        <w:rPr>
          <w:rFonts w:ascii="Times New Roman" w:hAnsi="Times New Roman" w:cs="Times New Roman"/>
          <w:sz w:val="24"/>
          <w:szCs w:val="24"/>
        </w:rPr>
        <w:t xml:space="preserve"> globalização é um processo crescente de interdependência dos sistemas econômicos nacionais, no âmbito produtivo, comercial e financeiro, aprofundando as relações econômicas internacionais e modificando a escala dessas relações.</w:t>
      </w:r>
      <w:r w:rsidR="00DC2ED1" w:rsidRPr="005401AA">
        <w:rPr>
          <w:rFonts w:ascii="Times New Roman" w:hAnsi="Times New Roman" w:cs="Times New Roman"/>
          <w:sz w:val="24"/>
          <w:szCs w:val="24"/>
        </w:rPr>
        <w:t xml:space="preserve"> </w:t>
      </w:r>
      <w:r w:rsidR="003E74EE" w:rsidRPr="005401AA">
        <w:rPr>
          <w:rFonts w:ascii="Times New Roman" w:hAnsi="Times New Roman" w:cs="Times New Roman"/>
          <w:sz w:val="24"/>
          <w:szCs w:val="24"/>
        </w:rPr>
        <w:t xml:space="preserve">De acordo com Gonçalves (1998), a globalização produtiva envolve a interrelação entre os processos de internacionalização da produção e de integração entre as estruturas produtivas nacionais. </w:t>
      </w:r>
      <w:r w:rsidR="00510174">
        <w:rPr>
          <w:rFonts w:ascii="Times New Roman" w:hAnsi="Times New Roman" w:cs="Times New Roman"/>
          <w:sz w:val="24"/>
          <w:szCs w:val="24"/>
        </w:rPr>
        <w:t>Isso s</w:t>
      </w:r>
      <w:r w:rsidR="003E74EE" w:rsidRPr="005401AA">
        <w:rPr>
          <w:rFonts w:ascii="Times New Roman" w:hAnsi="Times New Roman" w:cs="Times New Roman"/>
          <w:sz w:val="24"/>
          <w:szCs w:val="24"/>
        </w:rPr>
        <w:t>ignificou um novo padrão de crescimento industrial e de concorrência intercapitalista no âmbito mundial, que se aprofunda neste início de século XXI, sobretudo, após a crise financeira internacional, em 2008.</w:t>
      </w:r>
    </w:p>
    <w:p w14:paraId="02725B63" w14:textId="2F5883A6" w:rsidR="00E80CAE" w:rsidRPr="005401AA" w:rsidRDefault="00E80CAE" w:rsidP="005401AA">
      <w:pPr>
        <w:pStyle w:val="PargrafodaLista"/>
        <w:spacing w:after="0" w:line="360" w:lineRule="auto"/>
        <w:ind w:left="0" w:firstLine="709"/>
        <w:contextualSpacing w:val="0"/>
        <w:jc w:val="both"/>
        <w:rPr>
          <w:rFonts w:ascii="Times New Roman" w:hAnsi="Times New Roman" w:cs="Times New Roman"/>
          <w:sz w:val="24"/>
          <w:szCs w:val="24"/>
        </w:rPr>
      </w:pPr>
      <w:r w:rsidRPr="005401AA">
        <w:rPr>
          <w:rFonts w:ascii="Times New Roman" w:hAnsi="Times New Roman" w:cs="Times New Roman"/>
          <w:sz w:val="24"/>
          <w:szCs w:val="24"/>
        </w:rPr>
        <w:t xml:space="preserve">Em resumo, a organização da atividade produtiva passou a ser cada vez mais planejada em escala multinacional e sob influência das grandes corporações, o que reduziu o poder de influência e de negociação de agentes que operam exclusivamente em âmbito nacional (FURTADO, 1998). </w:t>
      </w:r>
    </w:p>
    <w:p w14:paraId="355CCA3A" w14:textId="34E535DF" w:rsidR="00436165" w:rsidRPr="005401AA" w:rsidRDefault="00436165" w:rsidP="005401AA">
      <w:pPr>
        <w:pStyle w:val="PargrafodaLista"/>
        <w:spacing w:after="0" w:line="360" w:lineRule="auto"/>
        <w:ind w:left="0" w:firstLine="709"/>
        <w:contextualSpacing w:val="0"/>
        <w:jc w:val="both"/>
        <w:rPr>
          <w:rFonts w:ascii="Times New Roman" w:hAnsi="Times New Roman" w:cs="Times New Roman"/>
          <w:sz w:val="24"/>
          <w:szCs w:val="24"/>
        </w:rPr>
      </w:pPr>
      <w:r w:rsidRPr="005401AA">
        <w:rPr>
          <w:rFonts w:ascii="Times New Roman" w:hAnsi="Times New Roman" w:cs="Times New Roman"/>
          <w:sz w:val="24"/>
          <w:szCs w:val="24"/>
        </w:rPr>
        <w:t xml:space="preserve">Em meio a esse movimento, o início do século XXI ficou marcado pela expansão da demanda por produtos primários, movidos pelo denominado “efeito China”. </w:t>
      </w:r>
      <w:r w:rsidR="00205C3F">
        <w:rPr>
          <w:rFonts w:ascii="Times New Roman" w:hAnsi="Times New Roman" w:cs="Times New Roman"/>
          <w:sz w:val="24"/>
          <w:szCs w:val="24"/>
        </w:rPr>
        <w:t>Sobre isso</w:t>
      </w:r>
      <w:r w:rsidRPr="005401AA">
        <w:rPr>
          <w:rFonts w:ascii="Times New Roman" w:hAnsi="Times New Roman" w:cs="Times New Roman"/>
          <w:sz w:val="24"/>
          <w:szCs w:val="24"/>
        </w:rPr>
        <w:t xml:space="preserve">, o processo de integração e crescimento econômico asiático – com a ascensão da China – </w:t>
      </w:r>
      <w:r w:rsidR="00205C3F">
        <w:rPr>
          <w:rFonts w:ascii="Times New Roman" w:hAnsi="Times New Roman" w:cs="Times New Roman"/>
          <w:sz w:val="24"/>
          <w:szCs w:val="24"/>
        </w:rPr>
        <w:t>são</w:t>
      </w:r>
      <w:r w:rsidRPr="005401AA">
        <w:rPr>
          <w:rFonts w:ascii="Times New Roman" w:hAnsi="Times New Roman" w:cs="Times New Roman"/>
          <w:sz w:val="24"/>
          <w:szCs w:val="24"/>
        </w:rPr>
        <w:t xml:space="preserve"> elementos relevantes para entender essa nova dinâmica econômica mundial. De acordo com Werner (2020, p. 146), a própria compreensão das dinâmicas regionais brasileiras, em face às mudanças do capitalismo global, envolve o “entendimento do papel da economia chinesa enquanto agente dominante no processo de acumulação e organização dos territórios”.</w:t>
      </w:r>
    </w:p>
    <w:p w14:paraId="6A5E68F3" w14:textId="792D5A40" w:rsidR="00507277" w:rsidRPr="005401AA" w:rsidRDefault="006931FF" w:rsidP="005401AA">
      <w:pPr>
        <w:pStyle w:val="PargrafodaLista"/>
        <w:spacing w:after="0" w:line="36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Verificou-se</w:t>
      </w:r>
      <w:r w:rsidR="007062E9">
        <w:rPr>
          <w:rFonts w:ascii="Times New Roman" w:hAnsi="Times New Roman" w:cs="Times New Roman"/>
          <w:sz w:val="24"/>
          <w:szCs w:val="24"/>
        </w:rPr>
        <w:t xml:space="preserve"> um</w:t>
      </w:r>
      <w:r w:rsidR="00507277" w:rsidRPr="005401AA">
        <w:rPr>
          <w:rFonts w:ascii="Times New Roman" w:hAnsi="Times New Roman" w:cs="Times New Roman"/>
          <w:sz w:val="24"/>
          <w:szCs w:val="24"/>
        </w:rPr>
        <w:t xml:space="preserve"> reordenamento de grande envergadura da economia mundial, provocando o reposicionamento estratégico das empresas estadunidenses e da União Europeia com relação </w:t>
      </w:r>
      <w:r w:rsidR="007062E9">
        <w:rPr>
          <w:rFonts w:ascii="Times New Roman" w:hAnsi="Times New Roman" w:cs="Times New Roman"/>
          <w:sz w:val="24"/>
          <w:szCs w:val="24"/>
        </w:rPr>
        <w:t>à Ásia</w:t>
      </w:r>
      <w:r w:rsidR="00507277" w:rsidRPr="005401AA">
        <w:rPr>
          <w:rFonts w:ascii="Times New Roman" w:hAnsi="Times New Roman" w:cs="Times New Roman"/>
          <w:sz w:val="24"/>
          <w:szCs w:val="24"/>
        </w:rPr>
        <w:t xml:space="preserve">. </w:t>
      </w:r>
      <w:r>
        <w:rPr>
          <w:rFonts w:ascii="Times New Roman" w:hAnsi="Times New Roman" w:cs="Times New Roman"/>
          <w:sz w:val="24"/>
          <w:szCs w:val="24"/>
        </w:rPr>
        <w:t>Já</w:t>
      </w:r>
      <w:r w:rsidR="00507277" w:rsidRPr="005401AA">
        <w:rPr>
          <w:rFonts w:ascii="Times New Roman" w:hAnsi="Times New Roman" w:cs="Times New Roman"/>
          <w:sz w:val="24"/>
          <w:szCs w:val="24"/>
        </w:rPr>
        <w:t xml:space="preserve"> os países latino-americanos </w:t>
      </w:r>
      <w:r w:rsidR="00193F3F">
        <w:rPr>
          <w:rFonts w:ascii="Times New Roman" w:hAnsi="Times New Roman" w:cs="Times New Roman"/>
          <w:sz w:val="24"/>
          <w:szCs w:val="24"/>
        </w:rPr>
        <w:t>beneficiaram-se do</w:t>
      </w:r>
      <w:r w:rsidR="00507277" w:rsidRPr="005401AA">
        <w:rPr>
          <w:rFonts w:ascii="Times New Roman" w:hAnsi="Times New Roman" w:cs="Times New Roman"/>
          <w:sz w:val="24"/>
          <w:szCs w:val="24"/>
        </w:rPr>
        <w:t xml:space="preserve"> forte crescimento da exportação de </w:t>
      </w:r>
      <w:r w:rsidR="00507277" w:rsidRPr="005401AA">
        <w:rPr>
          <w:rFonts w:ascii="Times New Roman" w:hAnsi="Times New Roman" w:cs="Times New Roman"/>
          <w:i/>
          <w:iCs/>
          <w:sz w:val="24"/>
          <w:szCs w:val="24"/>
        </w:rPr>
        <w:t>commodities</w:t>
      </w:r>
      <w:r w:rsidR="00193F3F" w:rsidRPr="00193F3F">
        <w:rPr>
          <w:rFonts w:ascii="Times New Roman" w:hAnsi="Times New Roman" w:cs="Times New Roman"/>
          <w:sz w:val="24"/>
          <w:szCs w:val="24"/>
        </w:rPr>
        <w:t xml:space="preserve"> </w:t>
      </w:r>
      <w:r w:rsidR="00507277" w:rsidRPr="005401AA">
        <w:rPr>
          <w:rFonts w:ascii="Times New Roman" w:hAnsi="Times New Roman" w:cs="Times New Roman"/>
          <w:sz w:val="24"/>
          <w:szCs w:val="24"/>
        </w:rPr>
        <w:t>ligadas aos setores energético, alimentício e de minerais.</w:t>
      </w:r>
    </w:p>
    <w:p w14:paraId="0F195D28" w14:textId="61747364" w:rsidR="00E80CAE" w:rsidRPr="005401AA" w:rsidRDefault="006931FF" w:rsidP="005401A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Nesse sentido, </w:t>
      </w:r>
      <w:r w:rsidR="00D03A7E" w:rsidRPr="005401AA">
        <w:rPr>
          <w:rFonts w:ascii="Times New Roman" w:hAnsi="Times New Roman" w:cs="Times New Roman"/>
          <w:sz w:val="24"/>
          <w:szCs w:val="24"/>
        </w:rPr>
        <w:t xml:space="preserve">pode-se afirmar que as transformações verificadas no âmbito do sistema econômico mundial ao longo das últimas década têm sido decisivas para afetar os rumos da </w:t>
      </w:r>
      <w:r w:rsidR="00D03A7E" w:rsidRPr="005401AA">
        <w:rPr>
          <w:rFonts w:ascii="Times New Roman" w:hAnsi="Times New Roman" w:cs="Times New Roman"/>
          <w:sz w:val="24"/>
          <w:szCs w:val="24"/>
        </w:rPr>
        <w:lastRenderedPageBreak/>
        <w:t>economia brasileira, desde os anos 1980. Dentre aquelas circunstâncias internacionais, Cano (2017) destaca a influência da agenda neoliberal e do processo de globalização sobre as mudanças políticas e sociais ocorridas no país nesse período.</w:t>
      </w:r>
    </w:p>
    <w:p w14:paraId="7CD24C7E" w14:textId="2E720379" w:rsidR="00131DA3" w:rsidRPr="005401AA" w:rsidRDefault="00131DA3"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O agravamento da crise econômica do país, ao longo dos anos 1980, encontrou </w:t>
      </w:r>
      <w:r w:rsidR="00E5796A">
        <w:rPr>
          <w:rFonts w:ascii="Times New Roman" w:hAnsi="Times New Roman" w:cs="Times New Roman"/>
          <w:sz w:val="24"/>
          <w:szCs w:val="24"/>
        </w:rPr>
        <w:t>nas medidas do</w:t>
      </w:r>
      <w:r w:rsidRPr="005401AA">
        <w:rPr>
          <w:rFonts w:ascii="Times New Roman" w:hAnsi="Times New Roman" w:cs="Times New Roman"/>
          <w:sz w:val="24"/>
          <w:szCs w:val="24"/>
        </w:rPr>
        <w:t xml:space="preserve"> “Consenso de Washington” novo conjunto de determinantes da sua trajetória de desenvolvimento econômico. Em 1994, a implementação do Plano Real determinaria o alinhamento da política econômica brasileira à ordem financeira internacional (BATISTA JR., 1996)</w:t>
      </w:r>
      <w:r w:rsidR="008C50C2">
        <w:rPr>
          <w:rFonts w:ascii="Times New Roman" w:hAnsi="Times New Roman" w:cs="Times New Roman"/>
          <w:sz w:val="24"/>
          <w:szCs w:val="24"/>
        </w:rPr>
        <w:t>. O</w:t>
      </w:r>
      <w:r w:rsidRPr="005401AA">
        <w:rPr>
          <w:rFonts w:ascii="Times New Roman" w:hAnsi="Times New Roman" w:cs="Times New Roman"/>
          <w:sz w:val="24"/>
          <w:szCs w:val="24"/>
        </w:rPr>
        <w:t xml:space="preserve"> Plano Real consistia num programa de estabilização monetária associado com a elevação dos déficits externos e com a forte dependência de fluxos de capitais estrangeiros.</w:t>
      </w:r>
    </w:p>
    <w:p w14:paraId="23AF570D" w14:textId="67C420AF" w:rsidR="00874ADC" w:rsidRPr="005401AA" w:rsidRDefault="00874ADC"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O modelo de crescimento adotado era uma ruptura com o padrão de desenvolvimento da maior parte do século XX. Defendia-se o apoio à concorrência como motor do crescimento econômico</w:t>
      </w:r>
      <w:r w:rsidR="00D55421">
        <w:rPr>
          <w:rFonts w:ascii="Times New Roman" w:hAnsi="Times New Roman" w:cs="Times New Roman"/>
          <w:sz w:val="24"/>
          <w:szCs w:val="24"/>
        </w:rPr>
        <w:t xml:space="preserve">, substituindo </w:t>
      </w:r>
      <w:r w:rsidRPr="005401AA">
        <w:rPr>
          <w:rFonts w:ascii="Times New Roman" w:hAnsi="Times New Roman" w:cs="Times New Roman"/>
          <w:sz w:val="24"/>
          <w:szCs w:val="24"/>
        </w:rPr>
        <w:t>um rol de políticas de estímulo à demanda e à proteção de determinados segmentos produtivos. Em seu lugar, estimulou-se uma política de oferta, materializada na abertura comercial e na exposição da indústria nacional à concorrência internacional</w:t>
      </w:r>
      <w:r w:rsidR="00BD5FAB">
        <w:rPr>
          <w:rFonts w:ascii="Times New Roman" w:hAnsi="Times New Roman" w:cs="Times New Roman"/>
          <w:sz w:val="24"/>
          <w:szCs w:val="24"/>
        </w:rPr>
        <w:t>.</w:t>
      </w:r>
    </w:p>
    <w:p w14:paraId="2966E07C" w14:textId="6B6A07E8" w:rsidR="00CD6E85" w:rsidRPr="005401AA" w:rsidRDefault="00CD6E85"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De um modo geral, a abertura comercial e financeira provocou um movimento de especialização da estrutura produtiva nacional. O crescimento econômico passou a ter maior dependência das importações, alterando o tipo de nossa inserção externa, com o investimento público perdendo sua importância relativa e aumentando a dependência de capitais estrangeiros.</w:t>
      </w:r>
    </w:p>
    <w:p w14:paraId="6ABEC3CB" w14:textId="479AD26A" w:rsidR="00CD6E85" w:rsidRPr="005401AA" w:rsidRDefault="00CD6E85"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Por sua vez, ao longo dos anos 2000, a economia brasileira verificou alguns momentos de crescimento econômico combinados com a melhoria das questões sociais. De acordo com Barbosa e Pereira de Souza (2010), a principal característica dessa nova fase foi o esforço de retomada do Estado em seu papel de estimular o desenvolvimento e de realizar algum tipo de planejamento de longo prazo. Não obstante, </w:t>
      </w:r>
      <w:r w:rsidR="00566769">
        <w:rPr>
          <w:rFonts w:ascii="Times New Roman" w:hAnsi="Times New Roman" w:cs="Times New Roman"/>
          <w:sz w:val="24"/>
          <w:szCs w:val="24"/>
        </w:rPr>
        <w:t>d</w:t>
      </w:r>
      <w:r w:rsidRPr="005401AA">
        <w:rPr>
          <w:rFonts w:ascii="Times New Roman" w:hAnsi="Times New Roman" w:cs="Times New Roman"/>
          <w:sz w:val="24"/>
          <w:szCs w:val="24"/>
        </w:rPr>
        <w:t>eu-se continuidade às medidas ortodoxas que limit</w:t>
      </w:r>
      <w:r w:rsidR="00566769">
        <w:rPr>
          <w:rFonts w:ascii="Times New Roman" w:hAnsi="Times New Roman" w:cs="Times New Roman"/>
          <w:sz w:val="24"/>
          <w:szCs w:val="24"/>
        </w:rPr>
        <w:t>aram</w:t>
      </w:r>
      <w:r w:rsidRPr="005401AA">
        <w:rPr>
          <w:rFonts w:ascii="Times New Roman" w:hAnsi="Times New Roman" w:cs="Times New Roman"/>
          <w:sz w:val="24"/>
          <w:szCs w:val="24"/>
        </w:rPr>
        <w:t xml:space="preserve"> esse crescimento. </w:t>
      </w:r>
    </w:p>
    <w:p w14:paraId="541409B8" w14:textId="67A7C19D" w:rsidR="009F6515" w:rsidRPr="005401AA" w:rsidRDefault="009F6515" w:rsidP="005401AA">
      <w:pPr>
        <w:spacing w:after="0" w:line="360" w:lineRule="auto"/>
        <w:ind w:firstLine="709"/>
        <w:jc w:val="both"/>
        <w:rPr>
          <w:rFonts w:ascii="Times New Roman" w:hAnsi="Times New Roman" w:cs="Times New Roman"/>
          <w:sz w:val="24"/>
          <w:szCs w:val="24"/>
        </w:rPr>
      </w:pPr>
      <w:r w:rsidRPr="005401AA">
        <w:rPr>
          <w:rFonts w:ascii="Times New Roman" w:hAnsi="Times New Roman" w:cs="Times New Roman"/>
          <w:sz w:val="24"/>
          <w:szCs w:val="24"/>
        </w:rPr>
        <w:t xml:space="preserve">Desde o ano de 2015, a economia brasileira entrou em um novo ciclo, </w:t>
      </w:r>
      <w:r w:rsidR="008D5051">
        <w:rPr>
          <w:rFonts w:ascii="Times New Roman" w:hAnsi="Times New Roman" w:cs="Times New Roman"/>
          <w:sz w:val="24"/>
          <w:szCs w:val="24"/>
        </w:rPr>
        <w:t>enfrentando</w:t>
      </w:r>
      <w:r w:rsidRPr="005401AA">
        <w:rPr>
          <w:rFonts w:ascii="Times New Roman" w:hAnsi="Times New Roman" w:cs="Times New Roman"/>
          <w:sz w:val="24"/>
          <w:szCs w:val="24"/>
        </w:rPr>
        <w:t xml:space="preserve"> grave recessão econômica (2015-2016), com queda acumulada no PIB de pouco mais de 7% em dois anos. Apesar do fim da recessão, o contexto econômico recente tem sido de crescimento econômico muito baixo, condição que se agravou em função da pandemia de Covid-19. </w:t>
      </w:r>
    </w:p>
    <w:p w14:paraId="1FC5C8C3" w14:textId="2CCEA2C9" w:rsidR="009F6515" w:rsidRPr="005401AA" w:rsidRDefault="00216CA7" w:rsidP="005401A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Porto e Macedo (2021) discutiram</w:t>
      </w:r>
      <w:r w:rsidR="009F6515" w:rsidRPr="005401AA">
        <w:rPr>
          <w:rFonts w:ascii="Times New Roman" w:hAnsi="Times New Roman" w:cs="Times New Roman"/>
          <w:sz w:val="24"/>
          <w:szCs w:val="24"/>
        </w:rPr>
        <w:t xml:space="preserve"> o momento de inflexão da economia brasileira, usando como indicador a evolução do mercado de trabalho formal no país e nas grandes regiões brasileiras. </w:t>
      </w:r>
      <w:r>
        <w:rPr>
          <w:rFonts w:ascii="Times New Roman" w:hAnsi="Times New Roman" w:cs="Times New Roman"/>
          <w:sz w:val="24"/>
          <w:szCs w:val="24"/>
        </w:rPr>
        <w:t>A</w:t>
      </w:r>
      <w:r w:rsidR="009F6515" w:rsidRPr="005401AA">
        <w:rPr>
          <w:rFonts w:ascii="Times New Roman" w:hAnsi="Times New Roman" w:cs="Times New Roman"/>
          <w:sz w:val="24"/>
          <w:szCs w:val="24"/>
        </w:rPr>
        <w:t xml:space="preserve">pós um ciclo virtuoso de expansão dos empregos formais, acompanhando em ritmo mais acelerado o crescimento econômico do país, a economia brasileira apresentou uma queda muito brusca no estoque de empregos formais </w:t>
      </w:r>
      <w:r w:rsidR="00AE41C2">
        <w:rPr>
          <w:rFonts w:ascii="Times New Roman" w:hAnsi="Times New Roman" w:cs="Times New Roman"/>
          <w:sz w:val="24"/>
          <w:szCs w:val="24"/>
        </w:rPr>
        <w:t>em</w:t>
      </w:r>
      <w:r w:rsidR="009F6515" w:rsidRPr="005401AA">
        <w:rPr>
          <w:rFonts w:ascii="Times New Roman" w:hAnsi="Times New Roman" w:cs="Times New Roman"/>
          <w:sz w:val="24"/>
          <w:szCs w:val="24"/>
        </w:rPr>
        <w:t xml:space="preserve"> 2015 e 2016, que fez com que o nível de emprego tivesse retomado para os níveis do início da década.</w:t>
      </w:r>
    </w:p>
    <w:p w14:paraId="01B3B06B" w14:textId="77777777" w:rsidR="009F6515" w:rsidRDefault="009F6515" w:rsidP="009F6515">
      <w:pPr>
        <w:spacing w:after="0" w:line="240" w:lineRule="auto"/>
        <w:jc w:val="center"/>
        <w:rPr>
          <w:rFonts w:ascii="Arial" w:hAnsi="Arial" w:cs="Arial"/>
          <w:b/>
          <w:bCs/>
        </w:rPr>
      </w:pPr>
    </w:p>
    <w:p w14:paraId="6BCB4F2D" w14:textId="3ECFDB7C" w:rsidR="00DD246B" w:rsidRDefault="00DD246B" w:rsidP="00317FC3">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 RESULTADOS E DISCUSSÕES</w:t>
      </w:r>
    </w:p>
    <w:p w14:paraId="073D7AA2" w14:textId="5CAAA138" w:rsidR="002E24DF" w:rsidRPr="008C62CA" w:rsidRDefault="00AE27FC" w:rsidP="00D234C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2E24DF" w:rsidRPr="008C62CA">
        <w:rPr>
          <w:rFonts w:ascii="Times New Roman" w:hAnsi="Times New Roman" w:cs="Times New Roman"/>
          <w:sz w:val="24"/>
          <w:szCs w:val="24"/>
        </w:rPr>
        <w:t xml:space="preserve"> rede </w:t>
      </w:r>
      <w:r w:rsidR="00300C0D">
        <w:rPr>
          <w:rFonts w:ascii="Times New Roman" w:hAnsi="Times New Roman" w:cs="Times New Roman"/>
          <w:sz w:val="24"/>
          <w:szCs w:val="24"/>
        </w:rPr>
        <w:t>de cidades do Estado</w:t>
      </w:r>
      <w:r>
        <w:rPr>
          <w:rFonts w:ascii="Times New Roman" w:hAnsi="Times New Roman" w:cs="Times New Roman"/>
          <w:sz w:val="24"/>
          <w:szCs w:val="24"/>
        </w:rPr>
        <w:t xml:space="preserve"> do Piauí</w:t>
      </w:r>
      <w:r w:rsidR="002E24DF" w:rsidRPr="008C62CA">
        <w:rPr>
          <w:rFonts w:ascii="Times New Roman" w:hAnsi="Times New Roman" w:cs="Times New Roman"/>
          <w:sz w:val="24"/>
          <w:szCs w:val="24"/>
        </w:rPr>
        <w:t xml:space="preserve"> </w:t>
      </w:r>
      <w:r w:rsidR="00941BD5">
        <w:rPr>
          <w:rFonts w:ascii="Times New Roman" w:hAnsi="Times New Roman" w:cs="Times New Roman"/>
          <w:sz w:val="24"/>
          <w:szCs w:val="24"/>
        </w:rPr>
        <w:t>está</w:t>
      </w:r>
      <w:r w:rsidR="002E24DF" w:rsidRPr="008C62CA">
        <w:rPr>
          <w:rFonts w:ascii="Times New Roman" w:hAnsi="Times New Roman" w:cs="Times New Roman"/>
          <w:sz w:val="24"/>
          <w:szCs w:val="24"/>
        </w:rPr>
        <w:t xml:space="preserve"> integrada e subordinada à região de influência da metrópole Fortaleza, CE, conforme demonstrado pelas mais recentes publicações da </w:t>
      </w:r>
      <w:r w:rsidR="00BF1303">
        <w:rPr>
          <w:rFonts w:ascii="Times New Roman" w:hAnsi="Times New Roman" w:cs="Times New Roman"/>
          <w:sz w:val="24"/>
          <w:szCs w:val="24"/>
        </w:rPr>
        <w:t>REGIC</w:t>
      </w:r>
      <w:r w:rsidR="002E24DF" w:rsidRPr="008C62CA">
        <w:rPr>
          <w:rFonts w:ascii="Times New Roman" w:hAnsi="Times New Roman" w:cs="Times New Roman"/>
          <w:sz w:val="24"/>
          <w:szCs w:val="24"/>
        </w:rPr>
        <w:t>, feita pelo IBGE</w:t>
      </w:r>
      <w:r w:rsidR="00D368C5">
        <w:rPr>
          <w:rFonts w:ascii="Times New Roman" w:hAnsi="Times New Roman" w:cs="Times New Roman"/>
          <w:sz w:val="24"/>
          <w:szCs w:val="24"/>
        </w:rPr>
        <w:t xml:space="preserve"> (</w:t>
      </w:r>
      <w:r w:rsidR="002E24DF" w:rsidRPr="008C62CA">
        <w:rPr>
          <w:rFonts w:ascii="Times New Roman" w:hAnsi="Times New Roman" w:cs="Times New Roman"/>
          <w:sz w:val="24"/>
          <w:szCs w:val="24"/>
        </w:rPr>
        <w:t>2020</w:t>
      </w:r>
      <w:r w:rsidR="00D368C5">
        <w:rPr>
          <w:rFonts w:ascii="Times New Roman" w:hAnsi="Times New Roman" w:cs="Times New Roman"/>
          <w:sz w:val="24"/>
          <w:szCs w:val="24"/>
        </w:rPr>
        <w:t>; 2008</w:t>
      </w:r>
      <w:r w:rsidR="002E24DF" w:rsidRPr="008C62CA">
        <w:rPr>
          <w:rFonts w:ascii="Times New Roman" w:hAnsi="Times New Roman" w:cs="Times New Roman"/>
          <w:sz w:val="24"/>
          <w:szCs w:val="24"/>
        </w:rPr>
        <w:t>).</w:t>
      </w:r>
      <w:r w:rsidR="00FC5B00">
        <w:rPr>
          <w:rFonts w:ascii="Times New Roman" w:hAnsi="Times New Roman" w:cs="Times New Roman"/>
          <w:sz w:val="24"/>
          <w:szCs w:val="24"/>
        </w:rPr>
        <w:t xml:space="preserve"> </w:t>
      </w:r>
      <w:r w:rsidR="00D368C5">
        <w:rPr>
          <w:rFonts w:ascii="Times New Roman" w:hAnsi="Times New Roman" w:cs="Times New Roman"/>
          <w:sz w:val="24"/>
          <w:szCs w:val="24"/>
        </w:rPr>
        <w:t>E</w:t>
      </w:r>
      <w:r w:rsidR="00300C0D">
        <w:rPr>
          <w:rFonts w:ascii="Times New Roman" w:hAnsi="Times New Roman" w:cs="Times New Roman"/>
          <w:sz w:val="24"/>
          <w:szCs w:val="24"/>
        </w:rPr>
        <w:t xml:space="preserve">ssa rede urbana </w:t>
      </w:r>
      <w:r w:rsidR="00300C0D" w:rsidRPr="008C62CA">
        <w:rPr>
          <w:rFonts w:ascii="Times New Roman" w:hAnsi="Times New Roman" w:cs="Times New Roman"/>
          <w:sz w:val="24"/>
          <w:szCs w:val="24"/>
        </w:rPr>
        <w:t xml:space="preserve">é capitaneada pela cidade de Teresina, </w:t>
      </w:r>
      <w:r w:rsidR="00667ECC">
        <w:rPr>
          <w:rFonts w:ascii="Times New Roman" w:hAnsi="Times New Roman" w:cs="Times New Roman"/>
          <w:sz w:val="24"/>
          <w:szCs w:val="24"/>
        </w:rPr>
        <w:t xml:space="preserve">um </w:t>
      </w:r>
      <w:r w:rsidR="00300C0D" w:rsidRPr="008C62CA">
        <w:rPr>
          <w:rFonts w:ascii="Times New Roman" w:hAnsi="Times New Roman" w:cs="Times New Roman"/>
          <w:sz w:val="24"/>
          <w:szCs w:val="24"/>
        </w:rPr>
        <w:t>importante arranjo populacional regional</w:t>
      </w:r>
      <w:r w:rsidR="00300C0D">
        <w:rPr>
          <w:rFonts w:ascii="Times New Roman" w:hAnsi="Times New Roman" w:cs="Times New Roman"/>
          <w:sz w:val="24"/>
          <w:szCs w:val="24"/>
        </w:rPr>
        <w:t xml:space="preserve">. </w:t>
      </w:r>
      <w:r w:rsidR="00FC5B00">
        <w:rPr>
          <w:rFonts w:ascii="Times New Roman" w:hAnsi="Times New Roman" w:cs="Times New Roman"/>
          <w:sz w:val="24"/>
          <w:szCs w:val="24"/>
        </w:rPr>
        <w:t>E</w:t>
      </w:r>
      <w:r w:rsidR="002E24DF" w:rsidRPr="008C62CA">
        <w:rPr>
          <w:rFonts w:ascii="Times New Roman" w:hAnsi="Times New Roman" w:cs="Times New Roman"/>
          <w:sz w:val="24"/>
          <w:szCs w:val="24"/>
        </w:rPr>
        <w:t>ncontramos</w:t>
      </w:r>
      <w:r w:rsidR="00FC5B00">
        <w:rPr>
          <w:rFonts w:ascii="Times New Roman" w:hAnsi="Times New Roman" w:cs="Times New Roman"/>
          <w:sz w:val="24"/>
          <w:szCs w:val="24"/>
        </w:rPr>
        <w:t>, também,</w:t>
      </w:r>
      <w:r w:rsidR="002E24DF" w:rsidRPr="008C62CA">
        <w:rPr>
          <w:rFonts w:ascii="Times New Roman" w:hAnsi="Times New Roman" w:cs="Times New Roman"/>
          <w:sz w:val="24"/>
          <w:szCs w:val="24"/>
        </w:rPr>
        <w:t xml:space="preserve"> um segundo nível hierárquico de cidades com relevância em seus respectivos espaços sub-regionais</w:t>
      </w:r>
      <w:r w:rsidR="00B97BDB">
        <w:rPr>
          <w:rFonts w:ascii="Times New Roman" w:hAnsi="Times New Roman" w:cs="Times New Roman"/>
          <w:sz w:val="24"/>
          <w:szCs w:val="24"/>
        </w:rPr>
        <w:t>, com</w:t>
      </w:r>
      <w:r w:rsidR="002E24DF" w:rsidRPr="008C62CA">
        <w:rPr>
          <w:rFonts w:ascii="Times New Roman" w:hAnsi="Times New Roman" w:cs="Times New Roman"/>
          <w:sz w:val="24"/>
          <w:szCs w:val="24"/>
        </w:rPr>
        <w:t xml:space="preserve"> as cidades de Parnaíba, Floriano e Picos. Somadas à capital estadual, esse conjunto de cidades apresenta capacidade de articulação de todo o território piauiense, complementadas pelo conjunto diverso de cidades distribuídas pelo Estado em níveis menos elevados da hierarquia urbano-regional.</w:t>
      </w:r>
    </w:p>
    <w:p w14:paraId="0B166315" w14:textId="37AA87F7" w:rsidR="004B6392" w:rsidRPr="0001165E" w:rsidRDefault="00E27607" w:rsidP="004B639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w:t>
      </w:r>
      <w:r w:rsidR="002E24DF" w:rsidRPr="008C62CA">
        <w:rPr>
          <w:rFonts w:ascii="Times New Roman" w:hAnsi="Times New Roman" w:cs="Times New Roman"/>
          <w:sz w:val="24"/>
          <w:szCs w:val="24"/>
        </w:rPr>
        <w:t xml:space="preserve">ara conhecer como essas características se manifestam no Piauí, na Tabela </w:t>
      </w:r>
      <w:r w:rsidR="002E24DF">
        <w:rPr>
          <w:rFonts w:ascii="Times New Roman" w:hAnsi="Times New Roman" w:cs="Times New Roman"/>
          <w:sz w:val="24"/>
          <w:szCs w:val="24"/>
        </w:rPr>
        <w:t>1</w:t>
      </w:r>
      <w:r w:rsidR="002E24DF" w:rsidRPr="008C62CA">
        <w:rPr>
          <w:rFonts w:ascii="Times New Roman" w:hAnsi="Times New Roman" w:cs="Times New Roman"/>
          <w:sz w:val="24"/>
          <w:szCs w:val="24"/>
        </w:rPr>
        <w:t xml:space="preserve"> sintetizamos os dados das </w:t>
      </w:r>
      <w:proofErr w:type="spellStart"/>
      <w:r w:rsidR="002E24DF" w:rsidRPr="008C62CA">
        <w:rPr>
          <w:rFonts w:ascii="Times New Roman" w:hAnsi="Times New Roman" w:cs="Times New Roman"/>
          <w:sz w:val="24"/>
          <w:szCs w:val="24"/>
        </w:rPr>
        <w:t>R</w:t>
      </w:r>
      <w:r w:rsidR="00BF1303">
        <w:rPr>
          <w:rFonts w:ascii="Times New Roman" w:hAnsi="Times New Roman" w:cs="Times New Roman"/>
          <w:sz w:val="24"/>
          <w:szCs w:val="24"/>
        </w:rPr>
        <w:t>EGICs</w:t>
      </w:r>
      <w:proofErr w:type="spellEnd"/>
      <w:r w:rsidR="002E24DF" w:rsidRPr="008C62CA">
        <w:rPr>
          <w:rFonts w:ascii="Times New Roman" w:hAnsi="Times New Roman" w:cs="Times New Roman"/>
          <w:sz w:val="24"/>
          <w:szCs w:val="24"/>
        </w:rPr>
        <w:t xml:space="preserve"> dos anos de 2007 e de 2018, para os casos do Brasil, da Região Nordeste e do Piauí. </w:t>
      </w:r>
      <w:r w:rsidR="004B6392">
        <w:rPr>
          <w:rFonts w:ascii="Times New Roman" w:hAnsi="Times New Roman" w:cs="Times New Roman"/>
          <w:sz w:val="24"/>
          <w:szCs w:val="24"/>
        </w:rPr>
        <w:t>Entre os dois levantamentos, o país passou de um total de 12 para 1</w:t>
      </w:r>
      <w:r w:rsidR="0039499A">
        <w:rPr>
          <w:rFonts w:ascii="Times New Roman" w:hAnsi="Times New Roman" w:cs="Times New Roman"/>
          <w:sz w:val="24"/>
          <w:szCs w:val="24"/>
        </w:rPr>
        <w:t>5</w:t>
      </w:r>
      <w:r w:rsidR="004B6392">
        <w:rPr>
          <w:rFonts w:ascii="Times New Roman" w:hAnsi="Times New Roman" w:cs="Times New Roman"/>
          <w:sz w:val="24"/>
          <w:szCs w:val="24"/>
        </w:rPr>
        <w:t xml:space="preserve"> metrópoles, com as mudanças nas classificações de Vitória, ES, Florianópolis, SC e Campinas, SP (única do grupo que não é capital estadual). Na região Nordeste, este grupo é representado pelas metrópoles de Fortaleza, Recife e Salvador.</w:t>
      </w:r>
    </w:p>
    <w:p w14:paraId="31BDCD22" w14:textId="77777777" w:rsidR="002E24DF" w:rsidRDefault="002E24DF" w:rsidP="002E24DF">
      <w:pPr>
        <w:spacing w:after="0"/>
        <w:rPr>
          <w:rFonts w:ascii="Times New Roman" w:hAnsi="Times New Roman" w:cs="Times New Roman"/>
          <w:sz w:val="24"/>
          <w:szCs w:val="24"/>
        </w:rPr>
      </w:pPr>
    </w:p>
    <w:p w14:paraId="59735396" w14:textId="77777777" w:rsidR="002E24DF" w:rsidRPr="00A90ABC" w:rsidRDefault="002E24DF" w:rsidP="002E24DF">
      <w:pPr>
        <w:spacing w:after="0" w:line="240" w:lineRule="auto"/>
        <w:jc w:val="center"/>
        <w:rPr>
          <w:rFonts w:ascii="Times New Roman" w:hAnsi="Times New Roman" w:cs="Times New Roman"/>
        </w:rPr>
      </w:pPr>
      <w:r w:rsidRPr="00A90ABC">
        <w:rPr>
          <w:rFonts w:ascii="Times New Roman" w:hAnsi="Times New Roman" w:cs="Times New Roman"/>
          <w:b/>
          <w:bCs/>
        </w:rPr>
        <w:t xml:space="preserve">Tabela </w:t>
      </w:r>
      <w:r>
        <w:rPr>
          <w:rFonts w:ascii="Times New Roman" w:hAnsi="Times New Roman" w:cs="Times New Roman"/>
          <w:b/>
          <w:bCs/>
        </w:rPr>
        <w:t>1</w:t>
      </w:r>
      <w:r w:rsidRPr="00A90ABC">
        <w:rPr>
          <w:rFonts w:ascii="Times New Roman" w:hAnsi="Times New Roman" w:cs="Times New Roman"/>
          <w:b/>
          <w:bCs/>
        </w:rPr>
        <w:t xml:space="preserve"> - </w:t>
      </w:r>
      <w:r w:rsidRPr="00A90ABC">
        <w:rPr>
          <w:rFonts w:ascii="Times New Roman" w:hAnsi="Times New Roman" w:cs="Times New Roman"/>
        </w:rPr>
        <w:t>Classificação dos centros urbanos, segundo os níveis de hierarquia ou centralidade, para Brasil, Região Nordeste e Piauí, nos anos de 2007 e 2018</w:t>
      </w:r>
    </w:p>
    <w:tbl>
      <w:tblPr>
        <w:tblW w:w="5000" w:type="pct"/>
        <w:tblCellMar>
          <w:left w:w="70" w:type="dxa"/>
          <w:right w:w="70" w:type="dxa"/>
        </w:tblCellMar>
        <w:tblLook w:val="04A0" w:firstRow="1" w:lastRow="0" w:firstColumn="1" w:lastColumn="0" w:noHBand="0" w:noVBand="1"/>
      </w:tblPr>
      <w:tblGrid>
        <w:gridCol w:w="1379"/>
        <w:gridCol w:w="1658"/>
        <w:gridCol w:w="1005"/>
        <w:gridCol w:w="1005"/>
        <w:gridCol w:w="1007"/>
        <w:gridCol w:w="1005"/>
        <w:gridCol w:w="1005"/>
        <w:gridCol w:w="1007"/>
      </w:tblGrid>
      <w:tr w:rsidR="002E24DF" w:rsidRPr="00A90ABC" w14:paraId="2667D9D7" w14:textId="77777777" w:rsidTr="00CC09B8">
        <w:trPr>
          <w:trHeight w:val="390"/>
        </w:trPr>
        <w:tc>
          <w:tcPr>
            <w:tcW w:w="760" w:type="pct"/>
            <w:vMerge w:val="restart"/>
            <w:tcBorders>
              <w:top w:val="single" w:sz="4" w:space="0" w:color="auto"/>
              <w:left w:val="nil"/>
              <w:bottom w:val="single" w:sz="4" w:space="0" w:color="000000"/>
              <w:right w:val="nil"/>
            </w:tcBorders>
            <w:shd w:val="clear" w:color="auto" w:fill="auto"/>
            <w:vAlign w:val="center"/>
            <w:hideMark/>
          </w:tcPr>
          <w:p w14:paraId="385A9136"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Classificação dos centros</w:t>
            </w:r>
          </w:p>
        </w:tc>
        <w:tc>
          <w:tcPr>
            <w:tcW w:w="9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197CB"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Níveis de hierarquia</w:t>
            </w:r>
          </w:p>
        </w:tc>
        <w:tc>
          <w:tcPr>
            <w:tcW w:w="1663" w:type="pct"/>
            <w:gridSpan w:val="3"/>
            <w:tcBorders>
              <w:top w:val="single" w:sz="4" w:space="0" w:color="auto"/>
              <w:left w:val="nil"/>
              <w:bottom w:val="nil"/>
              <w:right w:val="nil"/>
            </w:tcBorders>
            <w:shd w:val="clear" w:color="auto" w:fill="auto"/>
            <w:noWrap/>
            <w:vAlign w:val="center"/>
            <w:hideMark/>
          </w:tcPr>
          <w:p w14:paraId="57A8EBAF"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2007</w:t>
            </w:r>
          </w:p>
        </w:tc>
        <w:tc>
          <w:tcPr>
            <w:tcW w:w="1663" w:type="pct"/>
            <w:gridSpan w:val="3"/>
            <w:tcBorders>
              <w:top w:val="single" w:sz="4" w:space="0" w:color="auto"/>
              <w:left w:val="single" w:sz="4" w:space="0" w:color="auto"/>
              <w:bottom w:val="nil"/>
              <w:right w:val="nil"/>
            </w:tcBorders>
            <w:shd w:val="clear" w:color="auto" w:fill="auto"/>
            <w:noWrap/>
            <w:vAlign w:val="center"/>
            <w:hideMark/>
          </w:tcPr>
          <w:p w14:paraId="06668779"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2018</w:t>
            </w:r>
          </w:p>
        </w:tc>
      </w:tr>
      <w:tr w:rsidR="002E24DF" w:rsidRPr="00A90ABC" w14:paraId="4F311CF9" w14:textId="77777777" w:rsidTr="00CC09B8">
        <w:trPr>
          <w:trHeight w:val="390"/>
        </w:trPr>
        <w:tc>
          <w:tcPr>
            <w:tcW w:w="760" w:type="pct"/>
            <w:vMerge/>
            <w:tcBorders>
              <w:top w:val="single" w:sz="4" w:space="0" w:color="auto"/>
              <w:left w:val="nil"/>
              <w:bottom w:val="single" w:sz="4" w:space="0" w:color="000000"/>
              <w:right w:val="nil"/>
            </w:tcBorders>
            <w:vAlign w:val="center"/>
            <w:hideMark/>
          </w:tcPr>
          <w:p w14:paraId="791CDF60" w14:textId="77777777" w:rsidR="002E24DF" w:rsidRPr="00A90ABC" w:rsidRDefault="002E24DF" w:rsidP="00CC09B8">
            <w:pPr>
              <w:spacing w:after="0" w:line="240" w:lineRule="auto"/>
              <w:rPr>
                <w:rFonts w:ascii="Times New Roman" w:eastAsia="Times New Roman" w:hAnsi="Times New Roman" w:cs="Times New Roman"/>
                <w:b/>
                <w:bCs/>
                <w:color w:val="000000"/>
                <w:sz w:val="20"/>
                <w:szCs w:val="20"/>
                <w:lang w:eastAsia="pt-BR"/>
              </w:rPr>
            </w:pPr>
          </w:p>
        </w:tc>
        <w:tc>
          <w:tcPr>
            <w:tcW w:w="914" w:type="pct"/>
            <w:vMerge/>
            <w:tcBorders>
              <w:top w:val="single" w:sz="4" w:space="0" w:color="auto"/>
              <w:left w:val="single" w:sz="4" w:space="0" w:color="auto"/>
              <w:bottom w:val="single" w:sz="4" w:space="0" w:color="auto"/>
              <w:right w:val="single" w:sz="4" w:space="0" w:color="auto"/>
            </w:tcBorders>
            <w:vAlign w:val="center"/>
            <w:hideMark/>
          </w:tcPr>
          <w:p w14:paraId="63B250A5" w14:textId="77777777" w:rsidR="002E24DF" w:rsidRPr="00A90ABC" w:rsidRDefault="002E24DF" w:rsidP="00CC09B8">
            <w:pPr>
              <w:spacing w:after="0" w:line="240" w:lineRule="auto"/>
              <w:rPr>
                <w:rFonts w:ascii="Times New Roman" w:eastAsia="Times New Roman" w:hAnsi="Times New Roman" w:cs="Times New Roman"/>
                <w:b/>
                <w:bCs/>
                <w:color w:val="000000"/>
                <w:sz w:val="20"/>
                <w:szCs w:val="20"/>
                <w:lang w:eastAsia="pt-BR"/>
              </w:rPr>
            </w:pPr>
          </w:p>
        </w:tc>
        <w:tc>
          <w:tcPr>
            <w:tcW w:w="554" w:type="pct"/>
            <w:tcBorders>
              <w:top w:val="single" w:sz="4" w:space="0" w:color="auto"/>
              <w:left w:val="nil"/>
              <w:bottom w:val="single" w:sz="4" w:space="0" w:color="auto"/>
              <w:right w:val="nil"/>
            </w:tcBorders>
            <w:shd w:val="clear" w:color="auto" w:fill="auto"/>
            <w:vAlign w:val="center"/>
            <w:hideMark/>
          </w:tcPr>
          <w:p w14:paraId="4ACCC400"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Brasil</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809B8"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Nordeste</w:t>
            </w:r>
          </w:p>
        </w:tc>
        <w:tc>
          <w:tcPr>
            <w:tcW w:w="554" w:type="pct"/>
            <w:tcBorders>
              <w:top w:val="single" w:sz="4" w:space="0" w:color="auto"/>
              <w:left w:val="nil"/>
              <w:bottom w:val="single" w:sz="4" w:space="0" w:color="auto"/>
              <w:right w:val="nil"/>
            </w:tcBorders>
            <w:shd w:val="clear" w:color="auto" w:fill="auto"/>
            <w:vAlign w:val="center"/>
            <w:hideMark/>
          </w:tcPr>
          <w:p w14:paraId="79E9A9E3"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Piauí</w:t>
            </w:r>
          </w:p>
        </w:tc>
        <w:tc>
          <w:tcPr>
            <w:tcW w:w="554" w:type="pct"/>
            <w:tcBorders>
              <w:top w:val="single" w:sz="4" w:space="0" w:color="auto"/>
              <w:left w:val="single" w:sz="4" w:space="0" w:color="auto"/>
              <w:bottom w:val="single" w:sz="4" w:space="0" w:color="auto"/>
              <w:right w:val="nil"/>
            </w:tcBorders>
            <w:shd w:val="clear" w:color="auto" w:fill="auto"/>
            <w:vAlign w:val="center"/>
            <w:hideMark/>
          </w:tcPr>
          <w:p w14:paraId="142765B3"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Brasil</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53DCC"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Nordeste</w:t>
            </w:r>
          </w:p>
        </w:tc>
        <w:tc>
          <w:tcPr>
            <w:tcW w:w="554" w:type="pct"/>
            <w:tcBorders>
              <w:top w:val="single" w:sz="4" w:space="0" w:color="auto"/>
              <w:left w:val="nil"/>
              <w:bottom w:val="single" w:sz="4" w:space="0" w:color="auto"/>
              <w:right w:val="nil"/>
            </w:tcBorders>
            <w:shd w:val="clear" w:color="auto" w:fill="auto"/>
            <w:vAlign w:val="center"/>
            <w:hideMark/>
          </w:tcPr>
          <w:p w14:paraId="1AD096AD"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Piauí</w:t>
            </w:r>
          </w:p>
        </w:tc>
      </w:tr>
      <w:tr w:rsidR="002E24DF" w:rsidRPr="00A90ABC" w14:paraId="04780AA6" w14:textId="77777777" w:rsidTr="00CC09B8">
        <w:trPr>
          <w:trHeight w:val="250"/>
        </w:trPr>
        <w:tc>
          <w:tcPr>
            <w:tcW w:w="760" w:type="pct"/>
            <w:vMerge w:val="restart"/>
            <w:tcBorders>
              <w:top w:val="nil"/>
              <w:left w:val="nil"/>
              <w:bottom w:val="nil"/>
              <w:right w:val="nil"/>
            </w:tcBorders>
            <w:shd w:val="clear" w:color="auto" w:fill="auto"/>
            <w:vAlign w:val="center"/>
            <w:hideMark/>
          </w:tcPr>
          <w:p w14:paraId="2A316A27"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Metrópole</w:t>
            </w:r>
          </w:p>
        </w:tc>
        <w:tc>
          <w:tcPr>
            <w:tcW w:w="914" w:type="pct"/>
            <w:tcBorders>
              <w:top w:val="nil"/>
              <w:left w:val="nil"/>
              <w:bottom w:val="nil"/>
              <w:right w:val="nil"/>
            </w:tcBorders>
            <w:shd w:val="clear" w:color="auto" w:fill="auto"/>
            <w:vAlign w:val="center"/>
            <w:hideMark/>
          </w:tcPr>
          <w:p w14:paraId="44C2310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G. M. Nacional</w:t>
            </w:r>
          </w:p>
        </w:tc>
        <w:tc>
          <w:tcPr>
            <w:tcW w:w="554" w:type="pct"/>
            <w:tcBorders>
              <w:top w:val="nil"/>
              <w:left w:val="nil"/>
              <w:bottom w:val="nil"/>
              <w:right w:val="nil"/>
            </w:tcBorders>
            <w:shd w:val="clear" w:color="auto" w:fill="auto"/>
            <w:vAlign w:val="center"/>
            <w:hideMark/>
          </w:tcPr>
          <w:p w14:paraId="68DF079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w:t>
            </w:r>
          </w:p>
        </w:tc>
        <w:tc>
          <w:tcPr>
            <w:tcW w:w="554" w:type="pct"/>
            <w:tcBorders>
              <w:top w:val="nil"/>
              <w:left w:val="nil"/>
              <w:bottom w:val="nil"/>
              <w:right w:val="nil"/>
            </w:tcBorders>
            <w:shd w:val="clear" w:color="auto" w:fill="auto"/>
            <w:vAlign w:val="center"/>
            <w:hideMark/>
          </w:tcPr>
          <w:p w14:paraId="4F3250D1"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nil"/>
              <w:bottom w:val="nil"/>
              <w:right w:val="nil"/>
            </w:tcBorders>
            <w:shd w:val="clear" w:color="auto" w:fill="auto"/>
            <w:noWrap/>
            <w:vAlign w:val="center"/>
            <w:hideMark/>
          </w:tcPr>
          <w:p w14:paraId="58534787"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single" w:sz="4" w:space="0" w:color="auto"/>
              <w:bottom w:val="nil"/>
              <w:right w:val="nil"/>
            </w:tcBorders>
            <w:shd w:val="clear" w:color="auto" w:fill="auto"/>
            <w:vAlign w:val="center"/>
            <w:hideMark/>
          </w:tcPr>
          <w:p w14:paraId="0DEBEB9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w:t>
            </w:r>
          </w:p>
        </w:tc>
        <w:tc>
          <w:tcPr>
            <w:tcW w:w="554" w:type="pct"/>
            <w:tcBorders>
              <w:top w:val="nil"/>
              <w:left w:val="nil"/>
              <w:bottom w:val="nil"/>
              <w:right w:val="nil"/>
            </w:tcBorders>
            <w:shd w:val="clear" w:color="auto" w:fill="auto"/>
            <w:vAlign w:val="center"/>
            <w:hideMark/>
          </w:tcPr>
          <w:p w14:paraId="2EB91E9A"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nil"/>
              <w:bottom w:val="nil"/>
              <w:right w:val="nil"/>
            </w:tcBorders>
            <w:shd w:val="clear" w:color="auto" w:fill="auto"/>
            <w:noWrap/>
            <w:vAlign w:val="center"/>
            <w:hideMark/>
          </w:tcPr>
          <w:p w14:paraId="0ED7B64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r>
      <w:tr w:rsidR="002E24DF" w:rsidRPr="00A90ABC" w14:paraId="6A81F6DB" w14:textId="77777777" w:rsidTr="00CC09B8">
        <w:trPr>
          <w:trHeight w:val="500"/>
        </w:trPr>
        <w:tc>
          <w:tcPr>
            <w:tcW w:w="760" w:type="pct"/>
            <w:vMerge/>
            <w:tcBorders>
              <w:top w:val="nil"/>
              <w:left w:val="nil"/>
              <w:bottom w:val="nil"/>
              <w:right w:val="nil"/>
            </w:tcBorders>
            <w:vAlign w:val="center"/>
            <w:hideMark/>
          </w:tcPr>
          <w:p w14:paraId="0C3D41C6"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vAlign w:val="center"/>
            <w:hideMark/>
          </w:tcPr>
          <w:p w14:paraId="2510F6A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Metrópole Nacional</w:t>
            </w:r>
          </w:p>
        </w:tc>
        <w:tc>
          <w:tcPr>
            <w:tcW w:w="554" w:type="pct"/>
            <w:tcBorders>
              <w:top w:val="nil"/>
              <w:left w:val="nil"/>
              <w:bottom w:val="nil"/>
              <w:right w:val="nil"/>
            </w:tcBorders>
            <w:shd w:val="clear" w:color="auto" w:fill="auto"/>
            <w:vAlign w:val="center"/>
            <w:hideMark/>
          </w:tcPr>
          <w:p w14:paraId="16D29D6A"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w:t>
            </w:r>
          </w:p>
        </w:tc>
        <w:tc>
          <w:tcPr>
            <w:tcW w:w="554" w:type="pct"/>
            <w:tcBorders>
              <w:top w:val="nil"/>
              <w:left w:val="nil"/>
              <w:bottom w:val="nil"/>
              <w:right w:val="nil"/>
            </w:tcBorders>
            <w:shd w:val="clear" w:color="auto" w:fill="auto"/>
            <w:vAlign w:val="center"/>
            <w:hideMark/>
          </w:tcPr>
          <w:p w14:paraId="28EDA8F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nil"/>
              <w:bottom w:val="nil"/>
              <w:right w:val="nil"/>
            </w:tcBorders>
            <w:shd w:val="clear" w:color="auto" w:fill="auto"/>
            <w:noWrap/>
            <w:vAlign w:val="center"/>
            <w:hideMark/>
          </w:tcPr>
          <w:p w14:paraId="40774A05"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single" w:sz="4" w:space="0" w:color="auto"/>
              <w:bottom w:val="nil"/>
              <w:right w:val="nil"/>
            </w:tcBorders>
            <w:shd w:val="clear" w:color="auto" w:fill="auto"/>
            <w:vAlign w:val="center"/>
            <w:hideMark/>
          </w:tcPr>
          <w:p w14:paraId="3B5F7031"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w:t>
            </w:r>
          </w:p>
        </w:tc>
        <w:tc>
          <w:tcPr>
            <w:tcW w:w="554" w:type="pct"/>
            <w:tcBorders>
              <w:top w:val="nil"/>
              <w:left w:val="nil"/>
              <w:bottom w:val="nil"/>
              <w:right w:val="nil"/>
            </w:tcBorders>
            <w:shd w:val="clear" w:color="auto" w:fill="auto"/>
            <w:vAlign w:val="center"/>
            <w:hideMark/>
          </w:tcPr>
          <w:p w14:paraId="575FE17D"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nil"/>
              <w:bottom w:val="nil"/>
              <w:right w:val="nil"/>
            </w:tcBorders>
            <w:shd w:val="clear" w:color="auto" w:fill="auto"/>
            <w:noWrap/>
            <w:vAlign w:val="center"/>
            <w:hideMark/>
          </w:tcPr>
          <w:p w14:paraId="145A628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r>
      <w:tr w:rsidR="002E24DF" w:rsidRPr="00A90ABC" w14:paraId="4248397F" w14:textId="77777777" w:rsidTr="00CC09B8">
        <w:trPr>
          <w:trHeight w:val="250"/>
        </w:trPr>
        <w:tc>
          <w:tcPr>
            <w:tcW w:w="760" w:type="pct"/>
            <w:vMerge/>
            <w:tcBorders>
              <w:top w:val="nil"/>
              <w:left w:val="nil"/>
              <w:bottom w:val="nil"/>
              <w:right w:val="nil"/>
            </w:tcBorders>
            <w:vAlign w:val="center"/>
            <w:hideMark/>
          </w:tcPr>
          <w:p w14:paraId="16E82367"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noWrap/>
            <w:vAlign w:val="center"/>
            <w:hideMark/>
          </w:tcPr>
          <w:p w14:paraId="62A2D2D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Metrópole</w:t>
            </w:r>
          </w:p>
        </w:tc>
        <w:tc>
          <w:tcPr>
            <w:tcW w:w="554" w:type="pct"/>
            <w:tcBorders>
              <w:top w:val="nil"/>
              <w:left w:val="nil"/>
              <w:bottom w:val="nil"/>
              <w:right w:val="nil"/>
            </w:tcBorders>
            <w:shd w:val="clear" w:color="auto" w:fill="auto"/>
            <w:noWrap/>
            <w:vAlign w:val="center"/>
            <w:hideMark/>
          </w:tcPr>
          <w:p w14:paraId="1B7FC406"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9</w:t>
            </w:r>
          </w:p>
        </w:tc>
        <w:tc>
          <w:tcPr>
            <w:tcW w:w="554" w:type="pct"/>
            <w:tcBorders>
              <w:top w:val="nil"/>
              <w:left w:val="nil"/>
              <w:bottom w:val="nil"/>
              <w:right w:val="nil"/>
            </w:tcBorders>
            <w:shd w:val="clear" w:color="auto" w:fill="auto"/>
            <w:noWrap/>
            <w:vAlign w:val="center"/>
            <w:hideMark/>
          </w:tcPr>
          <w:p w14:paraId="0F8FD0F5"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w:t>
            </w:r>
          </w:p>
        </w:tc>
        <w:tc>
          <w:tcPr>
            <w:tcW w:w="554" w:type="pct"/>
            <w:tcBorders>
              <w:top w:val="nil"/>
              <w:left w:val="nil"/>
              <w:bottom w:val="nil"/>
              <w:right w:val="nil"/>
            </w:tcBorders>
            <w:shd w:val="clear" w:color="auto" w:fill="auto"/>
            <w:noWrap/>
            <w:vAlign w:val="center"/>
            <w:hideMark/>
          </w:tcPr>
          <w:p w14:paraId="1B4FF20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single" w:sz="4" w:space="0" w:color="auto"/>
              <w:bottom w:val="nil"/>
              <w:right w:val="nil"/>
            </w:tcBorders>
            <w:shd w:val="clear" w:color="auto" w:fill="auto"/>
            <w:noWrap/>
            <w:vAlign w:val="center"/>
            <w:hideMark/>
          </w:tcPr>
          <w:p w14:paraId="650440F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12</w:t>
            </w:r>
          </w:p>
        </w:tc>
        <w:tc>
          <w:tcPr>
            <w:tcW w:w="554" w:type="pct"/>
            <w:tcBorders>
              <w:top w:val="nil"/>
              <w:left w:val="nil"/>
              <w:bottom w:val="nil"/>
              <w:right w:val="nil"/>
            </w:tcBorders>
            <w:shd w:val="clear" w:color="auto" w:fill="auto"/>
            <w:noWrap/>
            <w:vAlign w:val="center"/>
            <w:hideMark/>
          </w:tcPr>
          <w:p w14:paraId="6F3D48CD"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w:t>
            </w:r>
          </w:p>
        </w:tc>
        <w:tc>
          <w:tcPr>
            <w:tcW w:w="554" w:type="pct"/>
            <w:tcBorders>
              <w:top w:val="nil"/>
              <w:left w:val="nil"/>
              <w:bottom w:val="nil"/>
              <w:right w:val="nil"/>
            </w:tcBorders>
            <w:shd w:val="clear" w:color="auto" w:fill="auto"/>
            <w:noWrap/>
            <w:vAlign w:val="center"/>
            <w:hideMark/>
          </w:tcPr>
          <w:p w14:paraId="1D1ED11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r>
      <w:tr w:rsidR="002E24DF" w:rsidRPr="00A90ABC" w14:paraId="67B38DE1" w14:textId="77777777" w:rsidTr="00CC09B8">
        <w:trPr>
          <w:trHeight w:val="250"/>
        </w:trPr>
        <w:tc>
          <w:tcPr>
            <w:tcW w:w="760" w:type="pct"/>
            <w:vMerge w:val="restart"/>
            <w:tcBorders>
              <w:top w:val="single" w:sz="4" w:space="0" w:color="auto"/>
              <w:left w:val="nil"/>
              <w:bottom w:val="nil"/>
              <w:right w:val="nil"/>
            </w:tcBorders>
            <w:shd w:val="clear" w:color="auto" w:fill="auto"/>
            <w:vAlign w:val="center"/>
            <w:hideMark/>
          </w:tcPr>
          <w:p w14:paraId="67D28451"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Capital Regional (CR)</w:t>
            </w:r>
          </w:p>
        </w:tc>
        <w:tc>
          <w:tcPr>
            <w:tcW w:w="914" w:type="pct"/>
            <w:tcBorders>
              <w:top w:val="single" w:sz="4" w:space="0" w:color="auto"/>
              <w:left w:val="nil"/>
              <w:bottom w:val="nil"/>
              <w:right w:val="nil"/>
            </w:tcBorders>
            <w:shd w:val="clear" w:color="auto" w:fill="auto"/>
            <w:noWrap/>
            <w:vAlign w:val="center"/>
            <w:hideMark/>
          </w:tcPr>
          <w:p w14:paraId="122B06B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A</w:t>
            </w:r>
          </w:p>
        </w:tc>
        <w:tc>
          <w:tcPr>
            <w:tcW w:w="554" w:type="pct"/>
            <w:tcBorders>
              <w:top w:val="single" w:sz="4" w:space="0" w:color="auto"/>
              <w:left w:val="nil"/>
              <w:bottom w:val="nil"/>
              <w:right w:val="nil"/>
            </w:tcBorders>
            <w:shd w:val="clear" w:color="auto" w:fill="auto"/>
            <w:noWrap/>
            <w:vAlign w:val="center"/>
            <w:hideMark/>
          </w:tcPr>
          <w:p w14:paraId="17ACAA6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11</w:t>
            </w:r>
          </w:p>
        </w:tc>
        <w:tc>
          <w:tcPr>
            <w:tcW w:w="554" w:type="pct"/>
            <w:tcBorders>
              <w:top w:val="single" w:sz="4" w:space="0" w:color="auto"/>
              <w:left w:val="nil"/>
              <w:bottom w:val="nil"/>
              <w:right w:val="nil"/>
            </w:tcBorders>
            <w:shd w:val="clear" w:color="auto" w:fill="auto"/>
            <w:noWrap/>
            <w:vAlign w:val="center"/>
            <w:hideMark/>
          </w:tcPr>
          <w:p w14:paraId="56117BFE"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6</w:t>
            </w:r>
          </w:p>
        </w:tc>
        <w:tc>
          <w:tcPr>
            <w:tcW w:w="554" w:type="pct"/>
            <w:tcBorders>
              <w:top w:val="single" w:sz="4" w:space="0" w:color="auto"/>
              <w:left w:val="nil"/>
              <w:bottom w:val="nil"/>
              <w:right w:val="nil"/>
            </w:tcBorders>
            <w:shd w:val="clear" w:color="auto" w:fill="auto"/>
            <w:noWrap/>
            <w:vAlign w:val="center"/>
            <w:hideMark/>
          </w:tcPr>
          <w:p w14:paraId="77CEABEB"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w:t>
            </w:r>
          </w:p>
        </w:tc>
        <w:tc>
          <w:tcPr>
            <w:tcW w:w="554" w:type="pct"/>
            <w:tcBorders>
              <w:top w:val="single" w:sz="4" w:space="0" w:color="auto"/>
              <w:left w:val="single" w:sz="4" w:space="0" w:color="auto"/>
              <w:bottom w:val="nil"/>
              <w:right w:val="nil"/>
            </w:tcBorders>
            <w:shd w:val="clear" w:color="auto" w:fill="auto"/>
            <w:noWrap/>
            <w:vAlign w:val="center"/>
            <w:hideMark/>
          </w:tcPr>
          <w:p w14:paraId="4EA63EBF"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9</w:t>
            </w:r>
          </w:p>
        </w:tc>
        <w:tc>
          <w:tcPr>
            <w:tcW w:w="554" w:type="pct"/>
            <w:tcBorders>
              <w:top w:val="single" w:sz="4" w:space="0" w:color="auto"/>
              <w:left w:val="nil"/>
              <w:bottom w:val="nil"/>
              <w:right w:val="nil"/>
            </w:tcBorders>
            <w:shd w:val="clear" w:color="auto" w:fill="auto"/>
            <w:noWrap/>
            <w:vAlign w:val="center"/>
            <w:hideMark/>
          </w:tcPr>
          <w:p w14:paraId="5AC20046"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6</w:t>
            </w:r>
          </w:p>
        </w:tc>
        <w:tc>
          <w:tcPr>
            <w:tcW w:w="554" w:type="pct"/>
            <w:tcBorders>
              <w:top w:val="single" w:sz="4" w:space="0" w:color="auto"/>
              <w:left w:val="nil"/>
              <w:bottom w:val="nil"/>
              <w:right w:val="nil"/>
            </w:tcBorders>
            <w:shd w:val="clear" w:color="auto" w:fill="auto"/>
            <w:noWrap/>
            <w:vAlign w:val="center"/>
            <w:hideMark/>
          </w:tcPr>
          <w:p w14:paraId="5F9163EE"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w:t>
            </w:r>
          </w:p>
        </w:tc>
      </w:tr>
      <w:tr w:rsidR="002E24DF" w:rsidRPr="00A90ABC" w14:paraId="05091755" w14:textId="77777777" w:rsidTr="00CC09B8">
        <w:trPr>
          <w:trHeight w:val="250"/>
        </w:trPr>
        <w:tc>
          <w:tcPr>
            <w:tcW w:w="760" w:type="pct"/>
            <w:vMerge/>
            <w:tcBorders>
              <w:top w:val="single" w:sz="4" w:space="0" w:color="auto"/>
              <w:left w:val="nil"/>
              <w:bottom w:val="nil"/>
              <w:right w:val="nil"/>
            </w:tcBorders>
            <w:vAlign w:val="center"/>
            <w:hideMark/>
          </w:tcPr>
          <w:p w14:paraId="6E56EA92"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noWrap/>
            <w:vAlign w:val="center"/>
            <w:hideMark/>
          </w:tcPr>
          <w:p w14:paraId="1771CA3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B</w:t>
            </w:r>
          </w:p>
        </w:tc>
        <w:tc>
          <w:tcPr>
            <w:tcW w:w="554" w:type="pct"/>
            <w:tcBorders>
              <w:top w:val="nil"/>
              <w:left w:val="nil"/>
              <w:bottom w:val="nil"/>
              <w:right w:val="nil"/>
            </w:tcBorders>
            <w:shd w:val="clear" w:color="auto" w:fill="auto"/>
            <w:noWrap/>
            <w:vAlign w:val="center"/>
            <w:hideMark/>
          </w:tcPr>
          <w:p w14:paraId="03677E7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20</w:t>
            </w:r>
          </w:p>
        </w:tc>
        <w:tc>
          <w:tcPr>
            <w:tcW w:w="554" w:type="pct"/>
            <w:tcBorders>
              <w:top w:val="nil"/>
              <w:left w:val="nil"/>
              <w:bottom w:val="nil"/>
              <w:right w:val="nil"/>
            </w:tcBorders>
            <w:shd w:val="clear" w:color="auto" w:fill="auto"/>
            <w:noWrap/>
            <w:vAlign w:val="center"/>
            <w:hideMark/>
          </w:tcPr>
          <w:p w14:paraId="346B76F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4</w:t>
            </w:r>
          </w:p>
        </w:tc>
        <w:tc>
          <w:tcPr>
            <w:tcW w:w="554" w:type="pct"/>
            <w:tcBorders>
              <w:top w:val="nil"/>
              <w:left w:val="nil"/>
              <w:bottom w:val="nil"/>
              <w:right w:val="nil"/>
            </w:tcBorders>
            <w:shd w:val="clear" w:color="auto" w:fill="auto"/>
            <w:noWrap/>
            <w:vAlign w:val="center"/>
            <w:hideMark/>
          </w:tcPr>
          <w:p w14:paraId="19BEE1FB"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single" w:sz="4" w:space="0" w:color="auto"/>
              <w:bottom w:val="nil"/>
              <w:right w:val="nil"/>
            </w:tcBorders>
            <w:shd w:val="clear" w:color="auto" w:fill="auto"/>
            <w:noWrap/>
            <w:vAlign w:val="center"/>
            <w:hideMark/>
          </w:tcPr>
          <w:p w14:paraId="4AF01946"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24</w:t>
            </w:r>
          </w:p>
        </w:tc>
        <w:tc>
          <w:tcPr>
            <w:tcW w:w="554" w:type="pct"/>
            <w:tcBorders>
              <w:top w:val="nil"/>
              <w:left w:val="nil"/>
              <w:bottom w:val="nil"/>
              <w:right w:val="nil"/>
            </w:tcBorders>
            <w:shd w:val="clear" w:color="auto" w:fill="auto"/>
            <w:noWrap/>
            <w:vAlign w:val="center"/>
            <w:hideMark/>
          </w:tcPr>
          <w:p w14:paraId="78066A05"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5</w:t>
            </w:r>
          </w:p>
        </w:tc>
        <w:tc>
          <w:tcPr>
            <w:tcW w:w="554" w:type="pct"/>
            <w:tcBorders>
              <w:top w:val="nil"/>
              <w:left w:val="nil"/>
              <w:bottom w:val="nil"/>
              <w:right w:val="nil"/>
            </w:tcBorders>
            <w:shd w:val="clear" w:color="auto" w:fill="auto"/>
            <w:noWrap/>
            <w:vAlign w:val="center"/>
            <w:hideMark/>
          </w:tcPr>
          <w:p w14:paraId="291E289F"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r>
      <w:tr w:rsidR="002E24DF" w:rsidRPr="00A90ABC" w14:paraId="564EA0F3" w14:textId="77777777" w:rsidTr="00CC09B8">
        <w:trPr>
          <w:trHeight w:val="250"/>
        </w:trPr>
        <w:tc>
          <w:tcPr>
            <w:tcW w:w="760" w:type="pct"/>
            <w:vMerge/>
            <w:tcBorders>
              <w:top w:val="single" w:sz="4" w:space="0" w:color="auto"/>
              <w:left w:val="nil"/>
              <w:bottom w:val="nil"/>
              <w:right w:val="nil"/>
            </w:tcBorders>
            <w:vAlign w:val="center"/>
            <w:hideMark/>
          </w:tcPr>
          <w:p w14:paraId="48D0DADD"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noWrap/>
            <w:vAlign w:val="center"/>
            <w:hideMark/>
          </w:tcPr>
          <w:p w14:paraId="0F6938F7"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C</w:t>
            </w:r>
          </w:p>
        </w:tc>
        <w:tc>
          <w:tcPr>
            <w:tcW w:w="554" w:type="pct"/>
            <w:tcBorders>
              <w:top w:val="nil"/>
              <w:left w:val="nil"/>
              <w:bottom w:val="nil"/>
              <w:right w:val="nil"/>
            </w:tcBorders>
            <w:shd w:val="clear" w:color="auto" w:fill="auto"/>
            <w:noWrap/>
            <w:vAlign w:val="center"/>
            <w:hideMark/>
          </w:tcPr>
          <w:p w14:paraId="52BB05B1"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39</w:t>
            </w:r>
          </w:p>
        </w:tc>
        <w:tc>
          <w:tcPr>
            <w:tcW w:w="554" w:type="pct"/>
            <w:tcBorders>
              <w:top w:val="nil"/>
              <w:left w:val="nil"/>
              <w:bottom w:val="nil"/>
              <w:right w:val="nil"/>
            </w:tcBorders>
            <w:shd w:val="clear" w:color="auto" w:fill="auto"/>
            <w:noWrap/>
            <w:vAlign w:val="center"/>
            <w:hideMark/>
          </w:tcPr>
          <w:p w14:paraId="6BD6265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8</w:t>
            </w:r>
          </w:p>
        </w:tc>
        <w:tc>
          <w:tcPr>
            <w:tcW w:w="554" w:type="pct"/>
            <w:tcBorders>
              <w:top w:val="nil"/>
              <w:left w:val="nil"/>
              <w:bottom w:val="nil"/>
              <w:right w:val="nil"/>
            </w:tcBorders>
            <w:shd w:val="clear" w:color="auto" w:fill="auto"/>
            <w:noWrap/>
            <w:vAlign w:val="center"/>
            <w:hideMark/>
          </w:tcPr>
          <w:p w14:paraId="118A1660"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nil"/>
              <w:left w:val="single" w:sz="4" w:space="0" w:color="auto"/>
              <w:bottom w:val="nil"/>
              <w:right w:val="nil"/>
            </w:tcBorders>
            <w:shd w:val="clear" w:color="auto" w:fill="auto"/>
            <w:noWrap/>
            <w:vAlign w:val="center"/>
            <w:hideMark/>
          </w:tcPr>
          <w:p w14:paraId="7989260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64</w:t>
            </w:r>
          </w:p>
        </w:tc>
        <w:tc>
          <w:tcPr>
            <w:tcW w:w="554" w:type="pct"/>
            <w:tcBorders>
              <w:top w:val="nil"/>
              <w:left w:val="nil"/>
              <w:bottom w:val="nil"/>
              <w:right w:val="nil"/>
            </w:tcBorders>
            <w:shd w:val="clear" w:color="auto" w:fill="auto"/>
            <w:noWrap/>
            <w:vAlign w:val="center"/>
            <w:hideMark/>
          </w:tcPr>
          <w:p w14:paraId="1D84F3D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10</w:t>
            </w:r>
          </w:p>
        </w:tc>
        <w:tc>
          <w:tcPr>
            <w:tcW w:w="554" w:type="pct"/>
            <w:tcBorders>
              <w:top w:val="nil"/>
              <w:left w:val="nil"/>
              <w:bottom w:val="nil"/>
              <w:right w:val="nil"/>
            </w:tcBorders>
            <w:shd w:val="clear" w:color="auto" w:fill="auto"/>
            <w:noWrap/>
            <w:vAlign w:val="center"/>
            <w:hideMark/>
          </w:tcPr>
          <w:p w14:paraId="108B97E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r>
      <w:tr w:rsidR="002E24DF" w:rsidRPr="00A90ABC" w14:paraId="4398CA32" w14:textId="77777777" w:rsidTr="00CC09B8">
        <w:trPr>
          <w:trHeight w:val="250"/>
        </w:trPr>
        <w:tc>
          <w:tcPr>
            <w:tcW w:w="760" w:type="pct"/>
            <w:vMerge w:val="restart"/>
            <w:tcBorders>
              <w:top w:val="single" w:sz="4" w:space="0" w:color="auto"/>
              <w:left w:val="nil"/>
              <w:bottom w:val="nil"/>
              <w:right w:val="nil"/>
            </w:tcBorders>
            <w:shd w:val="clear" w:color="auto" w:fill="auto"/>
            <w:vAlign w:val="center"/>
            <w:hideMark/>
          </w:tcPr>
          <w:p w14:paraId="2181810A"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Centro Sub-regional (CS)</w:t>
            </w:r>
          </w:p>
        </w:tc>
        <w:tc>
          <w:tcPr>
            <w:tcW w:w="914" w:type="pct"/>
            <w:tcBorders>
              <w:top w:val="single" w:sz="4" w:space="0" w:color="auto"/>
              <w:left w:val="nil"/>
              <w:bottom w:val="nil"/>
              <w:right w:val="nil"/>
            </w:tcBorders>
            <w:shd w:val="clear" w:color="auto" w:fill="auto"/>
            <w:noWrap/>
            <w:vAlign w:val="center"/>
            <w:hideMark/>
          </w:tcPr>
          <w:p w14:paraId="004032A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A</w:t>
            </w:r>
          </w:p>
        </w:tc>
        <w:tc>
          <w:tcPr>
            <w:tcW w:w="554" w:type="pct"/>
            <w:tcBorders>
              <w:top w:val="single" w:sz="4" w:space="0" w:color="auto"/>
              <w:left w:val="nil"/>
              <w:bottom w:val="nil"/>
              <w:right w:val="nil"/>
            </w:tcBorders>
            <w:shd w:val="clear" w:color="auto" w:fill="auto"/>
            <w:noWrap/>
            <w:vAlign w:val="center"/>
            <w:hideMark/>
          </w:tcPr>
          <w:p w14:paraId="39E3F83A"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85</w:t>
            </w:r>
          </w:p>
        </w:tc>
        <w:tc>
          <w:tcPr>
            <w:tcW w:w="554" w:type="pct"/>
            <w:tcBorders>
              <w:top w:val="single" w:sz="4" w:space="0" w:color="auto"/>
              <w:left w:val="nil"/>
              <w:bottom w:val="nil"/>
              <w:right w:val="nil"/>
            </w:tcBorders>
            <w:shd w:val="clear" w:color="auto" w:fill="auto"/>
            <w:noWrap/>
            <w:vAlign w:val="center"/>
            <w:hideMark/>
          </w:tcPr>
          <w:p w14:paraId="79B68E7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25</w:t>
            </w:r>
          </w:p>
        </w:tc>
        <w:tc>
          <w:tcPr>
            <w:tcW w:w="554" w:type="pct"/>
            <w:tcBorders>
              <w:top w:val="single" w:sz="4" w:space="0" w:color="auto"/>
              <w:left w:val="nil"/>
              <w:bottom w:val="nil"/>
              <w:right w:val="nil"/>
            </w:tcBorders>
            <w:shd w:val="clear" w:color="auto" w:fill="auto"/>
            <w:noWrap/>
            <w:vAlign w:val="center"/>
            <w:hideMark/>
          </w:tcPr>
          <w:p w14:paraId="6B83E80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w:t>
            </w:r>
          </w:p>
        </w:tc>
        <w:tc>
          <w:tcPr>
            <w:tcW w:w="554" w:type="pct"/>
            <w:tcBorders>
              <w:top w:val="single" w:sz="4" w:space="0" w:color="auto"/>
              <w:left w:val="single" w:sz="4" w:space="0" w:color="auto"/>
              <w:bottom w:val="nil"/>
              <w:right w:val="nil"/>
            </w:tcBorders>
            <w:shd w:val="clear" w:color="auto" w:fill="auto"/>
            <w:noWrap/>
            <w:vAlign w:val="center"/>
            <w:hideMark/>
          </w:tcPr>
          <w:p w14:paraId="3E6875E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96</w:t>
            </w:r>
          </w:p>
        </w:tc>
        <w:tc>
          <w:tcPr>
            <w:tcW w:w="554" w:type="pct"/>
            <w:tcBorders>
              <w:top w:val="single" w:sz="4" w:space="0" w:color="auto"/>
              <w:left w:val="nil"/>
              <w:bottom w:val="nil"/>
              <w:right w:val="nil"/>
            </w:tcBorders>
            <w:shd w:val="clear" w:color="auto" w:fill="auto"/>
            <w:noWrap/>
            <w:vAlign w:val="center"/>
            <w:hideMark/>
          </w:tcPr>
          <w:p w14:paraId="488035C0"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22</w:t>
            </w:r>
          </w:p>
        </w:tc>
        <w:tc>
          <w:tcPr>
            <w:tcW w:w="554" w:type="pct"/>
            <w:tcBorders>
              <w:top w:val="single" w:sz="4" w:space="0" w:color="auto"/>
              <w:left w:val="nil"/>
              <w:bottom w:val="nil"/>
              <w:right w:val="nil"/>
            </w:tcBorders>
            <w:shd w:val="clear" w:color="auto" w:fill="auto"/>
            <w:noWrap/>
            <w:vAlign w:val="center"/>
            <w:hideMark/>
          </w:tcPr>
          <w:p w14:paraId="799AD2E0"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w:t>
            </w:r>
          </w:p>
        </w:tc>
      </w:tr>
      <w:tr w:rsidR="002E24DF" w:rsidRPr="00A90ABC" w14:paraId="0F3BBD8A" w14:textId="77777777" w:rsidTr="00CC09B8">
        <w:trPr>
          <w:trHeight w:val="250"/>
        </w:trPr>
        <w:tc>
          <w:tcPr>
            <w:tcW w:w="760" w:type="pct"/>
            <w:vMerge/>
            <w:tcBorders>
              <w:top w:val="single" w:sz="4" w:space="0" w:color="auto"/>
              <w:left w:val="nil"/>
              <w:bottom w:val="nil"/>
              <w:right w:val="nil"/>
            </w:tcBorders>
            <w:vAlign w:val="center"/>
            <w:hideMark/>
          </w:tcPr>
          <w:p w14:paraId="5791AC84"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noWrap/>
            <w:vAlign w:val="center"/>
            <w:hideMark/>
          </w:tcPr>
          <w:p w14:paraId="0A942151"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B</w:t>
            </w:r>
          </w:p>
        </w:tc>
        <w:tc>
          <w:tcPr>
            <w:tcW w:w="554" w:type="pct"/>
            <w:tcBorders>
              <w:top w:val="nil"/>
              <w:left w:val="nil"/>
              <w:bottom w:val="nil"/>
              <w:right w:val="nil"/>
            </w:tcBorders>
            <w:shd w:val="clear" w:color="auto" w:fill="auto"/>
            <w:noWrap/>
            <w:vAlign w:val="center"/>
            <w:hideMark/>
          </w:tcPr>
          <w:p w14:paraId="6FCEE056"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79</w:t>
            </w:r>
          </w:p>
        </w:tc>
        <w:tc>
          <w:tcPr>
            <w:tcW w:w="554" w:type="pct"/>
            <w:tcBorders>
              <w:top w:val="nil"/>
              <w:left w:val="nil"/>
              <w:bottom w:val="nil"/>
              <w:right w:val="nil"/>
            </w:tcBorders>
            <w:shd w:val="clear" w:color="auto" w:fill="auto"/>
            <w:noWrap/>
            <w:vAlign w:val="center"/>
            <w:hideMark/>
          </w:tcPr>
          <w:p w14:paraId="6E81411F"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26</w:t>
            </w:r>
          </w:p>
        </w:tc>
        <w:tc>
          <w:tcPr>
            <w:tcW w:w="554" w:type="pct"/>
            <w:tcBorders>
              <w:top w:val="nil"/>
              <w:left w:val="nil"/>
              <w:bottom w:val="nil"/>
              <w:right w:val="nil"/>
            </w:tcBorders>
            <w:shd w:val="clear" w:color="auto" w:fill="auto"/>
            <w:noWrap/>
            <w:vAlign w:val="center"/>
            <w:hideMark/>
          </w:tcPr>
          <w:p w14:paraId="6FAC221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w:t>
            </w:r>
          </w:p>
        </w:tc>
        <w:tc>
          <w:tcPr>
            <w:tcW w:w="554" w:type="pct"/>
            <w:tcBorders>
              <w:top w:val="nil"/>
              <w:left w:val="single" w:sz="4" w:space="0" w:color="auto"/>
              <w:bottom w:val="nil"/>
              <w:right w:val="nil"/>
            </w:tcBorders>
            <w:shd w:val="clear" w:color="auto" w:fill="auto"/>
            <w:noWrap/>
            <w:vAlign w:val="center"/>
            <w:hideMark/>
          </w:tcPr>
          <w:p w14:paraId="39A4D8D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256</w:t>
            </w:r>
          </w:p>
        </w:tc>
        <w:tc>
          <w:tcPr>
            <w:tcW w:w="554" w:type="pct"/>
            <w:tcBorders>
              <w:top w:val="nil"/>
              <w:left w:val="nil"/>
              <w:bottom w:val="nil"/>
              <w:right w:val="nil"/>
            </w:tcBorders>
            <w:shd w:val="clear" w:color="auto" w:fill="auto"/>
            <w:noWrap/>
            <w:vAlign w:val="center"/>
            <w:hideMark/>
          </w:tcPr>
          <w:p w14:paraId="041FC67E"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66</w:t>
            </w:r>
          </w:p>
        </w:tc>
        <w:tc>
          <w:tcPr>
            <w:tcW w:w="554" w:type="pct"/>
            <w:tcBorders>
              <w:top w:val="nil"/>
              <w:left w:val="nil"/>
              <w:bottom w:val="nil"/>
              <w:right w:val="nil"/>
            </w:tcBorders>
            <w:shd w:val="clear" w:color="auto" w:fill="auto"/>
            <w:noWrap/>
            <w:vAlign w:val="center"/>
            <w:hideMark/>
          </w:tcPr>
          <w:p w14:paraId="520E7217"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5</w:t>
            </w:r>
          </w:p>
        </w:tc>
      </w:tr>
      <w:tr w:rsidR="002E24DF" w:rsidRPr="00A90ABC" w14:paraId="3E26239C" w14:textId="77777777" w:rsidTr="00CC09B8">
        <w:trPr>
          <w:trHeight w:val="250"/>
        </w:trPr>
        <w:tc>
          <w:tcPr>
            <w:tcW w:w="760" w:type="pct"/>
            <w:vMerge w:val="restart"/>
            <w:tcBorders>
              <w:top w:val="single" w:sz="4" w:space="0" w:color="auto"/>
              <w:left w:val="nil"/>
              <w:bottom w:val="nil"/>
              <w:right w:val="nil"/>
            </w:tcBorders>
            <w:shd w:val="clear" w:color="auto" w:fill="auto"/>
            <w:vAlign w:val="center"/>
            <w:hideMark/>
          </w:tcPr>
          <w:p w14:paraId="01E3212B"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Centro de Zona (CZ)</w:t>
            </w:r>
          </w:p>
        </w:tc>
        <w:tc>
          <w:tcPr>
            <w:tcW w:w="914" w:type="pct"/>
            <w:tcBorders>
              <w:top w:val="single" w:sz="4" w:space="0" w:color="auto"/>
              <w:left w:val="nil"/>
              <w:bottom w:val="nil"/>
              <w:right w:val="nil"/>
            </w:tcBorders>
            <w:shd w:val="clear" w:color="auto" w:fill="auto"/>
            <w:noWrap/>
            <w:vAlign w:val="center"/>
            <w:hideMark/>
          </w:tcPr>
          <w:p w14:paraId="017C0D6C"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A</w:t>
            </w:r>
          </w:p>
        </w:tc>
        <w:tc>
          <w:tcPr>
            <w:tcW w:w="554" w:type="pct"/>
            <w:tcBorders>
              <w:top w:val="single" w:sz="4" w:space="0" w:color="auto"/>
              <w:left w:val="nil"/>
              <w:bottom w:val="nil"/>
              <w:right w:val="nil"/>
            </w:tcBorders>
            <w:shd w:val="clear" w:color="auto" w:fill="auto"/>
            <w:noWrap/>
            <w:vAlign w:val="center"/>
            <w:hideMark/>
          </w:tcPr>
          <w:p w14:paraId="0F1B8E7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192</w:t>
            </w:r>
          </w:p>
        </w:tc>
        <w:tc>
          <w:tcPr>
            <w:tcW w:w="554" w:type="pct"/>
            <w:tcBorders>
              <w:top w:val="single" w:sz="4" w:space="0" w:color="auto"/>
              <w:left w:val="nil"/>
              <w:bottom w:val="nil"/>
              <w:right w:val="nil"/>
            </w:tcBorders>
            <w:shd w:val="clear" w:color="auto" w:fill="auto"/>
            <w:noWrap/>
            <w:vAlign w:val="center"/>
            <w:hideMark/>
          </w:tcPr>
          <w:p w14:paraId="2F34B4AE"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53</w:t>
            </w:r>
          </w:p>
        </w:tc>
        <w:tc>
          <w:tcPr>
            <w:tcW w:w="554" w:type="pct"/>
            <w:tcBorders>
              <w:top w:val="single" w:sz="4" w:space="0" w:color="auto"/>
              <w:left w:val="nil"/>
              <w:bottom w:val="nil"/>
              <w:right w:val="nil"/>
            </w:tcBorders>
            <w:shd w:val="clear" w:color="auto" w:fill="auto"/>
            <w:noWrap/>
            <w:vAlign w:val="center"/>
            <w:hideMark/>
          </w:tcPr>
          <w:p w14:paraId="140434F0"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5</w:t>
            </w:r>
          </w:p>
        </w:tc>
        <w:tc>
          <w:tcPr>
            <w:tcW w:w="554" w:type="pct"/>
            <w:tcBorders>
              <w:top w:val="single" w:sz="4" w:space="0" w:color="auto"/>
              <w:left w:val="single" w:sz="4" w:space="0" w:color="auto"/>
              <w:bottom w:val="nil"/>
              <w:right w:val="nil"/>
            </w:tcBorders>
            <w:shd w:val="clear" w:color="auto" w:fill="auto"/>
            <w:noWrap/>
            <w:vAlign w:val="center"/>
            <w:hideMark/>
          </w:tcPr>
          <w:p w14:paraId="006F89F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147</w:t>
            </w:r>
          </w:p>
        </w:tc>
        <w:tc>
          <w:tcPr>
            <w:tcW w:w="554" w:type="pct"/>
            <w:tcBorders>
              <w:top w:val="single" w:sz="4" w:space="0" w:color="auto"/>
              <w:left w:val="nil"/>
              <w:bottom w:val="nil"/>
              <w:right w:val="nil"/>
            </w:tcBorders>
            <w:shd w:val="clear" w:color="auto" w:fill="auto"/>
            <w:noWrap/>
            <w:vAlign w:val="center"/>
            <w:hideMark/>
          </w:tcPr>
          <w:p w14:paraId="520BC99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35</w:t>
            </w:r>
          </w:p>
        </w:tc>
        <w:tc>
          <w:tcPr>
            <w:tcW w:w="554" w:type="pct"/>
            <w:tcBorders>
              <w:top w:val="single" w:sz="4" w:space="0" w:color="auto"/>
              <w:left w:val="nil"/>
              <w:bottom w:val="nil"/>
              <w:right w:val="nil"/>
            </w:tcBorders>
            <w:shd w:val="clear" w:color="auto" w:fill="auto"/>
            <w:noWrap/>
            <w:vAlign w:val="center"/>
            <w:hideMark/>
          </w:tcPr>
          <w:p w14:paraId="2941033E"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4</w:t>
            </w:r>
          </w:p>
        </w:tc>
      </w:tr>
      <w:tr w:rsidR="002E24DF" w:rsidRPr="00A90ABC" w14:paraId="1A9B5662" w14:textId="77777777" w:rsidTr="00CC09B8">
        <w:trPr>
          <w:trHeight w:val="250"/>
        </w:trPr>
        <w:tc>
          <w:tcPr>
            <w:tcW w:w="760" w:type="pct"/>
            <w:vMerge/>
            <w:tcBorders>
              <w:top w:val="single" w:sz="4" w:space="0" w:color="auto"/>
              <w:left w:val="nil"/>
              <w:bottom w:val="nil"/>
              <w:right w:val="nil"/>
            </w:tcBorders>
            <w:vAlign w:val="center"/>
            <w:hideMark/>
          </w:tcPr>
          <w:p w14:paraId="5830F974"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p>
        </w:tc>
        <w:tc>
          <w:tcPr>
            <w:tcW w:w="914" w:type="pct"/>
            <w:tcBorders>
              <w:top w:val="nil"/>
              <w:left w:val="nil"/>
              <w:bottom w:val="nil"/>
              <w:right w:val="nil"/>
            </w:tcBorders>
            <w:shd w:val="clear" w:color="auto" w:fill="auto"/>
            <w:noWrap/>
            <w:vAlign w:val="center"/>
            <w:hideMark/>
          </w:tcPr>
          <w:p w14:paraId="69DEB28D"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B</w:t>
            </w:r>
          </w:p>
        </w:tc>
        <w:tc>
          <w:tcPr>
            <w:tcW w:w="554" w:type="pct"/>
            <w:tcBorders>
              <w:top w:val="nil"/>
              <w:left w:val="nil"/>
              <w:bottom w:val="nil"/>
              <w:right w:val="nil"/>
            </w:tcBorders>
            <w:shd w:val="clear" w:color="auto" w:fill="auto"/>
            <w:noWrap/>
            <w:vAlign w:val="center"/>
            <w:hideMark/>
          </w:tcPr>
          <w:p w14:paraId="1F74BC2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364</w:t>
            </w:r>
          </w:p>
        </w:tc>
        <w:tc>
          <w:tcPr>
            <w:tcW w:w="554" w:type="pct"/>
            <w:tcBorders>
              <w:top w:val="nil"/>
              <w:left w:val="nil"/>
              <w:bottom w:val="nil"/>
              <w:right w:val="nil"/>
            </w:tcBorders>
            <w:shd w:val="clear" w:color="auto" w:fill="auto"/>
            <w:noWrap/>
            <w:vAlign w:val="center"/>
            <w:hideMark/>
          </w:tcPr>
          <w:p w14:paraId="5C6280A7"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112</w:t>
            </w:r>
          </w:p>
        </w:tc>
        <w:tc>
          <w:tcPr>
            <w:tcW w:w="554" w:type="pct"/>
            <w:tcBorders>
              <w:top w:val="nil"/>
              <w:left w:val="nil"/>
              <w:bottom w:val="nil"/>
              <w:right w:val="nil"/>
            </w:tcBorders>
            <w:shd w:val="clear" w:color="auto" w:fill="auto"/>
            <w:noWrap/>
            <w:vAlign w:val="center"/>
            <w:hideMark/>
          </w:tcPr>
          <w:p w14:paraId="49EE5CC3"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24</w:t>
            </w:r>
          </w:p>
        </w:tc>
        <w:tc>
          <w:tcPr>
            <w:tcW w:w="554" w:type="pct"/>
            <w:tcBorders>
              <w:top w:val="nil"/>
              <w:left w:val="single" w:sz="4" w:space="0" w:color="auto"/>
              <w:bottom w:val="nil"/>
              <w:right w:val="nil"/>
            </w:tcBorders>
            <w:shd w:val="clear" w:color="auto" w:fill="auto"/>
            <w:noWrap/>
            <w:vAlign w:val="center"/>
            <w:hideMark/>
          </w:tcPr>
          <w:p w14:paraId="5869735D"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251</w:t>
            </w:r>
          </w:p>
        </w:tc>
        <w:tc>
          <w:tcPr>
            <w:tcW w:w="554" w:type="pct"/>
            <w:tcBorders>
              <w:top w:val="nil"/>
              <w:left w:val="nil"/>
              <w:bottom w:val="nil"/>
              <w:right w:val="nil"/>
            </w:tcBorders>
            <w:shd w:val="clear" w:color="auto" w:fill="auto"/>
            <w:noWrap/>
            <w:vAlign w:val="center"/>
            <w:hideMark/>
          </w:tcPr>
          <w:p w14:paraId="607B9E6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100</w:t>
            </w:r>
          </w:p>
        </w:tc>
        <w:tc>
          <w:tcPr>
            <w:tcW w:w="554" w:type="pct"/>
            <w:tcBorders>
              <w:top w:val="nil"/>
              <w:left w:val="nil"/>
              <w:bottom w:val="nil"/>
              <w:right w:val="nil"/>
            </w:tcBorders>
            <w:shd w:val="clear" w:color="auto" w:fill="auto"/>
            <w:noWrap/>
            <w:vAlign w:val="center"/>
            <w:hideMark/>
          </w:tcPr>
          <w:p w14:paraId="01790401"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13</w:t>
            </w:r>
          </w:p>
        </w:tc>
      </w:tr>
      <w:tr w:rsidR="002E24DF" w:rsidRPr="00A90ABC" w14:paraId="71F99CA0" w14:textId="77777777" w:rsidTr="00CC09B8">
        <w:trPr>
          <w:trHeight w:val="500"/>
        </w:trPr>
        <w:tc>
          <w:tcPr>
            <w:tcW w:w="760" w:type="pct"/>
            <w:tcBorders>
              <w:top w:val="single" w:sz="4" w:space="0" w:color="auto"/>
              <w:left w:val="nil"/>
              <w:bottom w:val="nil"/>
              <w:right w:val="nil"/>
            </w:tcBorders>
            <w:shd w:val="clear" w:color="auto" w:fill="auto"/>
            <w:vAlign w:val="center"/>
            <w:hideMark/>
          </w:tcPr>
          <w:p w14:paraId="544DB409" w14:textId="77777777" w:rsidR="002E24DF" w:rsidRPr="00A90ABC" w:rsidRDefault="002E24DF" w:rsidP="00CC09B8">
            <w:pPr>
              <w:spacing w:after="0" w:line="240" w:lineRule="auto"/>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Centro Local (CL)</w:t>
            </w:r>
          </w:p>
        </w:tc>
        <w:tc>
          <w:tcPr>
            <w:tcW w:w="914" w:type="pct"/>
            <w:tcBorders>
              <w:top w:val="single" w:sz="4" w:space="0" w:color="auto"/>
              <w:left w:val="nil"/>
              <w:bottom w:val="nil"/>
              <w:right w:val="nil"/>
            </w:tcBorders>
            <w:shd w:val="clear" w:color="auto" w:fill="auto"/>
            <w:noWrap/>
            <w:vAlign w:val="center"/>
            <w:hideMark/>
          </w:tcPr>
          <w:p w14:paraId="440098B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w:t>
            </w:r>
          </w:p>
        </w:tc>
        <w:tc>
          <w:tcPr>
            <w:tcW w:w="554" w:type="pct"/>
            <w:tcBorders>
              <w:top w:val="single" w:sz="4" w:space="0" w:color="auto"/>
              <w:left w:val="nil"/>
              <w:bottom w:val="nil"/>
              <w:right w:val="nil"/>
            </w:tcBorders>
            <w:shd w:val="clear" w:color="auto" w:fill="auto"/>
            <w:noWrap/>
            <w:vAlign w:val="center"/>
            <w:hideMark/>
          </w:tcPr>
          <w:p w14:paraId="65EFAC19"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4.472</w:t>
            </w:r>
          </w:p>
        </w:tc>
        <w:tc>
          <w:tcPr>
            <w:tcW w:w="554" w:type="pct"/>
            <w:tcBorders>
              <w:top w:val="single" w:sz="4" w:space="0" w:color="auto"/>
              <w:left w:val="nil"/>
              <w:bottom w:val="nil"/>
              <w:right w:val="nil"/>
            </w:tcBorders>
            <w:shd w:val="clear" w:color="auto" w:fill="auto"/>
            <w:noWrap/>
            <w:vAlign w:val="center"/>
            <w:hideMark/>
          </w:tcPr>
          <w:p w14:paraId="36AA327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1.495</w:t>
            </w:r>
          </w:p>
        </w:tc>
        <w:tc>
          <w:tcPr>
            <w:tcW w:w="554" w:type="pct"/>
            <w:tcBorders>
              <w:top w:val="single" w:sz="4" w:space="0" w:color="auto"/>
              <w:left w:val="nil"/>
              <w:bottom w:val="nil"/>
              <w:right w:val="nil"/>
            </w:tcBorders>
            <w:shd w:val="clear" w:color="auto" w:fill="auto"/>
            <w:noWrap/>
            <w:vAlign w:val="center"/>
            <w:hideMark/>
          </w:tcPr>
          <w:p w14:paraId="3A5E0074"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187</w:t>
            </w:r>
          </w:p>
        </w:tc>
        <w:tc>
          <w:tcPr>
            <w:tcW w:w="554" w:type="pct"/>
            <w:tcBorders>
              <w:top w:val="single" w:sz="4" w:space="0" w:color="auto"/>
              <w:left w:val="single" w:sz="4" w:space="0" w:color="auto"/>
              <w:bottom w:val="nil"/>
              <w:right w:val="nil"/>
            </w:tcBorders>
            <w:shd w:val="clear" w:color="auto" w:fill="auto"/>
            <w:noWrap/>
            <w:vAlign w:val="center"/>
            <w:hideMark/>
          </w:tcPr>
          <w:p w14:paraId="43442F18"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4.037</w:t>
            </w:r>
          </w:p>
        </w:tc>
        <w:tc>
          <w:tcPr>
            <w:tcW w:w="554" w:type="pct"/>
            <w:tcBorders>
              <w:top w:val="single" w:sz="4" w:space="0" w:color="auto"/>
              <w:left w:val="nil"/>
              <w:bottom w:val="nil"/>
              <w:right w:val="nil"/>
            </w:tcBorders>
            <w:shd w:val="clear" w:color="auto" w:fill="auto"/>
            <w:noWrap/>
            <w:vAlign w:val="center"/>
            <w:hideMark/>
          </w:tcPr>
          <w:p w14:paraId="29CF741A"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1.436</w:t>
            </w:r>
          </w:p>
        </w:tc>
        <w:tc>
          <w:tcPr>
            <w:tcW w:w="554" w:type="pct"/>
            <w:tcBorders>
              <w:top w:val="single" w:sz="4" w:space="0" w:color="auto"/>
              <w:left w:val="nil"/>
              <w:bottom w:val="nil"/>
              <w:right w:val="nil"/>
            </w:tcBorders>
            <w:shd w:val="clear" w:color="auto" w:fill="auto"/>
            <w:noWrap/>
            <w:vAlign w:val="center"/>
            <w:hideMark/>
          </w:tcPr>
          <w:p w14:paraId="16A5CEC2" w14:textId="77777777" w:rsidR="002E24DF" w:rsidRPr="00A90ABC" w:rsidRDefault="002E24DF" w:rsidP="00CC09B8">
            <w:pPr>
              <w:spacing w:after="0" w:line="240" w:lineRule="auto"/>
              <w:jc w:val="center"/>
              <w:rPr>
                <w:rFonts w:ascii="Times New Roman" w:eastAsia="Times New Roman" w:hAnsi="Times New Roman" w:cs="Times New Roman"/>
                <w:color w:val="000000"/>
                <w:sz w:val="20"/>
                <w:szCs w:val="20"/>
                <w:lang w:eastAsia="pt-BR"/>
              </w:rPr>
            </w:pPr>
            <w:r w:rsidRPr="00A90ABC">
              <w:rPr>
                <w:rFonts w:ascii="Times New Roman" w:eastAsia="Times New Roman" w:hAnsi="Times New Roman" w:cs="Times New Roman"/>
                <w:color w:val="000000"/>
                <w:sz w:val="20"/>
                <w:szCs w:val="20"/>
                <w:lang w:eastAsia="pt-BR"/>
              </w:rPr>
              <w:t>194</w:t>
            </w:r>
          </w:p>
        </w:tc>
      </w:tr>
      <w:tr w:rsidR="002E24DF" w:rsidRPr="00A90ABC" w14:paraId="51C88D5D" w14:textId="77777777" w:rsidTr="00CC09B8">
        <w:trPr>
          <w:trHeight w:val="260"/>
        </w:trPr>
        <w:tc>
          <w:tcPr>
            <w:tcW w:w="1674" w:type="pct"/>
            <w:gridSpan w:val="2"/>
            <w:tcBorders>
              <w:top w:val="single" w:sz="4" w:space="0" w:color="auto"/>
              <w:left w:val="nil"/>
              <w:bottom w:val="single" w:sz="4" w:space="0" w:color="auto"/>
              <w:right w:val="nil"/>
            </w:tcBorders>
            <w:shd w:val="clear" w:color="auto" w:fill="auto"/>
            <w:noWrap/>
            <w:vAlign w:val="center"/>
            <w:hideMark/>
          </w:tcPr>
          <w:p w14:paraId="0FFA9027"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Total de centros</w:t>
            </w:r>
          </w:p>
        </w:tc>
        <w:tc>
          <w:tcPr>
            <w:tcW w:w="554" w:type="pct"/>
            <w:tcBorders>
              <w:top w:val="single" w:sz="4" w:space="0" w:color="auto"/>
              <w:left w:val="nil"/>
              <w:bottom w:val="single" w:sz="4" w:space="0" w:color="auto"/>
              <w:right w:val="nil"/>
            </w:tcBorders>
            <w:shd w:val="clear" w:color="auto" w:fill="auto"/>
            <w:noWrap/>
            <w:vAlign w:val="center"/>
            <w:hideMark/>
          </w:tcPr>
          <w:p w14:paraId="1A78DC8C"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5.274</w:t>
            </w:r>
          </w:p>
        </w:tc>
        <w:tc>
          <w:tcPr>
            <w:tcW w:w="554" w:type="pct"/>
            <w:tcBorders>
              <w:top w:val="single" w:sz="4" w:space="0" w:color="auto"/>
              <w:left w:val="nil"/>
              <w:bottom w:val="single" w:sz="4" w:space="0" w:color="auto"/>
              <w:right w:val="nil"/>
            </w:tcBorders>
            <w:shd w:val="clear" w:color="auto" w:fill="auto"/>
            <w:noWrap/>
            <w:vAlign w:val="center"/>
            <w:hideMark/>
          </w:tcPr>
          <w:p w14:paraId="29B19910"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1.732</w:t>
            </w:r>
          </w:p>
        </w:tc>
        <w:tc>
          <w:tcPr>
            <w:tcW w:w="554" w:type="pct"/>
            <w:tcBorders>
              <w:top w:val="single" w:sz="4" w:space="0" w:color="auto"/>
              <w:left w:val="nil"/>
              <w:bottom w:val="single" w:sz="4" w:space="0" w:color="auto"/>
              <w:right w:val="nil"/>
            </w:tcBorders>
            <w:shd w:val="clear" w:color="auto" w:fill="auto"/>
            <w:noWrap/>
            <w:vAlign w:val="center"/>
            <w:hideMark/>
          </w:tcPr>
          <w:p w14:paraId="1D49C91D"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222</w:t>
            </w:r>
          </w:p>
        </w:tc>
        <w:tc>
          <w:tcPr>
            <w:tcW w:w="554" w:type="pct"/>
            <w:tcBorders>
              <w:top w:val="single" w:sz="4" w:space="0" w:color="auto"/>
              <w:left w:val="single" w:sz="4" w:space="0" w:color="auto"/>
              <w:bottom w:val="single" w:sz="4" w:space="0" w:color="auto"/>
              <w:right w:val="nil"/>
            </w:tcBorders>
            <w:shd w:val="clear" w:color="auto" w:fill="auto"/>
            <w:noWrap/>
            <w:vAlign w:val="center"/>
            <w:hideMark/>
          </w:tcPr>
          <w:p w14:paraId="32B53042"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4.899</w:t>
            </w:r>
          </w:p>
        </w:tc>
        <w:tc>
          <w:tcPr>
            <w:tcW w:w="554" w:type="pct"/>
            <w:tcBorders>
              <w:top w:val="single" w:sz="4" w:space="0" w:color="auto"/>
              <w:left w:val="nil"/>
              <w:bottom w:val="single" w:sz="4" w:space="0" w:color="auto"/>
              <w:right w:val="nil"/>
            </w:tcBorders>
            <w:shd w:val="clear" w:color="auto" w:fill="auto"/>
            <w:noWrap/>
            <w:vAlign w:val="center"/>
            <w:hideMark/>
          </w:tcPr>
          <w:p w14:paraId="6C091BD5"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1.683</w:t>
            </w:r>
          </w:p>
        </w:tc>
        <w:tc>
          <w:tcPr>
            <w:tcW w:w="554" w:type="pct"/>
            <w:tcBorders>
              <w:top w:val="single" w:sz="4" w:space="0" w:color="auto"/>
              <w:left w:val="nil"/>
              <w:bottom w:val="single" w:sz="4" w:space="0" w:color="auto"/>
              <w:right w:val="nil"/>
            </w:tcBorders>
            <w:shd w:val="clear" w:color="auto" w:fill="auto"/>
            <w:noWrap/>
            <w:vAlign w:val="center"/>
            <w:hideMark/>
          </w:tcPr>
          <w:p w14:paraId="347D9BA3" w14:textId="77777777" w:rsidR="002E24DF" w:rsidRPr="00A90ABC" w:rsidRDefault="002E24DF" w:rsidP="00CC09B8">
            <w:pPr>
              <w:spacing w:after="0" w:line="240" w:lineRule="auto"/>
              <w:jc w:val="center"/>
              <w:rPr>
                <w:rFonts w:ascii="Times New Roman" w:eastAsia="Times New Roman" w:hAnsi="Times New Roman" w:cs="Times New Roman"/>
                <w:b/>
                <w:bCs/>
                <w:color w:val="000000"/>
                <w:sz w:val="20"/>
                <w:szCs w:val="20"/>
                <w:lang w:eastAsia="pt-BR"/>
              </w:rPr>
            </w:pPr>
            <w:r w:rsidRPr="00A90ABC">
              <w:rPr>
                <w:rFonts w:ascii="Times New Roman" w:eastAsia="Times New Roman" w:hAnsi="Times New Roman" w:cs="Times New Roman"/>
                <w:b/>
                <w:bCs/>
                <w:color w:val="000000"/>
                <w:sz w:val="20"/>
                <w:szCs w:val="20"/>
                <w:lang w:eastAsia="pt-BR"/>
              </w:rPr>
              <w:t>220</w:t>
            </w:r>
          </w:p>
        </w:tc>
      </w:tr>
      <w:tr w:rsidR="002E24DF" w:rsidRPr="00A90ABC" w14:paraId="1F6ED6E5" w14:textId="77777777" w:rsidTr="00CC09B8">
        <w:trPr>
          <w:trHeight w:val="250"/>
        </w:trPr>
        <w:tc>
          <w:tcPr>
            <w:tcW w:w="3337" w:type="pct"/>
            <w:gridSpan w:val="5"/>
            <w:tcBorders>
              <w:top w:val="nil"/>
              <w:left w:val="nil"/>
              <w:bottom w:val="nil"/>
              <w:right w:val="nil"/>
            </w:tcBorders>
            <w:shd w:val="clear" w:color="auto" w:fill="auto"/>
            <w:noWrap/>
            <w:vAlign w:val="center"/>
            <w:hideMark/>
          </w:tcPr>
          <w:p w14:paraId="15E3F7C3" w14:textId="24861FFE" w:rsidR="002E24DF" w:rsidRPr="00A90ABC" w:rsidRDefault="002E24DF" w:rsidP="00CC09B8">
            <w:pPr>
              <w:spacing w:after="0" w:line="240" w:lineRule="auto"/>
              <w:rPr>
                <w:rFonts w:ascii="Times New Roman" w:eastAsia="Times New Roman" w:hAnsi="Times New Roman" w:cs="Times New Roman"/>
                <w:color w:val="000000"/>
                <w:sz w:val="16"/>
                <w:szCs w:val="16"/>
                <w:lang w:eastAsia="pt-BR"/>
              </w:rPr>
            </w:pPr>
            <w:r w:rsidRPr="00A90ABC">
              <w:rPr>
                <w:rFonts w:ascii="Times New Roman" w:eastAsia="Times New Roman" w:hAnsi="Times New Roman" w:cs="Times New Roman"/>
                <w:color w:val="000000"/>
                <w:sz w:val="16"/>
                <w:szCs w:val="16"/>
                <w:lang w:eastAsia="pt-BR"/>
              </w:rPr>
              <w:t>Fonte: IBGE/</w:t>
            </w:r>
            <w:proofErr w:type="spellStart"/>
            <w:r w:rsidRPr="00A90ABC">
              <w:rPr>
                <w:rFonts w:ascii="Times New Roman" w:eastAsia="Times New Roman" w:hAnsi="Times New Roman" w:cs="Times New Roman"/>
                <w:color w:val="000000"/>
                <w:sz w:val="16"/>
                <w:szCs w:val="16"/>
                <w:lang w:eastAsia="pt-BR"/>
              </w:rPr>
              <w:t>Regic</w:t>
            </w:r>
            <w:proofErr w:type="spellEnd"/>
            <w:r w:rsidRPr="00A90ABC">
              <w:rPr>
                <w:rFonts w:ascii="Times New Roman" w:eastAsia="Times New Roman" w:hAnsi="Times New Roman" w:cs="Times New Roman"/>
                <w:color w:val="000000"/>
                <w:sz w:val="16"/>
                <w:szCs w:val="16"/>
                <w:lang w:eastAsia="pt-BR"/>
              </w:rPr>
              <w:t xml:space="preserve"> 2007 (bancos de dados dos centros)</w:t>
            </w:r>
            <w:r w:rsidR="00E27607">
              <w:rPr>
                <w:rFonts w:ascii="Times New Roman" w:eastAsia="Times New Roman" w:hAnsi="Times New Roman" w:cs="Times New Roman"/>
                <w:color w:val="000000"/>
                <w:sz w:val="16"/>
                <w:szCs w:val="16"/>
                <w:lang w:eastAsia="pt-BR"/>
              </w:rPr>
              <w:t xml:space="preserve">; </w:t>
            </w:r>
            <w:proofErr w:type="spellStart"/>
            <w:r w:rsidRPr="00A90ABC">
              <w:rPr>
                <w:rFonts w:ascii="Times New Roman" w:eastAsia="Times New Roman" w:hAnsi="Times New Roman" w:cs="Times New Roman"/>
                <w:color w:val="000000"/>
                <w:sz w:val="16"/>
                <w:szCs w:val="16"/>
                <w:lang w:eastAsia="pt-BR"/>
              </w:rPr>
              <w:t>Regic</w:t>
            </w:r>
            <w:proofErr w:type="spellEnd"/>
            <w:r w:rsidRPr="00A90ABC">
              <w:rPr>
                <w:rFonts w:ascii="Times New Roman" w:eastAsia="Times New Roman" w:hAnsi="Times New Roman" w:cs="Times New Roman"/>
                <w:color w:val="000000"/>
                <w:sz w:val="16"/>
                <w:szCs w:val="16"/>
                <w:lang w:eastAsia="pt-BR"/>
              </w:rPr>
              <w:t xml:space="preserve"> 2018.</w:t>
            </w:r>
          </w:p>
        </w:tc>
        <w:tc>
          <w:tcPr>
            <w:tcW w:w="554" w:type="pct"/>
            <w:tcBorders>
              <w:top w:val="nil"/>
              <w:left w:val="nil"/>
              <w:bottom w:val="nil"/>
              <w:right w:val="nil"/>
            </w:tcBorders>
            <w:shd w:val="clear" w:color="auto" w:fill="auto"/>
            <w:noWrap/>
            <w:vAlign w:val="bottom"/>
            <w:hideMark/>
          </w:tcPr>
          <w:p w14:paraId="65A4B88C" w14:textId="77777777" w:rsidR="002E24DF" w:rsidRPr="00A90ABC" w:rsidRDefault="002E24DF" w:rsidP="00CC09B8">
            <w:pPr>
              <w:spacing w:after="0" w:line="240" w:lineRule="auto"/>
              <w:rPr>
                <w:rFonts w:ascii="Times New Roman" w:eastAsia="Times New Roman" w:hAnsi="Times New Roman" w:cs="Times New Roman"/>
                <w:color w:val="000000"/>
                <w:sz w:val="16"/>
                <w:szCs w:val="16"/>
                <w:lang w:eastAsia="pt-BR"/>
              </w:rPr>
            </w:pPr>
          </w:p>
        </w:tc>
        <w:tc>
          <w:tcPr>
            <w:tcW w:w="554" w:type="pct"/>
            <w:tcBorders>
              <w:top w:val="nil"/>
              <w:left w:val="nil"/>
              <w:bottom w:val="nil"/>
              <w:right w:val="nil"/>
            </w:tcBorders>
            <w:shd w:val="clear" w:color="auto" w:fill="auto"/>
            <w:noWrap/>
            <w:vAlign w:val="bottom"/>
            <w:hideMark/>
          </w:tcPr>
          <w:p w14:paraId="7B48C259" w14:textId="77777777" w:rsidR="002E24DF" w:rsidRPr="00A90ABC" w:rsidRDefault="002E24DF" w:rsidP="00CC09B8">
            <w:pPr>
              <w:spacing w:after="0" w:line="240" w:lineRule="auto"/>
              <w:rPr>
                <w:rFonts w:ascii="Times New Roman" w:eastAsia="Times New Roman" w:hAnsi="Times New Roman" w:cs="Times New Roman"/>
                <w:sz w:val="20"/>
                <w:szCs w:val="20"/>
                <w:lang w:eastAsia="pt-BR"/>
              </w:rPr>
            </w:pPr>
          </w:p>
        </w:tc>
        <w:tc>
          <w:tcPr>
            <w:tcW w:w="554" w:type="pct"/>
            <w:tcBorders>
              <w:top w:val="nil"/>
              <w:left w:val="nil"/>
              <w:bottom w:val="nil"/>
              <w:right w:val="nil"/>
            </w:tcBorders>
            <w:shd w:val="clear" w:color="auto" w:fill="auto"/>
            <w:noWrap/>
            <w:vAlign w:val="bottom"/>
            <w:hideMark/>
          </w:tcPr>
          <w:p w14:paraId="3154DB53" w14:textId="77777777" w:rsidR="002E24DF" w:rsidRPr="00A90ABC" w:rsidRDefault="002E24DF" w:rsidP="00CC09B8">
            <w:pPr>
              <w:spacing w:after="0" w:line="240" w:lineRule="auto"/>
              <w:rPr>
                <w:rFonts w:ascii="Times New Roman" w:eastAsia="Times New Roman" w:hAnsi="Times New Roman" w:cs="Times New Roman"/>
                <w:sz w:val="20"/>
                <w:szCs w:val="20"/>
                <w:lang w:eastAsia="pt-BR"/>
              </w:rPr>
            </w:pPr>
          </w:p>
        </w:tc>
      </w:tr>
    </w:tbl>
    <w:p w14:paraId="524E285E" w14:textId="71DF22F5" w:rsidR="004E666D" w:rsidRDefault="004E666D">
      <w:pPr>
        <w:spacing w:after="0" w:line="240" w:lineRule="auto"/>
        <w:jc w:val="both"/>
        <w:rPr>
          <w:rFonts w:ascii="Times New Roman" w:hAnsi="Times New Roman" w:cs="Times New Roman"/>
          <w:b/>
          <w:bCs/>
          <w:sz w:val="24"/>
          <w:szCs w:val="24"/>
        </w:rPr>
      </w:pPr>
    </w:p>
    <w:p w14:paraId="591AA58E" w14:textId="5DA73D7C" w:rsidR="00745310" w:rsidRDefault="003406B6" w:rsidP="00D234CF">
      <w:pPr>
        <w:spacing w:after="0" w:line="360" w:lineRule="auto"/>
        <w:ind w:firstLine="709"/>
        <w:jc w:val="both"/>
        <w:rPr>
          <w:rFonts w:ascii="Times New Roman" w:hAnsi="Times New Roman" w:cs="Times New Roman"/>
          <w:color w:val="000000" w:themeColor="text1"/>
          <w:sz w:val="24"/>
          <w:szCs w:val="24"/>
        </w:rPr>
      </w:pPr>
      <w:r w:rsidRPr="0001165E">
        <w:rPr>
          <w:rFonts w:ascii="Times New Roman" w:hAnsi="Times New Roman" w:cs="Times New Roman"/>
          <w:sz w:val="24"/>
          <w:szCs w:val="24"/>
        </w:rPr>
        <w:t xml:space="preserve">No grupo seguinte, imediatamente inferior às Metrópoles, estão as chamadas Capitais Regionais (CR), repartidas em três níveis: A, B e C. O nível mais elevado é o das CR-A, onde estão as demais capitais estaduais </w:t>
      </w:r>
      <w:r w:rsidR="00314720">
        <w:rPr>
          <w:rFonts w:ascii="Times New Roman" w:hAnsi="Times New Roman" w:cs="Times New Roman"/>
          <w:sz w:val="24"/>
          <w:szCs w:val="24"/>
        </w:rPr>
        <w:t>do</w:t>
      </w:r>
      <w:r w:rsidRPr="0001165E">
        <w:rPr>
          <w:rFonts w:ascii="Times New Roman" w:hAnsi="Times New Roman" w:cs="Times New Roman"/>
          <w:sz w:val="24"/>
          <w:szCs w:val="24"/>
        </w:rPr>
        <w:t xml:space="preserve"> Nordeste, não pertencentes ao nível anterior, </w:t>
      </w:r>
      <w:r w:rsidR="00D94A3D">
        <w:rPr>
          <w:rFonts w:ascii="Times New Roman" w:hAnsi="Times New Roman" w:cs="Times New Roman"/>
          <w:sz w:val="24"/>
          <w:szCs w:val="24"/>
        </w:rPr>
        <w:t>como é o caso d</w:t>
      </w:r>
      <w:r w:rsidRPr="0001165E">
        <w:rPr>
          <w:rFonts w:ascii="Times New Roman" w:hAnsi="Times New Roman" w:cs="Times New Roman"/>
          <w:sz w:val="24"/>
          <w:szCs w:val="24"/>
        </w:rPr>
        <w:t xml:space="preserve">o AP de Teresina, no Piauí. </w:t>
      </w:r>
      <w:r w:rsidR="00F959FD">
        <w:rPr>
          <w:rFonts w:ascii="Times New Roman" w:hAnsi="Times New Roman" w:cs="Times New Roman"/>
          <w:sz w:val="24"/>
          <w:szCs w:val="24"/>
        </w:rPr>
        <w:t>N</w:t>
      </w:r>
      <w:r w:rsidRPr="0001165E">
        <w:rPr>
          <w:rFonts w:ascii="Times New Roman" w:hAnsi="Times New Roman" w:cs="Times New Roman"/>
          <w:sz w:val="24"/>
          <w:szCs w:val="24"/>
        </w:rPr>
        <w:t xml:space="preserve">o entanto, devemos lembrar que, em sua maior parte, as capitais estaduais </w:t>
      </w:r>
      <w:r w:rsidR="00F959FD">
        <w:rPr>
          <w:rFonts w:ascii="Times New Roman" w:hAnsi="Times New Roman" w:cs="Times New Roman"/>
          <w:sz w:val="24"/>
          <w:szCs w:val="24"/>
        </w:rPr>
        <w:t xml:space="preserve">nordestinas </w:t>
      </w:r>
      <w:r w:rsidRPr="0001165E">
        <w:rPr>
          <w:rFonts w:ascii="Times New Roman" w:hAnsi="Times New Roman" w:cs="Times New Roman"/>
          <w:sz w:val="24"/>
          <w:szCs w:val="24"/>
        </w:rPr>
        <w:t xml:space="preserve">vêm apresentando dinâmicas metropolitanas próprias, ainda que classificadas como CR-A. </w:t>
      </w:r>
      <w:r w:rsidR="00FC0EC9">
        <w:rPr>
          <w:rFonts w:ascii="Times New Roman" w:hAnsi="Times New Roman" w:cs="Times New Roman"/>
          <w:sz w:val="24"/>
          <w:szCs w:val="24"/>
        </w:rPr>
        <w:t>Sua subordinação ao primeiro gru</w:t>
      </w:r>
      <w:r w:rsidR="004A2278">
        <w:rPr>
          <w:rFonts w:ascii="Times New Roman" w:hAnsi="Times New Roman" w:cs="Times New Roman"/>
          <w:sz w:val="24"/>
          <w:szCs w:val="24"/>
        </w:rPr>
        <w:t>po deve-se ao</w:t>
      </w:r>
      <w:r w:rsidRPr="0001165E">
        <w:rPr>
          <w:rFonts w:ascii="Times New Roman" w:hAnsi="Times New Roman" w:cs="Times New Roman"/>
          <w:sz w:val="24"/>
          <w:szCs w:val="24"/>
        </w:rPr>
        <w:t xml:space="preserve"> menor porte e conjunto de funções desempenhadas.</w:t>
      </w:r>
    </w:p>
    <w:p w14:paraId="10E0B79F" w14:textId="2E35F9B8" w:rsidR="00097260"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As mudanças na hierarquia urbano-regional que, para o Brasil e Nordeste já aparecem nos primeiros níveis de centralidade, no Piauí só serão observados a partir do nível dos Centros Sub-regionais (CS), onde figuram as principais cidades do interior piauiense. No Brasil, em 2018 foram classificadas 96 cidades como CS-A e 256 cidades como CS-B, o que revela uma enorme expansão em relação ao ano de 2007. Já na região Nordeste, encontramos 22 CS-A e 66 CS-B, cujas mudanças em relação a 2007 decorrem de elementos bastante diversos. </w:t>
      </w:r>
    </w:p>
    <w:p w14:paraId="44B14D2C" w14:textId="31A137A6"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Por um lado, tanto para o Nordeste como para o Brasil, a expansão da quantidade de CS, como um todo, significa que nessa escala da rede urbana as cidades (pequenas ou médias) cresceram em importância relativa, adquiriram funcionalidades e passaram a articular outras cidades menores. Por outro lado, individualmente, várias cidades chegaram a perder centralidade ou passaram para o nível superior, das CR, o que requer entender caso a caso.</w:t>
      </w:r>
    </w:p>
    <w:p w14:paraId="60EA6AD2" w14:textId="0134EEF0"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É o que podemos fazer com as especificidades das cidades do Piauí, em que se percebe no nível dos CS-A a manutenção das três aglomerações urbanas mais importantes do interior do Estado, entre os anos de 2007 e 2018: Parnaíba, Picos e Floriano. Essas cidades mantêm suas influências relativas sobre o território, compartilhando com Teresina as principais funções </w:t>
      </w:r>
      <w:r w:rsidRPr="0001165E">
        <w:rPr>
          <w:rFonts w:ascii="Times New Roman" w:hAnsi="Times New Roman" w:cs="Times New Roman"/>
          <w:sz w:val="24"/>
          <w:szCs w:val="24"/>
        </w:rPr>
        <w:lastRenderedPageBreak/>
        <w:t xml:space="preserve">de articulação econômico-espacial. </w:t>
      </w:r>
      <w:r w:rsidR="00253D3D">
        <w:rPr>
          <w:rFonts w:ascii="Times New Roman" w:hAnsi="Times New Roman" w:cs="Times New Roman"/>
          <w:sz w:val="24"/>
          <w:szCs w:val="24"/>
        </w:rPr>
        <w:t>Ou seja</w:t>
      </w:r>
      <w:r w:rsidRPr="0001165E">
        <w:rPr>
          <w:rFonts w:ascii="Times New Roman" w:hAnsi="Times New Roman" w:cs="Times New Roman"/>
          <w:sz w:val="24"/>
          <w:szCs w:val="24"/>
        </w:rPr>
        <w:t>, elas estariam no mais alto nível da hierarquia urbano-regional piauiense, sendo elementos estruturantes da organização desse território.</w:t>
      </w:r>
    </w:p>
    <w:p w14:paraId="1C10F254" w14:textId="64C0B5D4"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Já no caso dos CS-B, o Piauí tinha apenas duas cidades nesse nível conforme o levantamento do IBGE (2008) feito em 2007 – Campo Maior, PI e São Raimundo Nonato, PI. Por sua vez, no ano de 2018 outros três municípios somam-se a esses dois, </w:t>
      </w:r>
      <w:r w:rsidR="00A20184">
        <w:rPr>
          <w:rFonts w:ascii="Times New Roman" w:hAnsi="Times New Roman" w:cs="Times New Roman"/>
          <w:sz w:val="24"/>
          <w:szCs w:val="24"/>
        </w:rPr>
        <w:t>tendo</w:t>
      </w:r>
      <w:r w:rsidRPr="0001165E">
        <w:rPr>
          <w:rFonts w:ascii="Times New Roman" w:hAnsi="Times New Roman" w:cs="Times New Roman"/>
          <w:sz w:val="24"/>
          <w:szCs w:val="24"/>
        </w:rPr>
        <w:t xml:space="preserve"> crescido em importância no período. Foram eles: Oeiras, PI, Piripiri, PI e Bom Jesus, PI. Juntas, estas cinco cidades formariam um “segundo” escalão da hierarquia urbano-regional piauiense, contribuindo de forma subsidiária às anteriores para a estruturação e organização do território. Esse argumento visa a destacar a importância dessas cidades, sobretudo, quando observadas conforme o papel que desempenham nos subespaços regionais em que estão localizadas.</w:t>
      </w:r>
    </w:p>
    <w:p w14:paraId="4E1F29B8" w14:textId="61ACB039" w:rsidR="003406B6" w:rsidRPr="0001165E" w:rsidRDefault="000B1AB4" w:rsidP="00D234C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Entre os Centros de Zona, n</w:t>
      </w:r>
      <w:r w:rsidR="003406B6" w:rsidRPr="0001165E">
        <w:rPr>
          <w:rFonts w:ascii="Times New Roman" w:hAnsi="Times New Roman" w:cs="Times New Roman"/>
          <w:sz w:val="24"/>
          <w:szCs w:val="24"/>
        </w:rPr>
        <w:t>o Brasil, vamos encontrar 147 CZ-A e 251 CZ-B, para o ano de 2018, das quais, respectivamente, 35 e 100 estão localizadas na região Nordeste. Nota-se, portanto, que 68% de todos os CZ existentes no país estão localizados na região. Conforme apontamos</w:t>
      </w:r>
      <w:r w:rsidR="00372E44">
        <w:rPr>
          <w:rFonts w:ascii="Times New Roman" w:hAnsi="Times New Roman" w:cs="Times New Roman"/>
          <w:sz w:val="24"/>
          <w:szCs w:val="24"/>
        </w:rPr>
        <w:t xml:space="preserve"> </w:t>
      </w:r>
      <w:r w:rsidR="00A33657">
        <w:rPr>
          <w:rFonts w:ascii="Times New Roman" w:hAnsi="Times New Roman" w:cs="Times New Roman"/>
          <w:sz w:val="24"/>
          <w:szCs w:val="24"/>
        </w:rPr>
        <w:t>no referencial teórico</w:t>
      </w:r>
      <w:r w:rsidR="003406B6" w:rsidRPr="0001165E">
        <w:rPr>
          <w:rFonts w:ascii="Times New Roman" w:hAnsi="Times New Roman" w:cs="Times New Roman"/>
          <w:sz w:val="24"/>
          <w:szCs w:val="24"/>
        </w:rPr>
        <w:t xml:space="preserve">, </w:t>
      </w:r>
      <w:r w:rsidR="00A33657">
        <w:rPr>
          <w:rFonts w:ascii="Times New Roman" w:hAnsi="Times New Roman" w:cs="Times New Roman"/>
          <w:sz w:val="24"/>
          <w:szCs w:val="24"/>
        </w:rPr>
        <w:t>ali</w:t>
      </w:r>
      <w:r w:rsidR="003406B6" w:rsidRPr="0001165E">
        <w:rPr>
          <w:rFonts w:ascii="Times New Roman" w:hAnsi="Times New Roman" w:cs="Times New Roman"/>
          <w:sz w:val="24"/>
          <w:szCs w:val="24"/>
        </w:rPr>
        <w:t>, pequenas localidades assumem funções cada vez mais relevantes, de acordo com as necessidades e características dos subespaços regionais em que estão situadas. Vale observar, também, que houve redução da quantidade de CZ entre os anos de 2007 e de 2018, mas, nesse caso, em função do crescimento dos CS – ou seja, nesse período, vários CZ reforçaram-se e elevaram a sua importância regional, passando a figurar como CS.</w:t>
      </w:r>
    </w:p>
    <w:p w14:paraId="1C9069F6" w14:textId="73BF276F"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No Piauí, esse crescimento em importância só ocorreu com os três municípios que citamos anteriormente (Oeiras, Piripiri e Bom Jesus). Desse modo, no ano de 2018 vamos encontrar no Estado 4 (quatro) CZ-A e 13 CZ-B. No ano de 2007, tínhamos 5 e 24, respectivamente. </w:t>
      </w:r>
      <w:r w:rsidR="008B3374">
        <w:rPr>
          <w:rFonts w:ascii="Times New Roman" w:hAnsi="Times New Roman" w:cs="Times New Roman"/>
          <w:sz w:val="24"/>
          <w:szCs w:val="24"/>
        </w:rPr>
        <w:t>A</w:t>
      </w:r>
      <w:r w:rsidRPr="0001165E">
        <w:rPr>
          <w:rFonts w:ascii="Times New Roman" w:hAnsi="Times New Roman" w:cs="Times New Roman"/>
          <w:sz w:val="24"/>
          <w:szCs w:val="24"/>
        </w:rPr>
        <w:t xml:space="preserve"> diferença decorre do crescimento do número de CL piauienses, que somavam um total de 187 localidades em 2007, passando para 194 no ano de 2018. Tal condição exige investigações mais apuradas sobre esse conjunto de pequenas cidades para que se possa entender melhor as suas respectivas dinâmicas sociais, demográficas e econômicas.</w:t>
      </w:r>
    </w:p>
    <w:p w14:paraId="43806313" w14:textId="67A992FB" w:rsidR="00730840" w:rsidRDefault="00C73871" w:rsidP="00D234C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w:t>
      </w:r>
      <w:r w:rsidR="003406B6" w:rsidRPr="0001165E">
        <w:rPr>
          <w:rFonts w:ascii="Times New Roman" w:hAnsi="Times New Roman" w:cs="Times New Roman"/>
          <w:sz w:val="24"/>
          <w:szCs w:val="24"/>
        </w:rPr>
        <w:t xml:space="preserve"> motivo </w:t>
      </w:r>
      <w:r w:rsidR="004E074A">
        <w:rPr>
          <w:rFonts w:ascii="Times New Roman" w:hAnsi="Times New Roman" w:cs="Times New Roman"/>
          <w:sz w:val="24"/>
          <w:szCs w:val="24"/>
        </w:rPr>
        <w:t>d</w:t>
      </w:r>
      <w:r w:rsidR="003406B6" w:rsidRPr="0001165E">
        <w:rPr>
          <w:rFonts w:ascii="Times New Roman" w:hAnsi="Times New Roman" w:cs="Times New Roman"/>
          <w:sz w:val="24"/>
          <w:szCs w:val="24"/>
        </w:rPr>
        <w:t>essa redução no número de centros urbanos classificados como CZ-B no Piauí</w:t>
      </w:r>
      <w:r w:rsidR="004E074A">
        <w:rPr>
          <w:rFonts w:ascii="Times New Roman" w:hAnsi="Times New Roman" w:cs="Times New Roman"/>
          <w:sz w:val="24"/>
          <w:szCs w:val="24"/>
        </w:rPr>
        <w:t xml:space="preserve"> </w:t>
      </w:r>
      <w:r w:rsidR="00A500FD">
        <w:rPr>
          <w:rFonts w:ascii="Times New Roman" w:hAnsi="Times New Roman" w:cs="Times New Roman"/>
          <w:sz w:val="24"/>
          <w:szCs w:val="24"/>
        </w:rPr>
        <w:t xml:space="preserve">é que, </w:t>
      </w:r>
      <w:r w:rsidR="003406B6" w:rsidRPr="0001165E">
        <w:rPr>
          <w:rFonts w:ascii="Times New Roman" w:hAnsi="Times New Roman" w:cs="Times New Roman"/>
          <w:sz w:val="24"/>
          <w:szCs w:val="24"/>
        </w:rPr>
        <w:t xml:space="preserve">entre os dois levantamentos </w:t>
      </w:r>
      <w:r w:rsidR="004E074A">
        <w:rPr>
          <w:rFonts w:ascii="Times New Roman" w:hAnsi="Times New Roman" w:cs="Times New Roman"/>
          <w:sz w:val="24"/>
          <w:szCs w:val="24"/>
        </w:rPr>
        <w:t>do</w:t>
      </w:r>
      <w:r w:rsidR="003406B6" w:rsidRPr="0001165E">
        <w:rPr>
          <w:rFonts w:ascii="Times New Roman" w:hAnsi="Times New Roman" w:cs="Times New Roman"/>
          <w:sz w:val="24"/>
          <w:szCs w:val="24"/>
        </w:rPr>
        <w:t xml:space="preserve"> IBGE (2008; 2020), aqueles centros deixaram de apresentar outro município em sua área de influência. Nesse sentido, sua perda de centralidade teve um caráter mais formal e funcional – deixou de atender diretamente outra municipalidade </w:t>
      </w:r>
      <w:r w:rsidR="003406B6" w:rsidRPr="0001165E">
        <w:rPr>
          <w:rFonts w:ascii="Times New Roman" w:hAnsi="Times New Roman" w:cs="Times New Roman"/>
          <w:sz w:val="24"/>
          <w:szCs w:val="24"/>
        </w:rPr>
        <w:lastRenderedPageBreak/>
        <w:t>–, não necessariamente significando a perda de dinamismo ou de relevância daquelas cidades.</w:t>
      </w:r>
      <w:r w:rsidR="00730840">
        <w:rPr>
          <w:rFonts w:ascii="Times New Roman" w:hAnsi="Times New Roman" w:cs="Times New Roman"/>
          <w:sz w:val="24"/>
          <w:szCs w:val="24"/>
        </w:rPr>
        <w:t xml:space="preserve"> </w:t>
      </w:r>
      <w:r w:rsidR="00A500FD">
        <w:rPr>
          <w:rFonts w:ascii="Times New Roman" w:hAnsi="Times New Roman" w:cs="Times New Roman"/>
          <w:sz w:val="24"/>
          <w:szCs w:val="24"/>
        </w:rPr>
        <w:t>E</w:t>
      </w:r>
      <w:r w:rsidR="003406B6" w:rsidRPr="0001165E">
        <w:rPr>
          <w:rFonts w:ascii="Times New Roman" w:hAnsi="Times New Roman" w:cs="Times New Roman"/>
          <w:sz w:val="24"/>
          <w:szCs w:val="24"/>
        </w:rPr>
        <w:t xml:space="preserve">sse caráter mais formal e funcional </w:t>
      </w:r>
      <w:r w:rsidR="00A500FD">
        <w:rPr>
          <w:rFonts w:ascii="Times New Roman" w:hAnsi="Times New Roman" w:cs="Times New Roman"/>
          <w:sz w:val="24"/>
          <w:szCs w:val="24"/>
        </w:rPr>
        <w:t xml:space="preserve">também </w:t>
      </w:r>
      <w:r w:rsidR="003406B6" w:rsidRPr="0001165E">
        <w:rPr>
          <w:rFonts w:ascii="Times New Roman" w:hAnsi="Times New Roman" w:cs="Times New Roman"/>
          <w:sz w:val="24"/>
          <w:szCs w:val="24"/>
        </w:rPr>
        <w:t>é o que justifica as diferentes totalizações entre 2007 e 2018, feit</w:t>
      </w:r>
      <w:r w:rsidR="00A500FD">
        <w:rPr>
          <w:rFonts w:ascii="Times New Roman" w:hAnsi="Times New Roman" w:cs="Times New Roman"/>
          <w:sz w:val="24"/>
          <w:szCs w:val="24"/>
        </w:rPr>
        <w:t>a</w:t>
      </w:r>
      <w:r w:rsidR="003406B6" w:rsidRPr="0001165E">
        <w:rPr>
          <w:rFonts w:ascii="Times New Roman" w:hAnsi="Times New Roman" w:cs="Times New Roman"/>
          <w:sz w:val="24"/>
          <w:szCs w:val="24"/>
        </w:rPr>
        <w:t xml:space="preserve">s pelo IBGE. </w:t>
      </w:r>
    </w:p>
    <w:p w14:paraId="6F5473DB" w14:textId="3ACBCB29" w:rsidR="008E4ABC" w:rsidRPr="0001165E" w:rsidRDefault="003406B6" w:rsidP="008E4ABC">
      <w:pPr>
        <w:spacing w:after="0" w:line="360" w:lineRule="auto"/>
        <w:ind w:firstLine="709"/>
        <w:jc w:val="both"/>
        <w:rPr>
          <w:rFonts w:ascii="Times New Roman" w:hAnsi="Times New Roman" w:cs="Times New Roman"/>
          <w:color w:val="000000" w:themeColor="text1"/>
          <w:sz w:val="24"/>
          <w:szCs w:val="24"/>
        </w:rPr>
      </w:pPr>
      <w:r w:rsidRPr="0001165E">
        <w:rPr>
          <w:rFonts w:ascii="Times New Roman" w:hAnsi="Times New Roman" w:cs="Times New Roman"/>
          <w:sz w:val="24"/>
          <w:szCs w:val="24"/>
        </w:rPr>
        <w:t xml:space="preserve">Tomando-se apenas o caso do Piauí, eram 222 centros urbanos em 2007 e 220 </w:t>
      </w:r>
      <w:r w:rsidR="00730840">
        <w:rPr>
          <w:rFonts w:ascii="Times New Roman" w:hAnsi="Times New Roman" w:cs="Times New Roman"/>
          <w:sz w:val="24"/>
          <w:szCs w:val="24"/>
        </w:rPr>
        <w:t>em</w:t>
      </w:r>
      <w:r w:rsidRPr="0001165E">
        <w:rPr>
          <w:rFonts w:ascii="Times New Roman" w:hAnsi="Times New Roman" w:cs="Times New Roman"/>
          <w:sz w:val="24"/>
          <w:szCs w:val="24"/>
        </w:rPr>
        <w:t xml:space="preserve"> 2018. Isso se deve, primeiro, às diferentes composições das grandes aglomerações urbanas, conforme </w:t>
      </w:r>
      <w:r w:rsidR="008E4ABC">
        <w:rPr>
          <w:rFonts w:ascii="Times New Roman" w:hAnsi="Times New Roman" w:cs="Times New Roman"/>
          <w:sz w:val="24"/>
          <w:szCs w:val="24"/>
        </w:rPr>
        <w:t>pode ser ilustrado</w:t>
      </w:r>
      <w:r w:rsidRPr="0001165E">
        <w:rPr>
          <w:rFonts w:ascii="Times New Roman" w:hAnsi="Times New Roman" w:cs="Times New Roman"/>
          <w:sz w:val="24"/>
          <w:szCs w:val="24"/>
        </w:rPr>
        <w:t xml:space="preserve"> com o caso de Teresina. </w:t>
      </w:r>
      <w:r w:rsidR="008E4ABC">
        <w:rPr>
          <w:rFonts w:ascii="Times New Roman" w:hAnsi="Times New Roman" w:cs="Times New Roman"/>
          <w:color w:val="000000" w:themeColor="text1"/>
          <w:sz w:val="24"/>
          <w:szCs w:val="24"/>
        </w:rPr>
        <w:t>O</w:t>
      </w:r>
      <w:r w:rsidR="008E4ABC" w:rsidRPr="0001165E">
        <w:rPr>
          <w:rFonts w:ascii="Times New Roman" w:hAnsi="Times New Roman" w:cs="Times New Roman"/>
          <w:color w:val="000000" w:themeColor="text1"/>
          <w:sz w:val="24"/>
          <w:szCs w:val="24"/>
        </w:rPr>
        <w:t xml:space="preserve"> IBGE (2008) apontou, </w:t>
      </w:r>
      <w:r w:rsidR="008E4ABC">
        <w:rPr>
          <w:rFonts w:ascii="Times New Roman" w:hAnsi="Times New Roman" w:cs="Times New Roman"/>
          <w:color w:val="000000" w:themeColor="text1"/>
          <w:sz w:val="24"/>
          <w:szCs w:val="24"/>
        </w:rPr>
        <w:t>em</w:t>
      </w:r>
      <w:r w:rsidR="008E4ABC" w:rsidRPr="0001165E">
        <w:rPr>
          <w:rFonts w:ascii="Times New Roman" w:hAnsi="Times New Roman" w:cs="Times New Roman"/>
          <w:color w:val="000000" w:themeColor="text1"/>
          <w:sz w:val="24"/>
          <w:szCs w:val="24"/>
        </w:rPr>
        <w:t xml:space="preserve"> 2007, que a cidade de Teresina formava uma Área de Concentração Populacional (ACP)</w:t>
      </w:r>
      <w:r w:rsidR="008E4ABC">
        <w:rPr>
          <w:rFonts w:ascii="Times New Roman" w:hAnsi="Times New Roman" w:cs="Times New Roman"/>
          <w:color w:val="000000" w:themeColor="text1"/>
          <w:sz w:val="24"/>
          <w:szCs w:val="24"/>
        </w:rPr>
        <w:t xml:space="preserve">, que </w:t>
      </w:r>
      <w:r w:rsidR="008E4ABC" w:rsidRPr="0001165E">
        <w:rPr>
          <w:rFonts w:ascii="Times New Roman" w:hAnsi="Times New Roman" w:cs="Times New Roman"/>
          <w:color w:val="000000" w:themeColor="text1"/>
          <w:sz w:val="24"/>
          <w:szCs w:val="24"/>
        </w:rPr>
        <w:t>agregava o</w:t>
      </w:r>
      <w:r w:rsidR="008E4ABC">
        <w:rPr>
          <w:rFonts w:ascii="Times New Roman" w:hAnsi="Times New Roman" w:cs="Times New Roman"/>
          <w:color w:val="000000" w:themeColor="text1"/>
          <w:sz w:val="24"/>
          <w:szCs w:val="24"/>
        </w:rPr>
        <w:t>s</w:t>
      </w:r>
      <w:r w:rsidR="008E4ABC" w:rsidRPr="0001165E">
        <w:rPr>
          <w:rFonts w:ascii="Times New Roman" w:hAnsi="Times New Roman" w:cs="Times New Roman"/>
          <w:color w:val="000000" w:themeColor="text1"/>
          <w:sz w:val="24"/>
          <w:szCs w:val="24"/>
        </w:rPr>
        <w:t xml:space="preserve"> município</w:t>
      </w:r>
      <w:r w:rsidR="008E4ABC">
        <w:rPr>
          <w:rFonts w:ascii="Times New Roman" w:hAnsi="Times New Roman" w:cs="Times New Roman"/>
          <w:color w:val="000000" w:themeColor="text1"/>
          <w:sz w:val="24"/>
          <w:szCs w:val="24"/>
        </w:rPr>
        <w:t>s</w:t>
      </w:r>
      <w:r w:rsidR="008E4ABC" w:rsidRPr="0001165E">
        <w:rPr>
          <w:rFonts w:ascii="Times New Roman" w:hAnsi="Times New Roman" w:cs="Times New Roman"/>
          <w:color w:val="000000" w:themeColor="text1"/>
          <w:sz w:val="24"/>
          <w:szCs w:val="24"/>
        </w:rPr>
        <w:t xml:space="preserve"> de Demerval Lobão, PI e </w:t>
      </w:r>
      <w:r w:rsidR="008E4ABC">
        <w:rPr>
          <w:rFonts w:ascii="Times New Roman" w:hAnsi="Times New Roman" w:cs="Times New Roman"/>
          <w:color w:val="000000" w:themeColor="text1"/>
          <w:sz w:val="24"/>
          <w:szCs w:val="24"/>
        </w:rPr>
        <w:t xml:space="preserve">de </w:t>
      </w:r>
      <w:r w:rsidR="008E4ABC" w:rsidRPr="0001165E">
        <w:rPr>
          <w:rFonts w:ascii="Times New Roman" w:hAnsi="Times New Roman" w:cs="Times New Roman"/>
          <w:color w:val="000000" w:themeColor="text1"/>
          <w:sz w:val="24"/>
          <w:szCs w:val="24"/>
        </w:rPr>
        <w:t xml:space="preserve">Timon, no Maranhão. Já no ano de 2018, alterando-se o conceito para Arranjo Populacional (AP), o IBGE (2020) identificou que Teresina articulava-se mais fortemente com o município de Timon, MA – formando uma dinâmica urbana concentrada e integrada (aglomeração). Enquanto isso, o município de Demerval Lobão, PI figuraria como </w:t>
      </w:r>
      <w:r w:rsidR="000A271F">
        <w:rPr>
          <w:rFonts w:ascii="Times New Roman" w:hAnsi="Times New Roman" w:cs="Times New Roman"/>
          <w:color w:val="000000" w:themeColor="text1"/>
          <w:sz w:val="24"/>
          <w:szCs w:val="24"/>
        </w:rPr>
        <w:t>CL</w:t>
      </w:r>
      <w:r w:rsidR="008E4ABC" w:rsidRPr="0001165E">
        <w:rPr>
          <w:rFonts w:ascii="Times New Roman" w:hAnsi="Times New Roman" w:cs="Times New Roman"/>
          <w:color w:val="000000" w:themeColor="text1"/>
          <w:sz w:val="24"/>
          <w:szCs w:val="24"/>
        </w:rPr>
        <w:t>, isto é, teria relações menos adensadas com a capital estadual. Nesse último caso, estabeleceria com Teresina muito mais uma relação de subordinação no âmbito da rede urbana do que o da formação de uma aglomeração de cidades.</w:t>
      </w:r>
    </w:p>
    <w:p w14:paraId="58A20DCA" w14:textId="77777777"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Em segundo lugar, a diferença também se deve às mudanças de composição dos municípios, ainda que, em todo o país, desde o ano 2000, foram emancipadas poucas municipalidades. No caso do Piauí, o município de </w:t>
      </w:r>
      <w:proofErr w:type="spellStart"/>
      <w:r w:rsidRPr="0001165E">
        <w:rPr>
          <w:rFonts w:ascii="Times New Roman" w:hAnsi="Times New Roman" w:cs="Times New Roman"/>
          <w:sz w:val="24"/>
          <w:szCs w:val="24"/>
        </w:rPr>
        <w:t>Nazária</w:t>
      </w:r>
      <w:proofErr w:type="spellEnd"/>
      <w:r w:rsidRPr="0001165E">
        <w:rPr>
          <w:rFonts w:ascii="Times New Roman" w:hAnsi="Times New Roman" w:cs="Times New Roman"/>
          <w:sz w:val="24"/>
          <w:szCs w:val="24"/>
        </w:rPr>
        <w:t xml:space="preserve"> não foi relacionado no ano de 2007 em função das questões judiciais que envolviam a sua emancipação, definitivamente reconhecida somente no ano de 2008. Já no ano de 2018, o IBGE identificou </w:t>
      </w:r>
      <w:proofErr w:type="spellStart"/>
      <w:r w:rsidRPr="0001165E">
        <w:rPr>
          <w:rFonts w:ascii="Times New Roman" w:hAnsi="Times New Roman" w:cs="Times New Roman"/>
          <w:sz w:val="24"/>
          <w:szCs w:val="24"/>
        </w:rPr>
        <w:t>Nazária</w:t>
      </w:r>
      <w:proofErr w:type="spellEnd"/>
      <w:r w:rsidRPr="0001165E">
        <w:rPr>
          <w:rFonts w:ascii="Times New Roman" w:hAnsi="Times New Roman" w:cs="Times New Roman"/>
          <w:sz w:val="24"/>
          <w:szCs w:val="24"/>
        </w:rPr>
        <w:t xml:space="preserve"> como um CL subordinado diretamente à Teresina e, portanto, integrado à rede urbana estadual.</w:t>
      </w:r>
    </w:p>
    <w:p w14:paraId="5BF7DAFE" w14:textId="04D12386" w:rsidR="003406B6" w:rsidRPr="0001165E" w:rsidRDefault="003406B6" w:rsidP="00D234CF">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Em terceiro lugar, as diferenças também se manifestam quando visualizamos as composições de AP em níveis escalares que não estão no topo da hierarquia urbano-regional, formando-se o que Miranda e Gomes Jr. (2017) denominou de </w:t>
      </w:r>
      <w:r w:rsidRPr="0001165E">
        <w:rPr>
          <w:rFonts w:ascii="Times New Roman" w:hAnsi="Times New Roman" w:cs="Times New Roman"/>
          <w:i/>
          <w:iCs/>
          <w:sz w:val="24"/>
          <w:szCs w:val="24"/>
        </w:rPr>
        <w:t>arranjos urbano-intermediários</w:t>
      </w:r>
      <w:r w:rsidRPr="0001165E">
        <w:rPr>
          <w:rStyle w:val="Refdenotaderodap"/>
          <w:rFonts w:ascii="Times New Roman" w:hAnsi="Times New Roman" w:cs="Times New Roman"/>
          <w:i/>
          <w:iCs/>
          <w:sz w:val="24"/>
          <w:szCs w:val="24"/>
        </w:rPr>
        <w:footnoteReference w:id="2"/>
      </w:r>
      <w:r w:rsidRPr="0001165E">
        <w:rPr>
          <w:rFonts w:ascii="Times New Roman" w:hAnsi="Times New Roman" w:cs="Times New Roman"/>
          <w:sz w:val="24"/>
          <w:szCs w:val="24"/>
        </w:rPr>
        <w:t>. No</w:t>
      </w:r>
      <w:r w:rsidR="00DD302D">
        <w:rPr>
          <w:rFonts w:ascii="Times New Roman" w:hAnsi="Times New Roman" w:cs="Times New Roman"/>
          <w:sz w:val="24"/>
          <w:szCs w:val="24"/>
        </w:rPr>
        <w:t xml:space="preserve"> </w:t>
      </w:r>
      <w:r w:rsidRPr="0001165E">
        <w:rPr>
          <w:rFonts w:ascii="Times New Roman" w:hAnsi="Times New Roman" w:cs="Times New Roman"/>
          <w:sz w:val="24"/>
          <w:szCs w:val="24"/>
        </w:rPr>
        <w:t xml:space="preserve">Piauí, </w:t>
      </w:r>
      <w:r w:rsidR="001157F7">
        <w:rPr>
          <w:rFonts w:ascii="Times New Roman" w:hAnsi="Times New Roman" w:cs="Times New Roman"/>
          <w:sz w:val="24"/>
          <w:szCs w:val="24"/>
        </w:rPr>
        <w:t>há</w:t>
      </w:r>
      <w:r w:rsidRPr="0001165E">
        <w:rPr>
          <w:rFonts w:ascii="Times New Roman" w:hAnsi="Times New Roman" w:cs="Times New Roman"/>
          <w:sz w:val="24"/>
          <w:szCs w:val="24"/>
        </w:rPr>
        <w:t xml:space="preserve"> diversas áreas que formam esses arranjos intermediários, indicando uma dinâmica urbana inte</w:t>
      </w:r>
      <w:r w:rsidR="00431FEA">
        <w:rPr>
          <w:rFonts w:ascii="Times New Roman" w:hAnsi="Times New Roman" w:cs="Times New Roman"/>
          <w:sz w:val="24"/>
          <w:szCs w:val="24"/>
        </w:rPr>
        <w:t>grada</w:t>
      </w:r>
      <w:r w:rsidRPr="0001165E">
        <w:rPr>
          <w:rFonts w:ascii="Times New Roman" w:hAnsi="Times New Roman" w:cs="Times New Roman"/>
          <w:sz w:val="24"/>
          <w:szCs w:val="24"/>
        </w:rPr>
        <w:t xml:space="preserve"> entre dois ou mais municípios. Tais arranjos se distribuem por diferentes porções do território, indicando fortes interrelações com municípios do Maranhão, conforme </w:t>
      </w:r>
      <w:r w:rsidR="008C45E0">
        <w:rPr>
          <w:rFonts w:ascii="Times New Roman" w:hAnsi="Times New Roman" w:cs="Times New Roman"/>
          <w:sz w:val="24"/>
          <w:szCs w:val="24"/>
        </w:rPr>
        <w:t>demonstrado</w:t>
      </w:r>
      <w:r w:rsidRPr="0001165E">
        <w:rPr>
          <w:rFonts w:ascii="Times New Roman" w:hAnsi="Times New Roman" w:cs="Times New Roman"/>
          <w:sz w:val="24"/>
          <w:szCs w:val="24"/>
        </w:rPr>
        <w:t xml:space="preserve"> </w:t>
      </w:r>
      <w:r w:rsidR="002C253B">
        <w:rPr>
          <w:rFonts w:ascii="Times New Roman" w:hAnsi="Times New Roman" w:cs="Times New Roman"/>
          <w:sz w:val="24"/>
          <w:szCs w:val="24"/>
        </w:rPr>
        <w:t>no</w:t>
      </w:r>
      <w:r w:rsidRPr="0001165E">
        <w:rPr>
          <w:rFonts w:ascii="Times New Roman" w:hAnsi="Times New Roman" w:cs="Times New Roman"/>
          <w:sz w:val="24"/>
          <w:szCs w:val="24"/>
        </w:rPr>
        <w:t xml:space="preserve"> Quadro 1. </w:t>
      </w:r>
      <w:r w:rsidR="002C253B">
        <w:rPr>
          <w:rFonts w:ascii="Times New Roman" w:hAnsi="Times New Roman" w:cs="Times New Roman"/>
          <w:sz w:val="24"/>
          <w:szCs w:val="24"/>
        </w:rPr>
        <w:t>Nota</w:t>
      </w:r>
      <w:r w:rsidR="008E1FAB">
        <w:rPr>
          <w:rFonts w:ascii="Times New Roman" w:hAnsi="Times New Roman" w:cs="Times New Roman"/>
          <w:sz w:val="24"/>
          <w:szCs w:val="24"/>
        </w:rPr>
        <w:t>-se</w:t>
      </w:r>
      <w:r w:rsidRPr="0001165E">
        <w:rPr>
          <w:rFonts w:ascii="Times New Roman" w:hAnsi="Times New Roman" w:cs="Times New Roman"/>
          <w:sz w:val="24"/>
          <w:szCs w:val="24"/>
        </w:rPr>
        <w:t xml:space="preserve"> que, dos 6 AP situados no Piauí, 4 </w:t>
      </w:r>
      <w:r w:rsidRPr="0001165E">
        <w:rPr>
          <w:rFonts w:ascii="Times New Roman" w:hAnsi="Times New Roman" w:cs="Times New Roman"/>
          <w:sz w:val="24"/>
          <w:szCs w:val="24"/>
        </w:rPr>
        <w:lastRenderedPageBreak/>
        <w:t xml:space="preserve">formam aglomerações com municípios do Maranhão, que são os casos dos AP de Floriano/PI, AP de </w:t>
      </w:r>
      <w:proofErr w:type="spellStart"/>
      <w:r w:rsidRPr="0001165E">
        <w:rPr>
          <w:rFonts w:ascii="Times New Roman" w:hAnsi="Times New Roman" w:cs="Times New Roman"/>
          <w:sz w:val="24"/>
          <w:szCs w:val="24"/>
        </w:rPr>
        <w:t>Uruçui</w:t>
      </w:r>
      <w:proofErr w:type="spellEnd"/>
      <w:r w:rsidRPr="0001165E">
        <w:rPr>
          <w:rFonts w:ascii="Times New Roman" w:hAnsi="Times New Roman" w:cs="Times New Roman"/>
          <w:sz w:val="24"/>
          <w:szCs w:val="24"/>
        </w:rPr>
        <w:t>/PI, AP de Amarante/</w:t>
      </w:r>
      <w:proofErr w:type="spellStart"/>
      <w:r w:rsidRPr="0001165E">
        <w:rPr>
          <w:rFonts w:ascii="Times New Roman" w:hAnsi="Times New Roman" w:cs="Times New Roman"/>
          <w:sz w:val="24"/>
          <w:szCs w:val="24"/>
        </w:rPr>
        <w:t>PI-São</w:t>
      </w:r>
      <w:proofErr w:type="spellEnd"/>
      <w:r w:rsidRPr="0001165E">
        <w:rPr>
          <w:rFonts w:ascii="Times New Roman" w:hAnsi="Times New Roman" w:cs="Times New Roman"/>
          <w:sz w:val="24"/>
          <w:szCs w:val="24"/>
        </w:rPr>
        <w:t xml:space="preserve"> Francisco do Maranhão/MA e AP de Teresina/PI. </w:t>
      </w:r>
    </w:p>
    <w:p w14:paraId="4E992F98" w14:textId="77777777" w:rsidR="003406B6" w:rsidRDefault="003406B6" w:rsidP="003406B6">
      <w:pPr>
        <w:spacing w:after="0" w:line="240" w:lineRule="auto"/>
        <w:jc w:val="center"/>
        <w:rPr>
          <w:rFonts w:ascii="Arial" w:hAnsi="Arial" w:cs="Arial"/>
          <w:b/>
          <w:bCs/>
        </w:rPr>
      </w:pPr>
    </w:p>
    <w:p w14:paraId="65C3B495" w14:textId="77777777" w:rsidR="003406B6" w:rsidRPr="0001165E" w:rsidRDefault="003406B6" w:rsidP="003406B6">
      <w:pPr>
        <w:spacing w:after="0" w:line="240" w:lineRule="auto"/>
        <w:jc w:val="center"/>
        <w:rPr>
          <w:rFonts w:ascii="Times New Roman" w:hAnsi="Times New Roman" w:cs="Times New Roman"/>
        </w:rPr>
      </w:pPr>
      <w:r w:rsidRPr="0001165E">
        <w:rPr>
          <w:rFonts w:ascii="Times New Roman" w:hAnsi="Times New Roman" w:cs="Times New Roman"/>
          <w:b/>
          <w:bCs/>
        </w:rPr>
        <w:t xml:space="preserve">Quadro 1 - </w:t>
      </w:r>
      <w:r w:rsidRPr="0001165E">
        <w:rPr>
          <w:rFonts w:ascii="Times New Roman" w:hAnsi="Times New Roman" w:cs="Times New Roman"/>
        </w:rPr>
        <w:t>Relação e composição dos arranjos populacionais (AP) existentes no Estado do Piauí no ano de 2018</w:t>
      </w:r>
    </w:p>
    <w:tbl>
      <w:tblPr>
        <w:tblW w:w="5000" w:type="pct"/>
        <w:tblCellMar>
          <w:left w:w="70" w:type="dxa"/>
          <w:right w:w="70" w:type="dxa"/>
        </w:tblCellMar>
        <w:tblLook w:val="04A0" w:firstRow="1" w:lastRow="0" w:firstColumn="1" w:lastColumn="0" w:noHBand="0" w:noVBand="1"/>
      </w:tblPr>
      <w:tblGrid>
        <w:gridCol w:w="2304"/>
        <w:gridCol w:w="1229"/>
        <w:gridCol w:w="487"/>
        <w:gridCol w:w="2296"/>
        <w:gridCol w:w="451"/>
        <w:gridCol w:w="2294"/>
      </w:tblGrid>
      <w:tr w:rsidR="003406B6" w:rsidRPr="0001165E" w14:paraId="6B1EA94F" w14:textId="77777777" w:rsidTr="00F43C9F">
        <w:trPr>
          <w:trHeight w:val="290"/>
        </w:trPr>
        <w:tc>
          <w:tcPr>
            <w:tcW w:w="1949" w:type="pct"/>
            <w:gridSpan w:val="2"/>
            <w:tcBorders>
              <w:top w:val="single" w:sz="4" w:space="0" w:color="auto"/>
              <w:left w:val="single" w:sz="4" w:space="0" w:color="auto"/>
              <w:bottom w:val="nil"/>
              <w:right w:val="nil"/>
            </w:tcBorders>
            <w:shd w:val="clear" w:color="000000" w:fill="FFFFFF"/>
            <w:vAlign w:val="bottom"/>
            <w:hideMark/>
          </w:tcPr>
          <w:p w14:paraId="1FF39438"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Arranjo Populacional</w:t>
            </w:r>
          </w:p>
        </w:tc>
        <w:tc>
          <w:tcPr>
            <w:tcW w:w="3051" w:type="pct"/>
            <w:gridSpan w:val="4"/>
            <w:tcBorders>
              <w:top w:val="single" w:sz="4" w:space="0" w:color="auto"/>
              <w:left w:val="single" w:sz="4" w:space="0" w:color="auto"/>
              <w:bottom w:val="nil"/>
              <w:right w:val="single" w:sz="4" w:space="0" w:color="000000"/>
            </w:tcBorders>
            <w:shd w:val="clear" w:color="000000" w:fill="FFFFFF"/>
            <w:vAlign w:val="bottom"/>
            <w:hideMark/>
          </w:tcPr>
          <w:p w14:paraId="5E89E4E2"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Composição do Arranjo</w:t>
            </w:r>
          </w:p>
        </w:tc>
      </w:tr>
      <w:tr w:rsidR="003406B6" w:rsidRPr="0001165E" w14:paraId="17D04104" w14:textId="77777777" w:rsidTr="00F43C9F">
        <w:trPr>
          <w:trHeight w:val="290"/>
        </w:trPr>
        <w:tc>
          <w:tcPr>
            <w:tcW w:w="1271" w:type="pct"/>
            <w:tcBorders>
              <w:top w:val="single" w:sz="4" w:space="0" w:color="auto"/>
              <w:left w:val="single" w:sz="4" w:space="0" w:color="auto"/>
              <w:bottom w:val="single" w:sz="4" w:space="0" w:color="auto"/>
              <w:right w:val="nil"/>
            </w:tcBorders>
            <w:shd w:val="clear" w:color="000000" w:fill="FFFFFF"/>
            <w:vAlign w:val="center"/>
            <w:hideMark/>
          </w:tcPr>
          <w:p w14:paraId="12523B88"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Nome</w:t>
            </w:r>
          </w:p>
        </w:tc>
        <w:tc>
          <w:tcPr>
            <w:tcW w:w="6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27F62"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Tipo</w:t>
            </w:r>
          </w:p>
        </w:tc>
        <w:tc>
          <w:tcPr>
            <w:tcW w:w="269" w:type="pct"/>
            <w:tcBorders>
              <w:top w:val="single" w:sz="4" w:space="0" w:color="auto"/>
              <w:left w:val="nil"/>
              <w:bottom w:val="single" w:sz="4" w:space="0" w:color="auto"/>
              <w:right w:val="single" w:sz="4" w:space="0" w:color="auto"/>
            </w:tcBorders>
            <w:shd w:val="clear" w:color="000000" w:fill="FFFFFF"/>
            <w:vAlign w:val="center"/>
            <w:hideMark/>
          </w:tcPr>
          <w:p w14:paraId="7B9DCE88"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UF</w:t>
            </w:r>
          </w:p>
        </w:tc>
        <w:tc>
          <w:tcPr>
            <w:tcW w:w="1267" w:type="pct"/>
            <w:tcBorders>
              <w:top w:val="single" w:sz="4" w:space="0" w:color="auto"/>
              <w:left w:val="nil"/>
              <w:bottom w:val="single" w:sz="4" w:space="0" w:color="auto"/>
              <w:right w:val="single" w:sz="4" w:space="0" w:color="auto"/>
            </w:tcBorders>
            <w:shd w:val="clear" w:color="000000" w:fill="FFFFFF"/>
            <w:vAlign w:val="center"/>
            <w:hideMark/>
          </w:tcPr>
          <w:p w14:paraId="70092207"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Município</w:t>
            </w:r>
          </w:p>
        </w:tc>
        <w:tc>
          <w:tcPr>
            <w:tcW w:w="249" w:type="pct"/>
            <w:tcBorders>
              <w:top w:val="single" w:sz="4" w:space="0" w:color="auto"/>
              <w:left w:val="nil"/>
              <w:bottom w:val="single" w:sz="4" w:space="0" w:color="auto"/>
              <w:right w:val="single" w:sz="4" w:space="0" w:color="auto"/>
            </w:tcBorders>
            <w:shd w:val="clear" w:color="000000" w:fill="FFFFFF"/>
            <w:vAlign w:val="center"/>
            <w:hideMark/>
          </w:tcPr>
          <w:p w14:paraId="296B52AB"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UF</w:t>
            </w:r>
          </w:p>
        </w:tc>
        <w:tc>
          <w:tcPr>
            <w:tcW w:w="1267" w:type="pct"/>
            <w:tcBorders>
              <w:top w:val="single" w:sz="4" w:space="0" w:color="auto"/>
              <w:left w:val="nil"/>
              <w:bottom w:val="single" w:sz="4" w:space="0" w:color="auto"/>
              <w:right w:val="single" w:sz="4" w:space="0" w:color="auto"/>
            </w:tcBorders>
            <w:shd w:val="clear" w:color="000000" w:fill="FFFFFF"/>
            <w:vAlign w:val="center"/>
            <w:hideMark/>
          </w:tcPr>
          <w:p w14:paraId="154F21CC"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Município</w:t>
            </w:r>
          </w:p>
        </w:tc>
      </w:tr>
      <w:tr w:rsidR="003406B6" w:rsidRPr="0001165E" w14:paraId="3B4B9E32" w14:textId="77777777" w:rsidTr="00F43C9F">
        <w:trPr>
          <w:trHeight w:val="290"/>
        </w:trPr>
        <w:tc>
          <w:tcPr>
            <w:tcW w:w="1271" w:type="pct"/>
            <w:tcBorders>
              <w:top w:val="nil"/>
              <w:left w:val="single" w:sz="4" w:space="0" w:color="auto"/>
              <w:bottom w:val="single" w:sz="4" w:space="0" w:color="auto"/>
              <w:right w:val="nil"/>
            </w:tcBorders>
            <w:shd w:val="clear" w:color="000000" w:fill="FFFFFF"/>
            <w:vAlign w:val="center"/>
            <w:hideMark/>
          </w:tcPr>
          <w:p w14:paraId="2B5AE8E2"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 de Floriano/PI</w:t>
            </w:r>
          </w:p>
        </w:tc>
        <w:tc>
          <w:tcPr>
            <w:tcW w:w="678" w:type="pct"/>
            <w:tcBorders>
              <w:top w:val="nil"/>
              <w:left w:val="nil"/>
              <w:bottom w:val="single" w:sz="4" w:space="0" w:color="auto"/>
              <w:right w:val="nil"/>
            </w:tcBorders>
            <w:shd w:val="clear" w:color="000000" w:fill="FFFFFF"/>
            <w:vAlign w:val="center"/>
            <w:hideMark/>
          </w:tcPr>
          <w:p w14:paraId="59A4E2F1"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w:t>
            </w:r>
          </w:p>
        </w:tc>
        <w:tc>
          <w:tcPr>
            <w:tcW w:w="269" w:type="pct"/>
            <w:tcBorders>
              <w:top w:val="nil"/>
              <w:left w:val="single" w:sz="4" w:space="0" w:color="auto"/>
              <w:bottom w:val="single" w:sz="4" w:space="0" w:color="auto"/>
              <w:right w:val="nil"/>
            </w:tcBorders>
            <w:shd w:val="clear" w:color="000000" w:fill="FFFFFF"/>
            <w:vAlign w:val="center"/>
            <w:hideMark/>
          </w:tcPr>
          <w:p w14:paraId="25A32446"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MA</w:t>
            </w:r>
          </w:p>
        </w:tc>
        <w:tc>
          <w:tcPr>
            <w:tcW w:w="1267" w:type="pct"/>
            <w:tcBorders>
              <w:top w:val="nil"/>
              <w:left w:val="nil"/>
              <w:bottom w:val="single" w:sz="4" w:space="0" w:color="auto"/>
              <w:right w:val="nil"/>
            </w:tcBorders>
            <w:shd w:val="clear" w:color="000000" w:fill="FFFFFF"/>
            <w:vAlign w:val="center"/>
            <w:hideMark/>
          </w:tcPr>
          <w:p w14:paraId="7EB35A68"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Barão de Grajaú</w:t>
            </w:r>
          </w:p>
        </w:tc>
        <w:tc>
          <w:tcPr>
            <w:tcW w:w="249" w:type="pct"/>
            <w:tcBorders>
              <w:top w:val="nil"/>
              <w:left w:val="nil"/>
              <w:bottom w:val="single" w:sz="4" w:space="0" w:color="auto"/>
              <w:right w:val="nil"/>
            </w:tcBorders>
            <w:shd w:val="clear" w:color="000000" w:fill="FFFFFF"/>
            <w:vAlign w:val="center"/>
            <w:hideMark/>
          </w:tcPr>
          <w:p w14:paraId="41A044D6"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3C7DA5BA"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Floriano</w:t>
            </w:r>
          </w:p>
        </w:tc>
      </w:tr>
      <w:tr w:rsidR="003406B6" w:rsidRPr="0001165E" w14:paraId="4B40748E" w14:textId="77777777" w:rsidTr="00F43C9F">
        <w:trPr>
          <w:trHeight w:val="290"/>
        </w:trPr>
        <w:tc>
          <w:tcPr>
            <w:tcW w:w="1271" w:type="pct"/>
            <w:tcBorders>
              <w:top w:val="nil"/>
              <w:left w:val="single" w:sz="4" w:space="0" w:color="auto"/>
              <w:bottom w:val="single" w:sz="4" w:space="0" w:color="auto"/>
              <w:right w:val="nil"/>
            </w:tcBorders>
            <w:shd w:val="clear" w:color="000000" w:fill="FFFFFF"/>
            <w:vAlign w:val="center"/>
            <w:hideMark/>
          </w:tcPr>
          <w:p w14:paraId="5F00C4E5"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 de Uruçuí/PI</w:t>
            </w:r>
          </w:p>
        </w:tc>
        <w:tc>
          <w:tcPr>
            <w:tcW w:w="678" w:type="pct"/>
            <w:tcBorders>
              <w:top w:val="nil"/>
              <w:left w:val="nil"/>
              <w:bottom w:val="single" w:sz="4" w:space="0" w:color="auto"/>
              <w:right w:val="nil"/>
            </w:tcBorders>
            <w:shd w:val="clear" w:color="000000" w:fill="FFFFFF"/>
            <w:vAlign w:val="center"/>
            <w:hideMark/>
          </w:tcPr>
          <w:p w14:paraId="3B8E7223"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w:t>
            </w:r>
          </w:p>
        </w:tc>
        <w:tc>
          <w:tcPr>
            <w:tcW w:w="269" w:type="pct"/>
            <w:tcBorders>
              <w:top w:val="nil"/>
              <w:left w:val="single" w:sz="4" w:space="0" w:color="auto"/>
              <w:bottom w:val="single" w:sz="4" w:space="0" w:color="auto"/>
              <w:right w:val="nil"/>
            </w:tcBorders>
            <w:shd w:val="clear" w:color="000000" w:fill="FFFFFF"/>
            <w:vAlign w:val="center"/>
            <w:hideMark/>
          </w:tcPr>
          <w:p w14:paraId="62BD8699"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MA</w:t>
            </w:r>
          </w:p>
        </w:tc>
        <w:tc>
          <w:tcPr>
            <w:tcW w:w="1267" w:type="pct"/>
            <w:tcBorders>
              <w:top w:val="nil"/>
              <w:left w:val="nil"/>
              <w:bottom w:val="single" w:sz="4" w:space="0" w:color="auto"/>
              <w:right w:val="nil"/>
            </w:tcBorders>
            <w:shd w:val="clear" w:color="000000" w:fill="FFFFFF"/>
            <w:vAlign w:val="center"/>
            <w:hideMark/>
          </w:tcPr>
          <w:p w14:paraId="1BE18C47"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Benedito Leite</w:t>
            </w:r>
          </w:p>
        </w:tc>
        <w:tc>
          <w:tcPr>
            <w:tcW w:w="249" w:type="pct"/>
            <w:tcBorders>
              <w:top w:val="nil"/>
              <w:left w:val="nil"/>
              <w:bottom w:val="single" w:sz="4" w:space="0" w:color="auto"/>
              <w:right w:val="nil"/>
            </w:tcBorders>
            <w:shd w:val="clear" w:color="000000" w:fill="FFFFFF"/>
            <w:vAlign w:val="center"/>
            <w:hideMark/>
          </w:tcPr>
          <w:p w14:paraId="36CF3A76"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4702A353"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Uruçuí</w:t>
            </w:r>
          </w:p>
        </w:tc>
      </w:tr>
      <w:tr w:rsidR="003406B6" w:rsidRPr="0001165E" w14:paraId="63633141" w14:textId="77777777" w:rsidTr="00F43C9F">
        <w:trPr>
          <w:trHeight w:val="750"/>
        </w:trPr>
        <w:tc>
          <w:tcPr>
            <w:tcW w:w="1271" w:type="pct"/>
            <w:tcBorders>
              <w:top w:val="nil"/>
              <w:left w:val="single" w:sz="4" w:space="0" w:color="auto"/>
              <w:bottom w:val="single" w:sz="4" w:space="0" w:color="auto"/>
              <w:right w:val="nil"/>
            </w:tcBorders>
            <w:shd w:val="clear" w:color="000000" w:fill="FFFFFF"/>
            <w:vAlign w:val="center"/>
            <w:hideMark/>
          </w:tcPr>
          <w:p w14:paraId="02C4376B"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 de Amarante/PI - São Francisco do Maranhão/MA</w:t>
            </w:r>
          </w:p>
        </w:tc>
        <w:tc>
          <w:tcPr>
            <w:tcW w:w="678" w:type="pct"/>
            <w:tcBorders>
              <w:top w:val="nil"/>
              <w:left w:val="nil"/>
              <w:bottom w:val="single" w:sz="4" w:space="0" w:color="auto"/>
              <w:right w:val="nil"/>
            </w:tcBorders>
            <w:shd w:val="clear" w:color="000000" w:fill="FFFFFF"/>
            <w:vAlign w:val="center"/>
            <w:hideMark/>
          </w:tcPr>
          <w:p w14:paraId="3C8EB074"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w:t>
            </w:r>
          </w:p>
        </w:tc>
        <w:tc>
          <w:tcPr>
            <w:tcW w:w="269" w:type="pct"/>
            <w:tcBorders>
              <w:top w:val="nil"/>
              <w:left w:val="single" w:sz="4" w:space="0" w:color="auto"/>
              <w:bottom w:val="single" w:sz="4" w:space="0" w:color="auto"/>
              <w:right w:val="nil"/>
            </w:tcBorders>
            <w:shd w:val="clear" w:color="000000" w:fill="FFFFFF"/>
            <w:vAlign w:val="center"/>
            <w:hideMark/>
          </w:tcPr>
          <w:p w14:paraId="49142EE7"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MA</w:t>
            </w:r>
          </w:p>
        </w:tc>
        <w:tc>
          <w:tcPr>
            <w:tcW w:w="1267" w:type="pct"/>
            <w:tcBorders>
              <w:top w:val="nil"/>
              <w:left w:val="nil"/>
              <w:bottom w:val="single" w:sz="4" w:space="0" w:color="auto"/>
              <w:right w:val="nil"/>
            </w:tcBorders>
            <w:shd w:val="clear" w:color="000000" w:fill="FFFFFF"/>
            <w:vAlign w:val="center"/>
            <w:hideMark/>
          </w:tcPr>
          <w:p w14:paraId="26583FD1"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São Francisco do Maranhão</w:t>
            </w:r>
          </w:p>
        </w:tc>
        <w:tc>
          <w:tcPr>
            <w:tcW w:w="249" w:type="pct"/>
            <w:tcBorders>
              <w:top w:val="nil"/>
              <w:left w:val="nil"/>
              <w:bottom w:val="single" w:sz="4" w:space="0" w:color="auto"/>
              <w:right w:val="nil"/>
            </w:tcBorders>
            <w:shd w:val="clear" w:color="000000" w:fill="FFFFFF"/>
            <w:vAlign w:val="center"/>
            <w:hideMark/>
          </w:tcPr>
          <w:p w14:paraId="2294FDFC"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48E063D8"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Amarante</w:t>
            </w:r>
          </w:p>
        </w:tc>
      </w:tr>
      <w:tr w:rsidR="003406B6" w:rsidRPr="0001165E" w14:paraId="1164D742" w14:textId="77777777" w:rsidTr="00F43C9F">
        <w:trPr>
          <w:trHeight w:val="290"/>
        </w:trPr>
        <w:tc>
          <w:tcPr>
            <w:tcW w:w="1271" w:type="pct"/>
            <w:tcBorders>
              <w:top w:val="nil"/>
              <w:left w:val="single" w:sz="4" w:space="0" w:color="auto"/>
              <w:bottom w:val="single" w:sz="4" w:space="0" w:color="auto"/>
              <w:right w:val="nil"/>
            </w:tcBorders>
            <w:shd w:val="clear" w:color="000000" w:fill="FFFFFF"/>
            <w:vAlign w:val="center"/>
            <w:hideMark/>
          </w:tcPr>
          <w:p w14:paraId="6F657802"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 de Teresina/PI</w:t>
            </w:r>
          </w:p>
        </w:tc>
        <w:tc>
          <w:tcPr>
            <w:tcW w:w="678" w:type="pct"/>
            <w:tcBorders>
              <w:top w:val="nil"/>
              <w:left w:val="nil"/>
              <w:bottom w:val="single" w:sz="4" w:space="0" w:color="auto"/>
              <w:right w:val="nil"/>
            </w:tcBorders>
            <w:shd w:val="clear" w:color="000000" w:fill="FFFFFF"/>
            <w:vAlign w:val="center"/>
            <w:hideMark/>
          </w:tcPr>
          <w:p w14:paraId="22B9C60F"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G.G.U - AP</w:t>
            </w:r>
          </w:p>
        </w:tc>
        <w:tc>
          <w:tcPr>
            <w:tcW w:w="269" w:type="pct"/>
            <w:tcBorders>
              <w:top w:val="nil"/>
              <w:left w:val="single" w:sz="4" w:space="0" w:color="auto"/>
              <w:bottom w:val="single" w:sz="4" w:space="0" w:color="auto"/>
              <w:right w:val="nil"/>
            </w:tcBorders>
            <w:shd w:val="clear" w:color="000000" w:fill="FFFFFF"/>
            <w:vAlign w:val="center"/>
            <w:hideMark/>
          </w:tcPr>
          <w:p w14:paraId="4BF0057D"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MA</w:t>
            </w:r>
          </w:p>
        </w:tc>
        <w:tc>
          <w:tcPr>
            <w:tcW w:w="1267" w:type="pct"/>
            <w:tcBorders>
              <w:top w:val="nil"/>
              <w:left w:val="nil"/>
              <w:bottom w:val="single" w:sz="4" w:space="0" w:color="auto"/>
              <w:right w:val="nil"/>
            </w:tcBorders>
            <w:shd w:val="clear" w:color="000000" w:fill="FFFFFF"/>
            <w:vAlign w:val="center"/>
            <w:hideMark/>
          </w:tcPr>
          <w:p w14:paraId="520F76A8"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Timon</w:t>
            </w:r>
          </w:p>
        </w:tc>
        <w:tc>
          <w:tcPr>
            <w:tcW w:w="249" w:type="pct"/>
            <w:tcBorders>
              <w:top w:val="nil"/>
              <w:left w:val="nil"/>
              <w:bottom w:val="single" w:sz="4" w:space="0" w:color="auto"/>
              <w:right w:val="nil"/>
            </w:tcBorders>
            <w:shd w:val="clear" w:color="000000" w:fill="FFFFFF"/>
            <w:vAlign w:val="center"/>
            <w:hideMark/>
          </w:tcPr>
          <w:p w14:paraId="3647FA9A"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0265AB2F"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Teresina</w:t>
            </w:r>
          </w:p>
        </w:tc>
      </w:tr>
      <w:tr w:rsidR="003406B6" w:rsidRPr="0001165E" w14:paraId="74925BB5" w14:textId="77777777" w:rsidTr="00F43C9F">
        <w:trPr>
          <w:trHeight w:val="500"/>
        </w:trPr>
        <w:tc>
          <w:tcPr>
            <w:tcW w:w="1271" w:type="pct"/>
            <w:tcBorders>
              <w:top w:val="nil"/>
              <w:left w:val="single" w:sz="4" w:space="0" w:color="auto"/>
              <w:bottom w:val="single" w:sz="4" w:space="0" w:color="auto"/>
              <w:right w:val="nil"/>
            </w:tcBorders>
            <w:shd w:val="clear" w:color="000000" w:fill="FFFFFF"/>
            <w:vAlign w:val="center"/>
            <w:hideMark/>
          </w:tcPr>
          <w:p w14:paraId="64A2C6C2"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 xml:space="preserve">AP de </w:t>
            </w:r>
            <w:proofErr w:type="spellStart"/>
            <w:r w:rsidRPr="0001165E">
              <w:rPr>
                <w:rFonts w:ascii="Times New Roman" w:eastAsia="Times New Roman" w:hAnsi="Times New Roman" w:cs="Times New Roman"/>
                <w:color w:val="000000"/>
                <w:sz w:val="20"/>
                <w:szCs w:val="20"/>
                <w:lang w:eastAsia="pt-BR"/>
              </w:rPr>
              <w:t>Angical</w:t>
            </w:r>
            <w:proofErr w:type="spellEnd"/>
            <w:r w:rsidRPr="0001165E">
              <w:rPr>
                <w:rFonts w:ascii="Times New Roman" w:eastAsia="Times New Roman" w:hAnsi="Times New Roman" w:cs="Times New Roman"/>
                <w:color w:val="000000"/>
                <w:sz w:val="20"/>
                <w:szCs w:val="20"/>
                <w:lang w:eastAsia="pt-BR"/>
              </w:rPr>
              <w:t xml:space="preserve"> do Piauí/PI</w:t>
            </w:r>
          </w:p>
        </w:tc>
        <w:tc>
          <w:tcPr>
            <w:tcW w:w="678" w:type="pct"/>
            <w:tcBorders>
              <w:top w:val="nil"/>
              <w:left w:val="nil"/>
              <w:bottom w:val="single" w:sz="4" w:space="0" w:color="auto"/>
              <w:right w:val="nil"/>
            </w:tcBorders>
            <w:shd w:val="clear" w:color="000000" w:fill="FFFFFF"/>
            <w:vAlign w:val="center"/>
            <w:hideMark/>
          </w:tcPr>
          <w:p w14:paraId="53AFF1C4"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w:t>
            </w:r>
          </w:p>
        </w:tc>
        <w:tc>
          <w:tcPr>
            <w:tcW w:w="269" w:type="pct"/>
            <w:tcBorders>
              <w:top w:val="nil"/>
              <w:left w:val="single" w:sz="4" w:space="0" w:color="auto"/>
              <w:bottom w:val="single" w:sz="4" w:space="0" w:color="auto"/>
              <w:right w:val="nil"/>
            </w:tcBorders>
            <w:shd w:val="clear" w:color="000000" w:fill="FFFFFF"/>
            <w:vAlign w:val="center"/>
            <w:hideMark/>
          </w:tcPr>
          <w:p w14:paraId="1FDADE9F"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nil"/>
            </w:tcBorders>
            <w:shd w:val="clear" w:color="000000" w:fill="FFFFFF"/>
            <w:vAlign w:val="center"/>
            <w:hideMark/>
          </w:tcPr>
          <w:p w14:paraId="2A9B3B40"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Santo Antônio dos Milagres</w:t>
            </w:r>
          </w:p>
        </w:tc>
        <w:tc>
          <w:tcPr>
            <w:tcW w:w="249" w:type="pct"/>
            <w:tcBorders>
              <w:top w:val="nil"/>
              <w:left w:val="nil"/>
              <w:bottom w:val="single" w:sz="4" w:space="0" w:color="auto"/>
              <w:right w:val="nil"/>
            </w:tcBorders>
            <w:shd w:val="clear" w:color="000000" w:fill="FFFFFF"/>
            <w:vAlign w:val="center"/>
            <w:hideMark/>
          </w:tcPr>
          <w:p w14:paraId="203CD6A6"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59037452"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proofErr w:type="spellStart"/>
            <w:r w:rsidRPr="0001165E">
              <w:rPr>
                <w:rFonts w:ascii="Times New Roman" w:eastAsia="Times New Roman" w:hAnsi="Times New Roman" w:cs="Times New Roman"/>
                <w:color w:val="000000"/>
                <w:sz w:val="20"/>
                <w:szCs w:val="20"/>
                <w:lang w:eastAsia="pt-BR"/>
              </w:rPr>
              <w:t>Angical</w:t>
            </w:r>
            <w:proofErr w:type="spellEnd"/>
            <w:r w:rsidRPr="0001165E">
              <w:rPr>
                <w:rFonts w:ascii="Times New Roman" w:eastAsia="Times New Roman" w:hAnsi="Times New Roman" w:cs="Times New Roman"/>
                <w:color w:val="000000"/>
                <w:sz w:val="20"/>
                <w:szCs w:val="20"/>
                <w:lang w:eastAsia="pt-BR"/>
              </w:rPr>
              <w:t xml:space="preserve"> do Piauí</w:t>
            </w:r>
          </w:p>
        </w:tc>
      </w:tr>
      <w:tr w:rsidR="003406B6" w:rsidRPr="0001165E" w14:paraId="3B06B3B5" w14:textId="77777777" w:rsidTr="00F43C9F">
        <w:trPr>
          <w:trHeight w:val="290"/>
        </w:trPr>
        <w:tc>
          <w:tcPr>
            <w:tcW w:w="1271" w:type="pct"/>
            <w:tcBorders>
              <w:top w:val="nil"/>
              <w:left w:val="single" w:sz="4" w:space="0" w:color="auto"/>
              <w:bottom w:val="single" w:sz="4" w:space="0" w:color="auto"/>
              <w:right w:val="nil"/>
            </w:tcBorders>
            <w:shd w:val="clear" w:color="000000" w:fill="FFFFFF"/>
            <w:vAlign w:val="center"/>
            <w:hideMark/>
          </w:tcPr>
          <w:p w14:paraId="2DD51A81"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 de Picos/PI</w:t>
            </w:r>
          </w:p>
        </w:tc>
        <w:tc>
          <w:tcPr>
            <w:tcW w:w="678" w:type="pct"/>
            <w:tcBorders>
              <w:top w:val="nil"/>
              <w:left w:val="nil"/>
              <w:bottom w:val="single" w:sz="4" w:space="0" w:color="auto"/>
              <w:right w:val="nil"/>
            </w:tcBorders>
            <w:shd w:val="clear" w:color="000000" w:fill="FFFFFF"/>
            <w:vAlign w:val="center"/>
            <w:hideMark/>
          </w:tcPr>
          <w:p w14:paraId="63668221"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AP</w:t>
            </w:r>
          </w:p>
        </w:tc>
        <w:tc>
          <w:tcPr>
            <w:tcW w:w="269" w:type="pct"/>
            <w:tcBorders>
              <w:top w:val="nil"/>
              <w:left w:val="single" w:sz="4" w:space="0" w:color="auto"/>
              <w:bottom w:val="single" w:sz="4" w:space="0" w:color="auto"/>
              <w:right w:val="nil"/>
            </w:tcBorders>
            <w:shd w:val="clear" w:color="000000" w:fill="FFFFFF"/>
            <w:vAlign w:val="center"/>
            <w:hideMark/>
          </w:tcPr>
          <w:p w14:paraId="6E9B1FD3"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nil"/>
            </w:tcBorders>
            <w:shd w:val="clear" w:color="000000" w:fill="FFFFFF"/>
            <w:vAlign w:val="center"/>
            <w:hideMark/>
          </w:tcPr>
          <w:p w14:paraId="5020DAD0"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Geminiano</w:t>
            </w:r>
          </w:p>
        </w:tc>
        <w:tc>
          <w:tcPr>
            <w:tcW w:w="249" w:type="pct"/>
            <w:tcBorders>
              <w:top w:val="nil"/>
              <w:left w:val="nil"/>
              <w:bottom w:val="single" w:sz="4" w:space="0" w:color="auto"/>
              <w:right w:val="nil"/>
            </w:tcBorders>
            <w:shd w:val="clear" w:color="000000" w:fill="FFFFFF"/>
            <w:vAlign w:val="center"/>
            <w:hideMark/>
          </w:tcPr>
          <w:p w14:paraId="17772C77"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w:t>
            </w:r>
          </w:p>
        </w:tc>
        <w:tc>
          <w:tcPr>
            <w:tcW w:w="1267" w:type="pct"/>
            <w:tcBorders>
              <w:top w:val="nil"/>
              <w:left w:val="nil"/>
              <w:bottom w:val="single" w:sz="4" w:space="0" w:color="auto"/>
              <w:right w:val="single" w:sz="4" w:space="0" w:color="auto"/>
            </w:tcBorders>
            <w:shd w:val="clear" w:color="000000" w:fill="FFFFFF"/>
            <w:vAlign w:val="center"/>
            <w:hideMark/>
          </w:tcPr>
          <w:p w14:paraId="51F18EF8"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Picos</w:t>
            </w:r>
          </w:p>
        </w:tc>
      </w:tr>
    </w:tbl>
    <w:p w14:paraId="0B290B03" w14:textId="77777777" w:rsidR="003406B6" w:rsidRPr="0001165E" w:rsidRDefault="003406B6" w:rsidP="003406B6">
      <w:pPr>
        <w:spacing w:after="0" w:line="240" w:lineRule="auto"/>
        <w:jc w:val="both"/>
        <w:rPr>
          <w:rFonts w:ascii="Times New Roman" w:hAnsi="Times New Roman" w:cs="Times New Roman"/>
          <w:sz w:val="16"/>
          <w:szCs w:val="16"/>
        </w:rPr>
      </w:pPr>
      <w:r w:rsidRPr="0001165E">
        <w:rPr>
          <w:rFonts w:ascii="Times New Roman" w:hAnsi="Times New Roman" w:cs="Times New Roman"/>
          <w:sz w:val="16"/>
          <w:szCs w:val="16"/>
        </w:rPr>
        <w:t>Fonte: IBGE, 2020 (Regiões de Influência das Cidades, Regic-2018).</w:t>
      </w:r>
    </w:p>
    <w:p w14:paraId="409826EA" w14:textId="77777777" w:rsidR="003406B6" w:rsidRDefault="003406B6" w:rsidP="003406B6">
      <w:pPr>
        <w:spacing w:after="0" w:line="240" w:lineRule="auto"/>
        <w:jc w:val="both"/>
        <w:rPr>
          <w:rFonts w:ascii="Arial" w:hAnsi="Arial" w:cs="Arial"/>
          <w:sz w:val="16"/>
          <w:szCs w:val="16"/>
        </w:rPr>
      </w:pPr>
    </w:p>
    <w:p w14:paraId="2819BB06" w14:textId="77777777" w:rsidR="003406B6" w:rsidRPr="00E45323" w:rsidRDefault="003406B6" w:rsidP="003406B6">
      <w:pPr>
        <w:spacing w:after="0" w:line="240" w:lineRule="auto"/>
        <w:jc w:val="both"/>
        <w:rPr>
          <w:rFonts w:ascii="Arial" w:hAnsi="Arial" w:cs="Arial"/>
          <w:sz w:val="16"/>
          <w:szCs w:val="16"/>
        </w:rPr>
      </w:pPr>
    </w:p>
    <w:p w14:paraId="7E288AC0" w14:textId="5DADBD23" w:rsidR="003406B6" w:rsidRPr="0001165E" w:rsidRDefault="00FB4E77" w:rsidP="00D234C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w:t>
      </w:r>
      <w:r w:rsidR="003406B6" w:rsidRPr="0001165E">
        <w:rPr>
          <w:rFonts w:ascii="Times New Roman" w:hAnsi="Times New Roman" w:cs="Times New Roman"/>
          <w:sz w:val="24"/>
          <w:szCs w:val="24"/>
        </w:rPr>
        <w:t xml:space="preserve"> AP recebe o nome do município que tem maior peso na composição da aglomeração urbana. </w:t>
      </w:r>
      <w:r w:rsidR="000E62AE">
        <w:rPr>
          <w:rFonts w:ascii="Times New Roman" w:hAnsi="Times New Roman" w:cs="Times New Roman"/>
          <w:sz w:val="24"/>
          <w:szCs w:val="24"/>
        </w:rPr>
        <w:t>P</w:t>
      </w:r>
      <w:r w:rsidR="003406B6" w:rsidRPr="0001165E">
        <w:rPr>
          <w:rFonts w:ascii="Times New Roman" w:hAnsi="Times New Roman" w:cs="Times New Roman"/>
          <w:sz w:val="24"/>
          <w:szCs w:val="24"/>
        </w:rPr>
        <w:t xml:space="preserve">or exemplo, no AP de Picos/PI, a cidade de Picos, PI é o núcleo da aglomeração urbana composta entre esta cidade e a de Geminiano, PI. Já no caso fronteiriço do AP de Floriano/PI, o núcleo da aglomeração é o município de Floriano, no Piauí, que se aglomera com o município de Barão de Grajaú, no Maranhão. Por esse motivo, não aparecem no quadro os casos dos municípios de Marcolândia, PI e Santa Filomena, PI que pertencem a AP nucleados por municípios de outros estados nordestinos. No primeiro caso, Marcolândia está nucleada no AP de Araripina/PE e, no segundo caso, Santa Filomena pertence ao AP de Alto Parnaíba/MA-Santa Filomena/PI. Ou seja, </w:t>
      </w:r>
      <w:r w:rsidR="001B27E8">
        <w:rPr>
          <w:rFonts w:ascii="Times New Roman" w:hAnsi="Times New Roman" w:cs="Times New Roman"/>
          <w:sz w:val="24"/>
          <w:szCs w:val="24"/>
        </w:rPr>
        <w:t>o</w:t>
      </w:r>
      <w:r w:rsidR="003406B6" w:rsidRPr="0001165E">
        <w:rPr>
          <w:rFonts w:ascii="Times New Roman" w:hAnsi="Times New Roman" w:cs="Times New Roman"/>
          <w:sz w:val="24"/>
          <w:szCs w:val="24"/>
        </w:rPr>
        <w:t xml:space="preserve">s municípios piauienses integram </w:t>
      </w:r>
      <w:r>
        <w:rPr>
          <w:rFonts w:ascii="Times New Roman" w:hAnsi="Times New Roman" w:cs="Times New Roman"/>
          <w:sz w:val="24"/>
          <w:szCs w:val="24"/>
        </w:rPr>
        <w:t>AP</w:t>
      </w:r>
      <w:r w:rsidR="003406B6" w:rsidRPr="0001165E">
        <w:rPr>
          <w:rFonts w:ascii="Times New Roman" w:hAnsi="Times New Roman" w:cs="Times New Roman"/>
          <w:sz w:val="24"/>
          <w:szCs w:val="24"/>
        </w:rPr>
        <w:t xml:space="preserve"> cuja articulação se dá na rede urbana de outros estados, no caso, Pernambuco e Maranhão.</w:t>
      </w:r>
    </w:p>
    <w:p w14:paraId="1D9775DF" w14:textId="4B15119D" w:rsidR="003406B6" w:rsidRPr="0001165E" w:rsidRDefault="00FB4E77" w:rsidP="00D234CF">
      <w:pPr>
        <w:pStyle w:val="PargrafodaLista"/>
        <w:spacing w:after="0" w:line="36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A</w:t>
      </w:r>
      <w:r w:rsidR="003406B6" w:rsidRPr="0001165E">
        <w:rPr>
          <w:rFonts w:ascii="Times New Roman" w:hAnsi="Times New Roman" w:cs="Times New Roman"/>
          <w:sz w:val="24"/>
          <w:szCs w:val="24"/>
        </w:rPr>
        <w:t xml:space="preserve"> cidade de Parnaíba</w:t>
      </w:r>
      <w:r>
        <w:rPr>
          <w:rFonts w:ascii="Times New Roman" w:hAnsi="Times New Roman" w:cs="Times New Roman"/>
          <w:sz w:val="24"/>
          <w:szCs w:val="24"/>
        </w:rPr>
        <w:t xml:space="preserve"> se destaca porque, </w:t>
      </w:r>
      <w:r w:rsidR="003406B6" w:rsidRPr="0001165E">
        <w:rPr>
          <w:rFonts w:ascii="Times New Roman" w:hAnsi="Times New Roman" w:cs="Times New Roman"/>
          <w:sz w:val="24"/>
          <w:szCs w:val="24"/>
        </w:rPr>
        <w:t xml:space="preserve">conquanto seja o segundo maior centro urbano do Piauí, não forma </w:t>
      </w:r>
      <w:r w:rsidR="00041248">
        <w:rPr>
          <w:rFonts w:ascii="Times New Roman" w:hAnsi="Times New Roman" w:cs="Times New Roman"/>
          <w:sz w:val="24"/>
          <w:szCs w:val="24"/>
        </w:rPr>
        <w:t>AP</w:t>
      </w:r>
      <w:r w:rsidR="003406B6" w:rsidRPr="0001165E">
        <w:rPr>
          <w:rFonts w:ascii="Times New Roman" w:hAnsi="Times New Roman" w:cs="Times New Roman"/>
          <w:sz w:val="24"/>
          <w:szCs w:val="24"/>
        </w:rPr>
        <w:t xml:space="preserve"> com outra muni</w:t>
      </w:r>
      <w:r w:rsidR="00A66A0B">
        <w:rPr>
          <w:rFonts w:ascii="Times New Roman" w:hAnsi="Times New Roman" w:cs="Times New Roman"/>
          <w:sz w:val="24"/>
          <w:szCs w:val="24"/>
        </w:rPr>
        <w:t>cípio</w:t>
      </w:r>
      <w:r w:rsidR="003406B6" w:rsidRPr="0001165E">
        <w:rPr>
          <w:rFonts w:ascii="Times New Roman" w:hAnsi="Times New Roman" w:cs="Times New Roman"/>
          <w:sz w:val="24"/>
          <w:szCs w:val="24"/>
        </w:rPr>
        <w:t xml:space="preserve"> de seu entorno</w:t>
      </w:r>
      <w:r w:rsidR="008123B1">
        <w:rPr>
          <w:rStyle w:val="Refdenotaderodap"/>
          <w:rFonts w:ascii="Times New Roman" w:hAnsi="Times New Roman" w:cs="Times New Roman"/>
          <w:sz w:val="24"/>
          <w:szCs w:val="24"/>
        </w:rPr>
        <w:footnoteReference w:id="3"/>
      </w:r>
      <w:r w:rsidR="003406B6" w:rsidRPr="0001165E">
        <w:rPr>
          <w:rFonts w:ascii="Times New Roman" w:hAnsi="Times New Roman" w:cs="Times New Roman"/>
          <w:sz w:val="24"/>
          <w:szCs w:val="24"/>
        </w:rPr>
        <w:t xml:space="preserve">. Isso não significa que </w:t>
      </w:r>
      <w:r w:rsidR="00E703B7">
        <w:rPr>
          <w:rFonts w:ascii="Times New Roman" w:hAnsi="Times New Roman" w:cs="Times New Roman"/>
          <w:sz w:val="24"/>
          <w:szCs w:val="24"/>
        </w:rPr>
        <w:t>a cidade</w:t>
      </w:r>
      <w:r w:rsidR="003406B6" w:rsidRPr="0001165E">
        <w:rPr>
          <w:rFonts w:ascii="Times New Roman" w:hAnsi="Times New Roman" w:cs="Times New Roman"/>
          <w:sz w:val="24"/>
          <w:szCs w:val="24"/>
        </w:rPr>
        <w:t xml:space="preserve"> exerça menor capacidade de articulação urbano-regional. </w:t>
      </w:r>
      <w:r w:rsidR="00985972">
        <w:rPr>
          <w:rFonts w:ascii="Times New Roman" w:hAnsi="Times New Roman" w:cs="Times New Roman"/>
          <w:sz w:val="24"/>
          <w:szCs w:val="24"/>
        </w:rPr>
        <w:t>O município</w:t>
      </w:r>
      <w:r w:rsidR="003406B6" w:rsidRPr="0001165E">
        <w:rPr>
          <w:rFonts w:ascii="Times New Roman" w:hAnsi="Times New Roman" w:cs="Times New Roman"/>
          <w:sz w:val="24"/>
          <w:szCs w:val="24"/>
        </w:rPr>
        <w:t xml:space="preserve"> possui dinâmicas </w:t>
      </w:r>
      <w:r w:rsidR="003406B6" w:rsidRPr="0001165E">
        <w:rPr>
          <w:rFonts w:ascii="Times New Roman" w:hAnsi="Times New Roman" w:cs="Times New Roman"/>
          <w:sz w:val="24"/>
          <w:szCs w:val="24"/>
        </w:rPr>
        <w:lastRenderedPageBreak/>
        <w:t>econômica, demográfica e social bastante forte. Tanto é assim que, em termos populacionais é bem maior do que os demais AP aqui citados, com exceção evidente do AP de Teresina/PI</w:t>
      </w:r>
      <w:r w:rsidR="00963EC6">
        <w:rPr>
          <w:rStyle w:val="Refdenotaderodap"/>
          <w:rFonts w:ascii="Times New Roman" w:hAnsi="Times New Roman" w:cs="Times New Roman"/>
          <w:sz w:val="24"/>
          <w:szCs w:val="24"/>
        </w:rPr>
        <w:footnoteReference w:id="4"/>
      </w:r>
      <w:r w:rsidR="003406B6" w:rsidRPr="0001165E">
        <w:rPr>
          <w:rFonts w:ascii="Times New Roman" w:hAnsi="Times New Roman" w:cs="Times New Roman"/>
          <w:sz w:val="24"/>
          <w:szCs w:val="24"/>
        </w:rPr>
        <w:t>.</w:t>
      </w:r>
    </w:p>
    <w:p w14:paraId="292A0103" w14:textId="61B54C6A" w:rsidR="003406B6" w:rsidRPr="0001165E" w:rsidRDefault="003406B6" w:rsidP="0037413C">
      <w:pPr>
        <w:pStyle w:val="PargrafodaLista"/>
        <w:spacing w:after="0" w:line="360" w:lineRule="auto"/>
        <w:ind w:left="0" w:firstLine="709"/>
        <w:contextualSpacing w:val="0"/>
        <w:jc w:val="both"/>
        <w:rPr>
          <w:rFonts w:ascii="Times New Roman" w:hAnsi="Times New Roman" w:cs="Times New Roman"/>
          <w:sz w:val="24"/>
          <w:szCs w:val="24"/>
        </w:rPr>
      </w:pPr>
      <w:r w:rsidRPr="0001165E">
        <w:rPr>
          <w:rFonts w:ascii="Times New Roman" w:hAnsi="Times New Roman" w:cs="Times New Roman"/>
          <w:sz w:val="24"/>
          <w:szCs w:val="24"/>
        </w:rPr>
        <w:t xml:space="preserve">Segundo </w:t>
      </w:r>
      <w:r w:rsidR="00673494">
        <w:rPr>
          <w:rFonts w:ascii="Times New Roman" w:hAnsi="Times New Roman" w:cs="Times New Roman"/>
          <w:sz w:val="24"/>
          <w:szCs w:val="24"/>
        </w:rPr>
        <w:t>o</w:t>
      </w:r>
      <w:r w:rsidRPr="0001165E">
        <w:rPr>
          <w:rFonts w:ascii="Times New Roman" w:hAnsi="Times New Roman" w:cs="Times New Roman"/>
          <w:sz w:val="24"/>
          <w:szCs w:val="24"/>
        </w:rPr>
        <w:t xml:space="preserve"> IBGE (2020), Parnaíba articula uma área de influência que comporta 3 CZ-B e 17 CL, situados nos estados do Maranhão, Ceará e no próprio Piauí. Portanto, a área extrapola os limites político-administrativo do território piauiense, o que revela a importância dessa cidade. Entre os CZ-B subordinados a Parnaíba</w:t>
      </w:r>
      <w:r w:rsidR="00881A23">
        <w:rPr>
          <w:rFonts w:ascii="Times New Roman" w:hAnsi="Times New Roman" w:cs="Times New Roman"/>
          <w:sz w:val="24"/>
          <w:szCs w:val="24"/>
        </w:rPr>
        <w:t>, estão</w:t>
      </w:r>
      <w:r w:rsidRPr="0001165E">
        <w:rPr>
          <w:rFonts w:ascii="Times New Roman" w:hAnsi="Times New Roman" w:cs="Times New Roman"/>
          <w:sz w:val="24"/>
          <w:szCs w:val="24"/>
        </w:rPr>
        <w:t xml:space="preserve"> as cidades de Santa Quitéria do Maranhão e Tutoia, que são municípios maranhenses, além de Cocal, localizada no Estado do Piauí. Já entre os CL, são 7 municípios maranhenses, 9 piauienses e apenas 1 cearense, todos subordinados àquela cidade.</w:t>
      </w:r>
    </w:p>
    <w:p w14:paraId="04A7DA52" w14:textId="31EA569C" w:rsidR="003406B6" w:rsidRPr="0001165E" w:rsidRDefault="008E1FAB" w:rsidP="00D234C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presente caracterização da rede de cidades do Piauí nos permite avaliar a sua dinâmica urbano-regional, por meio de seus aspectos demográficos e econômicos. </w:t>
      </w:r>
      <w:r w:rsidR="003406B6" w:rsidRPr="0001165E">
        <w:rPr>
          <w:rFonts w:ascii="Times New Roman" w:hAnsi="Times New Roman" w:cs="Times New Roman"/>
          <w:sz w:val="24"/>
          <w:szCs w:val="24"/>
        </w:rPr>
        <w:t xml:space="preserve">De acordo com </w:t>
      </w:r>
      <w:r w:rsidR="0047364A">
        <w:rPr>
          <w:rFonts w:ascii="Times New Roman" w:hAnsi="Times New Roman" w:cs="Times New Roman"/>
          <w:sz w:val="24"/>
          <w:szCs w:val="24"/>
        </w:rPr>
        <w:t xml:space="preserve">a </w:t>
      </w:r>
      <w:r w:rsidR="003406B6" w:rsidRPr="0001165E">
        <w:rPr>
          <w:rFonts w:ascii="Times New Roman" w:hAnsi="Times New Roman" w:cs="Times New Roman"/>
          <w:sz w:val="24"/>
          <w:szCs w:val="24"/>
        </w:rPr>
        <w:t>Tabela 2, no nível mais elevado da hierarquia urbano-regional do Piauí</w:t>
      </w:r>
      <w:r>
        <w:rPr>
          <w:rFonts w:ascii="Times New Roman" w:hAnsi="Times New Roman" w:cs="Times New Roman"/>
          <w:sz w:val="24"/>
          <w:szCs w:val="24"/>
        </w:rPr>
        <w:t xml:space="preserve">, </w:t>
      </w:r>
      <w:r w:rsidR="005550B1">
        <w:rPr>
          <w:rFonts w:ascii="Times New Roman" w:hAnsi="Times New Roman" w:cs="Times New Roman"/>
          <w:sz w:val="24"/>
          <w:szCs w:val="24"/>
        </w:rPr>
        <w:t>n</w:t>
      </w:r>
      <w:r w:rsidR="003406B6" w:rsidRPr="0001165E">
        <w:rPr>
          <w:rFonts w:ascii="Times New Roman" w:hAnsi="Times New Roman" w:cs="Times New Roman"/>
          <w:sz w:val="24"/>
          <w:szCs w:val="24"/>
        </w:rPr>
        <w:t>o AP de Teresina/PI</w:t>
      </w:r>
      <w:r w:rsidR="005550B1">
        <w:rPr>
          <w:rFonts w:ascii="Times New Roman" w:hAnsi="Times New Roman" w:cs="Times New Roman"/>
          <w:sz w:val="24"/>
          <w:szCs w:val="24"/>
        </w:rPr>
        <w:t xml:space="preserve"> –</w:t>
      </w:r>
      <w:r w:rsidR="003406B6" w:rsidRPr="0001165E">
        <w:rPr>
          <w:rFonts w:ascii="Times New Roman" w:hAnsi="Times New Roman" w:cs="Times New Roman"/>
          <w:sz w:val="24"/>
          <w:szCs w:val="24"/>
        </w:rPr>
        <w:t xml:space="preserve"> que agrega a capital estadual e atua, no nível da rede urbana nacional, como Capital Regional A (CR-A</w:t>
      </w:r>
      <w:r w:rsidR="005550B1">
        <w:rPr>
          <w:rFonts w:ascii="Times New Roman" w:hAnsi="Times New Roman" w:cs="Times New Roman"/>
          <w:sz w:val="24"/>
          <w:szCs w:val="24"/>
        </w:rPr>
        <w:t>) –</w:t>
      </w:r>
      <w:r w:rsidR="003406B6" w:rsidRPr="0001165E">
        <w:rPr>
          <w:rFonts w:ascii="Times New Roman" w:hAnsi="Times New Roman" w:cs="Times New Roman"/>
          <w:sz w:val="24"/>
          <w:szCs w:val="24"/>
        </w:rPr>
        <w:t xml:space="preserve"> viviam quase 30% da população da rede urbana estadual, no ano de 2018</w:t>
      </w:r>
      <w:r w:rsidR="003406B6" w:rsidRPr="0001165E">
        <w:rPr>
          <w:rStyle w:val="Refdenotaderodap"/>
          <w:rFonts w:ascii="Times New Roman" w:hAnsi="Times New Roman" w:cs="Times New Roman"/>
          <w:sz w:val="24"/>
          <w:szCs w:val="24"/>
        </w:rPr>
        <w:footnoteReference w:id="5"/>
      </w:r>
      <w:r w:rsidR="003406B6" w:rsidRPr="0001165E">
        <w:rPr>
          <w:rFonts w:ascii="Times New Roman" w:hAnsi="Times New Roman" w:cs="Times New Roman"/>
          <w:sz w:val="24"/>
          <w:szCs w:val="24"/>
        </w:rPr>
        <w:t xml:space="preserve">. A estimativa populacional do IBGE para </w:t>
      </w:r>
      <w:r w:rsidR="0047364A">
        <w:rPr>
          <w:rFonts w:ascii="Times New Roman" w:hAnsi="Times New Roman" w:cs="Times New Roman"/>
          <w:sz w:val="24"/>
          <w:szCs w:val="24"/>
        </w:rPr>
        <w:t>esse ano</w:t>
      </w:r>
      <w:r w:rsidR="003406B6" w:rsidRPr="0001165E">
        <w:rPr>
          <w:rFonts w:ascii="Times New Roman" w:hAnsi="Times New Roman" w:cs="Times New Roman"/>
          <w:sz w:val="24"/>
          <w:szCs w:val="24"/>
        </w:rPr>
        <w:t xml:space="preserve"> apontou para pouco mais de 1 milhão de habitantes residentes numa área de 3,2 mil km², perfazendo uma densidade demográfica de 326,2 hab./km². Essa elevada concentração e densidade populacional também se traduz no alto grau de urbanização da CR-A, que é o maior índice desse conjunto regional, com seus 93,1%, segundo o último censo demográfico, realizado ainda no ano de 2010.</w:t>
      </w:r>
    </w:p>
    <w:p w14:paraId="652CB613" w14:textId="77777777" w:rsidR="003406B6" w:rsidRDefault="003406B6" w:rsidP="003406B6">
      <w:pPr>
        <w:spacing w:after="0" w:line="240" w:lineRule="auto"/>
        <w:jc w:val="center"/>
        <w:rPr>
          <w:rFonts w:ascii="Arial" w:hAnsi="Arial" w:cs="Arial"/>
          <w:b/>
          <w:bCs/>
        </w:rPr>
      </w:pPr>
    </w:p>
    <w:p w14:paraId="7F51F6CD" w14:textId="77777777" w:rsidR="003406B6" w:rsidRPr="0001165E" w:rsidRDefault="003406B6" w:rsidP="003406B6">
      <w:pPr>
        <w:spacing w:after="0" w:line="240" w:lineRule="auto"/>
        <w:jc w:val="center"/>
        <w:rPr>
          <w:rFonts w:ascii="Times New Roman" w:hAnsi="Times New Roman" w:cs="Times New Roman"/>
        </w:rPr>
      </w:pPr>
      <w:r w:rsidRPr="0001165E">
        <w:rPr>
          <w:rFonts w:ascii="Times New Roman" w:hAnsi="Times New Roman" w:cs="Times New Roman"/>
          <w:b/>
          <w:bCs/>
        </w:rPr>
        <w:t>Tabela 2</w:t>
      </w:r>
      <w:r w:rsidRPr="0001165E">
        <w:rPr>
          <w:rFonts w:ascii="Times New Roman" w:hAnsi="Times New Roman" w:cs="Times New Roman"/>
        </w:rPr>
        <w:t xml:space="preserve"> - Características demográficas da rede urbana do estado do Piauí, segundo os níveis de centralidade dos centros urbanos</w:t>
      </w:r>
    </w:p>
    <w:tbl>
      <w:tblPr>
        <w:tblW w:w="5000" w:type="pct"/>
        <w:tblCellMar>
          <w:left w:w="70" w:type="dxa"/>
          <w:right w:w="70" w:type="dxa"/>
        </w:tblCellMar>
        <w:tblLook w:val="04A0" w:firstRow="1" w:lastRow="0" w:firstColumn="1" w:lastColumn="0" w:noHBand="0" w:noVBand="1"/>
      </w:tblPr>
      <w:tblGrid>
        <w:gridCol w:w="2571"/>
        <w:gridCol w:w="900"/>
        <w:gridCol w:w="1698"/>
        <w:gridCol w:w="1069"/>
        <w:gridCol w:w="1284"/>
        <w:gridCol w:w="1549"/>
      </w:tblGrid>
      <w:tr w:rsidR="003406B6" w:rsidRPr="0001165E" w14:paraId="2214E186" w14:textId="77777777" w:rsidTr="00F43C9F">
        <w:trPr>
          <w:trHeight w:val="300"/>
        </w:trPr>
        <w:tc>
          <w:tcPr>
            <w:tcW w:w="1417" w:type="pct"/>
            <w:vMerge w:val="restart"/>
            <w:tcBorders>
              <w:top w:val="single" w:sz="4" w:space="0" w:color="auto"/>
              <w:left w:val="nil"/>
              <w:bottom w:val="single" w:sz="4" w:space="0" w:color="000000"/>
              <w:right w:val="nil"/>
            </w:tcBorders>
            <w:shd w:val="clear" w:color="auto" w:fill="auto"/>
            <w:noWrap/>
            <w:vAlign w:val="center"/>
            <w:hideMark/>
          </w:tcPr>
          <w:p w14:paraId="06761900"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Níveis de centralidade</w:t>
            </w:r>
          </w:p>
        </w:tc>
        <w:tc>
          <w:tcPr>
            <w:tcW w:w="496" w:type="pct"/>
            <w:vMerge w:val="restart"/>
            <w:tcBorders>
              <w:top w:val="single" w:sz="4" w:space="0" w:color="auto"/>
              <w:left w:val="single" w:sz="4" w:space="0" w:color="auto"/>
              <w:bottom w:val="single" w:sz="4" w:space="0" w:color="auto"/>
              <w:right w:val="nil"/>
            </w:tcBorders>
            <w:shd w:val="clear" w:color="auto" w:fill="auto"/>
            <w:vAlign w:val="center"/>
            <w:hideMark/>
          </w:tcPr>
          <w:p w14:paraId="7BA9D8A8"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Quant.</w:t>
            </w:r>
          </w:p>
        </w:tc>
        <w:tc>
          <w:tcPr>
            <w:tcW w:w="2233"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3DE9A60F"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Estimativa da população em 2018</w:t>
            </w:r>
          </w:p>
        </w:tc>
        <w:tc>
          <w:tcPr>
            <w:tcW w:w="854" w:type="pct"/>
            <w:vMerge w:val="restart"/>
            <w:tcBorders>
              <w:top w:val="single" w:sz="4" w:space="0" w:color="auto"/>
              <w:left w:val="nil"/>
              <w:bottom w:val="single" w:sz="4" w:space="0" w:color="000000"/>
              <w:right w:val="nil"/>
            </w:tcBorders>
            <w:shd w:val="clear" w:color="auto" w:fill="auto"/>
            <w:vAlign w:val="center"/>
            <w:hideMark/>
          </w:tcPr>
          <w:p w14:paraId="47945F32"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Grau de Urbanização - 2010 (%)</w:t>
            </w:r>
          </w:p>
        </w:tc>
      </w:tr>
      <w:tr w:rsidR="003406B6" w:rsidRPr="0001165E" w14:paraId="1D9C0BBB" w14:textId="77777777" w:rsidTr="00F43C9F">
        <w:trPr>
          <w:trHeight w:val="523"/>
        </w:trPr>
        <w:tc>
          <w:tcPr>
            <w:tcW w:w="1417" w:type="pct"/>
            <w:vMerge/>
            <w:tcBorders>
              <w:top w:val="single" w:sz="4" w:space="0" w:color="auto"/>
              <w:left w:val="nil"/>
              <w:bottom w:val="single" w:sz="4" w:space="0" w:color="000000"/>
              <w:right w:val="nil"/>
            </w:tcBorders>
            <w:vAlign w:val="center"/>
            <w:hideMark/>
          </w:tcPr>
          <w:p w14:paraId="161C9BC9" w14:textId="77777777" w:rsidR="003406B6" w:rsidRPr="0001165E" w:rsidRDefault="003406B6" w:rsidP="00F43C9F">
            <w:pPr>
              <w:spacing w:after="0" w:line="240" w:lineRule="auto"/>
              <w:rPr>
                <w:rFonts w:ascii="Times New Roman" w:eastAsia="Times New Roman" w:hAnsi="Times New Roman" w:cs="Times New Roman"/>
                <w:b/>
                <w:bCs/>
                <w:color w:val="000000"/>
                <w:sz w:val="20"/>
                <w:szCs w:val="20"/>
                <w:lang w:eastAsia="pt-BR"/>
              </w:rPr>
            </w:pPr>
          </w:p>
        </w:tc>
        <w:tc>
          <w:tcPr>
            <w:tcW w:w="496" w:type="pct"/>
            <w:vMerge/>
            <w:tcBorders>
              <w:top w:val="single" w:sz="4" w:space="0" w:color="auto"/>
              <w:left w:val="single" w:sz="4" w:space="0" w:color="auto"/>
              <w:bottom w:val="single" w:sz="4" w:space="0" w:color="auto"/>
              <w:right w:val="nil"/>
            </w:tcBorders>
            <w:vAlign w:val="center"/>
            <w:hideMark/>
          </w:tcPr>
          <w:p w14:paraId="62913A25" w14:textId="77777777" w:rsidR="003406B6" w:rsidRPr="0001165E" w:rsidRDefault="003406B6" w:rsidP="00F43C9F">
            <w:pPr>
              <w:spacing w:after="0" w:line="240" w:lineRule="auto"/>
              <w:rPr>
                <w:rFonts w:ascii="Times New Roman" w:eastAsia="Times New Roman" w:hAnsi="Times New Roman" w:cs="Times New Roman"/>
                <w:b/>
                <w:bCs/>
                <w:color w:val="000000"/>
                <w:sz w:val="20"/>
                <w:szCs w:val="20"/>
                <w:lang w:eastAsia="pt-BR"/>
              </w:rPr>
            </w:pPr>
          </w:p>
        </w:tc>
        <w:tc>
          <w:tcPr>
            <w:tcW w:w="936" w:type="pct"/>
            <w:tcBorders>
              <w:top w:val="nil"/>
              <w:left w:val="single" w:sz="4" w:space="0" w:color="auto"/>
              <w:bottom w:val="single" w:sz="4" w:space="0" w:color="auto"/>
              <w:right w:val="single" w:sz="4" w:space="0" w:color="auto"/>
            </w:tcBorders>
            <w:shd w:val="clear" w:color="auto" w:fill="auto"/>
            <w:vAlign w:val="center"/>
            <w:hideMark/>
          </w:tcPr>
          <w:p w14:paraId="78708C42"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Pessoas</w:t>
            </w:r>
          </w:p>
        </w:tc>
        <w:tc>
          <w:tcPr>
            <w:tcW w:w="589" w:type="pct"/>
            <w:tcBorders>
              <w:top w:val="nil"/>
              <w:left w:val="nil"/>
              <w:bottom w:val="single" w:sz="4" w:space="0" w:color="auto"/>
              <w:right w:val="single" w:sz="4" w:space="0" w:color="auto"/>
            </w:tcBorders>
            <w:shd w:val="clear" w:color="auto" w:fill="auto"/>
            <w:noWrap/>
            <w:vAlign w:val="center"/>
            <w:hideMark/>
          </w:tcPr>
          <w:p w14:paraId="10C1B29F"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w:t>
            </w:r>
          </w:p>
        </w:tc>
        <w:tc>
          <w:tcPr>
            <w:tcW w:w="708" w:type="pct"/>
            <w:tcBorders>
              <w:top w:val="nil"/>
              <w:left w:val="nil"/>
              <w:bottom w:val="single" w:sz="4" w:space="0" w:color="auto"/>
              <w:right w:val="single" w:sz="4" w:space="0" w:color="auto"/>
            </w:tcBorders>
            <w:shd w:val="clear" w:color="auto" w:fill="auto"/>
            <w:vAlign w:val="center"/>
            <w:hideMark/>
          </w:tcPr>
          <w:p w14:paraId="71EE2DF0" w14:textId="77777777" w:rsidR="003406B6" w:rsidRPr="0001165E" w:rsidRDefault="003406B6" w:rsidP="00F43C9F">
            <w:pPr>
              <w:spacing w:after="0" w:line="240" w:lineRule="auto"/>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Densidade (hab./km²)</w:t>
            </w:r>
          </w:p>
        </w:tc>
        <w:tc>
          <w:tcPr>
            <w:tcW w:w="854" w:type="pct"/>
            <w:vMerge/>
            <w:tcBorders>
              <w:top w:val="single" w:sz="4" w:space="0" w:color="auto"/>
              <w:left w:val="nil"/>
              <w:bottom w:val="single" w:sz="4" w:space="0" w:color="000000"/>
              <w:right w:val="nil"/>
            </w:tcBorders>
            <w:vAlign w:val="center"/>
            <w:hideMark/>
          </w:tcPr>
          <w:p w14:paraId="59654885" w14:textId="77777777" w:rsidR="003406B6" w:rsidRPr="0001165E" w:rsidRDefault="003406B6" w:rsidP="00F43C9F">
            <w:pPr>
              <w:spacing w:after="0" w:line="240" w:lineRule="auto"/>
              <w:rPr>
                <w:rFonts w:ascii="Times New Roman" w:eastAsia="Times New Roman" w:hAnsi="Times New Roman" w:cs="Times New Roman"/>
                <w:b/>
                <w:bCs/>
                <w:color w:val="000000"/>
                <w:sz w:val="20"/>
                <w:szCs w:val="20"/>
                <w:lang w:eastAsia="pt-BR"/>
              </w:rPr>
            </w:pPr>
          </w:p>
        </w:tc>
      </w:tr>
      <w:tr w:rsidR="003406B6" w:rsidRPr="0001165E" w14:paraId="495FCC64" w14:textId="77777777" w:rsidTr="00F43C9F">
        <w:trPr>
          <w:trHeight w:val="290"/>
        </w:trPr>
        <w:tc>
          <w:tcPr>
            <w:tcW w:w="1417" w:type="pct"/>
            <w:tcBorders>
              <w:top w:val="nil"/>
              <w:left w:val="nil"/>
              <w:bottom w:val="nil"/>
              <w:right w:val="nil"/>
            </w:tcBorders>
            <w:shd w:val="clear" w:color="auto" w:fill="auto"/>
            <w:noWrap/>
            <w:vAlign w:val="center"/>
            <w:hideMark/>
          </w:tcPr>
          <w:p w14:paraId="067AD09D"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Capital Regional A</w:t>
            </w:r>
          </w:p>
        </w:tc>
        <w:tc>
          <w:tcPr>
            <w:tcW w:w="496" w:type="pct"/>
            <w:tcBorders>
              <w:top w:val="nil"/>
              <w:left w:val="nil"/>
              <w:bottom w:val="nil"/>
              <w:right w:val="nil"/>
            </w:tcBorders>
            <w:shd w:val="clear" w:color="auto" w:fill="auto"/>
            <w:noWrap/>
            <w:vAlign w:val="center"/>
            <w:hideMark/>
          </w:tcPr>
          <w:p w14:paraId="30A1DC0C"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w:t>
            </w:r>
          </w:p>
        </w:tc>
        <w:tc>
          <w:tcPr>
            <w:tcW w:w="936" w:type="pct"/>
            <w:tcBorders>
              <w:top w:val="nil"/>
              <w:left w:val="single" w:sz="4" w:space="0" w:color="auto"/>
              <w:bottom w:val="nil"/>
              <w:right w:val="nil"/>
            </w:tcBorders>
            <w:shd w:val="clear" w:color="auto" w:fill="auto"/>
            <w:noWrap/>
            <w:vAlign w:val="center"/>
            <w:hideMark/>
          </w:tcPr>
          <w:p w14:paraId="4C837700"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1.029.415</w:t>
            </w:r>
          </w:p>
        </w:tc>
        <w:tc>
          <w:tcPr>
            <w:tcW w:w="589" w:type="pct"/>
            <w:tcBorders>
              <w:top w:val="nil"/>
              <w:left w:val="nil"/>
              <w:bottom w:val="nil"/>
              <w:right w:val="nil"/>
            </w:tcBorders>
            <w:shd w:val="clear" w:color="auto" w:fill="auto"/>
            <w:noWrap/>
            <w:vAlign w:val="center"/>
            <w:hideMark/>
          </w:tcPr>
          <w:p w14:paraId="6A790F24"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29,8</w:t>
            </w:r>
          </w:p>
        </w:tc>
        <w:tc>
          <w:tcPr>
            <w:tcW w:w="708" w:type="pct"/>
            <w:tcBorders>
              <w:top w:val="nil"/>
              <w:left w:val="nil"/>
              <w:bottom w:val="nil"/>
              <w:right w:val="single" w:sz="4" w:space="0" w:color="auto"/>
            </w:tcBorders>
            <w:shd w:val="clear" w:color="auto" w:fill="auto"/>
            <w:noWrap/>
            <w:vAlign w:val="center"/>
            <w:hideMark/>
          </w:tcPr>
          <w:p w14:paraId="4146D79B"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326,2</w:t>
            </w:r>
          </w:p>
        </w:tc>
        <w:tc>
          <w:tcPr>
            <w:tcW w:w="854" w:type="pct"/>
            <w:tcBorders>
              <w:top w:val="nil"/>
              <w:left w:val="nil"/>
              <w:bottom w:val="nil"/>
              <w:right w:val="nil"/>
            </w:tcBorders>
            <w:shd w:val="clear" w:color="auto" w:fill="auto"/>
            <w:noWrap/>
            <w:vAlign w:val="center"/>
            <w:hideMark/>
          </w:tcPr>
          <w:p w14:paraId="55CA34FE"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93,1</w:t>
            </w:r>
          </w:p>
        </w:tc>
      </w:tr>
      <w:tr w:rsidR="003406B6" w:rsidRPr="0001165E" w14:paraId="71C02E4A" w14:textId="77777777" w:rsidTr="00F43C9F">
        <w:trPr>
          <w:trHeight w:val="290"/>
        </w:trPr>
        <w:tc>
          <w:tcPr>
            <w:tcW w:w="1417" w:type="pct"/>
            <w:tcBorders>
              <w:top w:val="nil"/>
              <w:left w:val="nil"/>
              <w:bottom w:val="nil"/>
              <w:right w:val="nil"/>
            </w:tcBorders>
            <w:shd w:val="clear" w:color="auto" w:fill="auto"/>
            <w:noWrap/>
            <w:vAlign w:val="center"/>
            <w:hideMark/>
          </w:tcPr>
          <w:p w14:paraId="7B30E32E"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Centros Sub-regionais A</w:t>
            </w:r>
          </w:p>
        </w:tc>
        <w:tc>
          <w:tcPr>
            <w:tcW w:w="496" w:type="pct"/>
            <w:tcBorders>
              <w:top w:val="nil"/>
              <w:left w:val="nil"/>
              <w:bottom w:val="nil"/>
              <w:right w:val="nil"/>
            </w:tcBorders>
            <w:shd w:val="clear" w:color="auto" w:fill="auto"/>
            <w:noWrap/>
            <w:vAlign w:val="center"/>
            <w:hideMark/>
          </w:tcPr>
          <w:p w14:paraId="1D884729"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3</w:t>
            </w:r>
          </w:p>
        </w:tc>
        <w:tc>
          <w:tcPr>
            <w:tcW w:w="936" w:type="pct"/>
            <w:tcBorders>
              <w:top w:val="nil"/>
              <w:left w:val="single" w:sz="4" w:space="0" w:color="auto"/>
              <w:bottom w:val="nil"/>
              <w:right w:val="nil"/>
            </w:tcBorders>
            <w:shd w:val="clear" w:color="auto" w:fill="auto"/>
            <w:noWrap/>
            <w:vAlign w:val="center"/>
            <w:hideMark/>
          </w:tcPr>
          <w:p w14:paraId="101EB5A8"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314.633</w:t>
            </w:r>
          </w:p>
        </w:tc>
        <w:tc>
          <w:tcPr>
            <w:tcW w:w="589" w:type="pct"/>
            <w:tcBorders>
              <w:top w:val="nil"/>
              <w:left w:val="nil"/>
              <w:bottom w:val="nil"/>
              <w:right w:val="nil"/>
            </w:tcBorders>
            <w:shd w:val="clear" w:color="auto" w:fill="auto"/>
            <w:noWrap/>
            <w:vAlign w:val="center"/>
            <w:hideMark/>
          </w:tcPr>
          <w:p w14:paraId="052BA5A2"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9,1</w:t>
            </w:r>
          </w:p>
        </w:tc>
        <w:tc>
          <w:tcPr>
            <w:tcW w:w="708" w:type="pct"/>
            <w:tcBorders>
              <w:top w:val="nil"/>
              <w:left w:val="nil"/>
              <w:bottom w:val="nil"/>
              <w:right w:val="single" w:sz="4" w:space="0" w:color="auto"/>
            </w:tcBorders>
            <w:shd w:val="clear" w:color="auto" w:fill="auto"/>
            <w:noWrap/>
            <w:vAlign w:val="center"/>
            <w:hideMark/>
          </w:tcPr>
          <w:p w14:paraId="767DE2C8"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44,5</w:t>
            </w:r>
          </w:p>
        </w:tc>
        <w:tc>
          <w:tcPr>
            <w:tcW w:w="854" w:type="pct"/>
            <w:tcBorders>
              <w:top w:val="nil"/>
              <w:left w:val="nil"/>
              <w:bottom w:val="nil"/>
              <w:right w:val="nil"/>
            </w:tcBorders>
            <w:shd w:val="clear" w:color="auto" w:fill="auto"/>
            <w:noWrap/>
            <w:vAlign w:val="center"/>
            <w:hideMark/>
          </w:tcPr>
          <w:p w14:paraId="567215EE"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85,7</w:t>
            </w:r>
          </w:p>
        </w:tc>
      </w:tr>
      <w:tr w:rsidR="003406B6" w:rsidRPr="0001165E" w14:paraId="3C7C6BAD" w14:textId="77777777" w:rsidTr="00F43C9F">
        <w:trPr>
          <w:trHeight w:val="290"/>
        </w:trPr>
        <w:tc>
          <w:tcPr>
            <w:tcW w:w="1417" w:type="pct"/>
            <w:tcBorders>
              <w:top w:val="nil"/>
              <w:left w:val="nil"/>
              <w:bottom w:val="nil"/>
              <w:right w:val="nil"/>
            </w:tcBorders>
            <w:shd w:val="clear" w:color="auto" w:fill="auto"/>
            <w:noWrap/>
            <w:vAlign w:val="center"/>
            <w:hideMark/>
          </w:tcPr>
          <w:p w14:paraId="74BCBD1F"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Centros Sub-regionais B</w:t>
            </w:r>
          </w:p>
        </w:tc>
        <w:tc>
          <w:tcPr>
            <w:tcW w:w="496" w:type="pct"/>
            <w:tcBorders>
              <w:top w:val="nil"/>
              <w:left w:val="nil"/>
              <w:bottom w:val="nil"/>
              <w:right w:val="nil"/>
            </w:tcBorders>
            <w:shd w:val="clear" w:color="auto" w:fill="auto"/>
            <w:noWrap/>
            <w:vAlign w:val="center"/>
            <w:hideMark/>
          </w:tcPr>
          <w:p w14:paraId="07B0525D"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5</w:t>
            </w:r>
          </w:p>
        </w:tc>
        <w:tc>
          <w:tcPr>
            <w:tcW w:w="936" w:type="pct"/>
            <w:tcBorders>
              <w:top w:val="nil"/>
              <w:left w:val="single" w:sz="4" w:space="0" w:color="auto"/>
              <w:bottom w:val="nil"/>
              <w:right w:val="nil"/>
            </w:tcBorders>
            <w:shd w:val="clear" w:color="auto" w:fill="auto"/>
            <w:noWrap/>
            <w:vAlign w:val="center"/>
            <w:hideMark/>
          </w:tcPr>
          <w:p w14:paraId="12547641"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206.930</w:t>
            </w:r>
          </w:p>
        </w:tc>
        <w:tc>
          <w:tcPr>
            <w:tcW w:w="589" w:type="pct"/>
            <w:tcBorders>
              <w:top w:val="nil"/>
              <w:left w:val="nil"/>
              <w:bottom w:val="nil"/>
              <w:right w:val="nil"/>
            </w:tcBorders>
            <w:shd w:val="clear" w:color="auto" w:fill="auto"/>
            <w:noWrap/>
            <w:vAlign w:val="center"/>
            <w:hideMark/>
          </w:tcPr>
          <w:p w14:paraId="4D49657E"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6,0</w:t>
            </w:r>
          </w:p>
        </w:tc>
        <w:tc>
          <w:tcPr>
            <w:tcW w:w="708" w:type="pct"/>
            <w:tcBorders>
              <w:top w:val="nil"/>
              <w:left w:val="nil"/>
              <w:bottom w:val="nil"/>
              <w:right w:val="single" w:sz="4" w:space="0" w:color="auto"/>
            </w:tcBorders>
            <w:shd w:val="clear" w:color="auto" w:fill="auto"/>
            <w:noWrap/>
            <w:vAlign w:val="center"/>
            <w:hideMark/>
          </w:tcPr>
          <w:p w14:paraId="13C7705D"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15,1</w:t>
            </w:r>
          </w:p>
        </w:tc>
        <w:tc>
          <w:tcPr>
            <w:tcW w:w="854" w:type="pct"/>
            <w:tcBorders>
              <w:top w:val="nil"/>
              <w:left w:val="nil"/>
              <w:bottom w:val="nil"/>
              <w:right w:val="nil"/>
            </w:tcBorders>
            <w:shd w:val="clear" w:color="auto" w:fill="auto"/>
            <w:noWrap/>
            <w:vAlign w:val="center"/>
            <w:hideMark/>
          </w:tcPr>
          <w:p w14:paraId="652E4E3D"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70,3</w:t>
            </w:r>
          </w:p>
        </w:tc>
      </w:tr>
      <w:tr w:rsidR="003406B6" w:rsidRPr="0001165E" w14:paraId="43AEEEFF" w14:textId="77777777" w:rsidTr="00F43C9F">
        <w:trPr>
          <w:trHeight w:val="290"/>
        </w:trPr>
        <w:tc>
          <w:tcPr>
            <w:tcW w:w="1417" w:type="pct"/>
            <w:tcBorders>
              <w:top w:val="nil"/>
              <w:left w:val="nil"/>
              <w:bottom w:val="nil"/>
              <w:right w:val="nil"/>
            </w:tcBorders>
            <w:shd w:val="clear" w:color="auto" w:fill="auto"/>
            <w:noWrap/>
            <w:vAlign w:val="center"/>
            <w:hideMark/>
          </w:tcPr>
          <w:p w14:paraId="0C3BACCF"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lastRenderedPageBreak/>
              <w:t>Centros de Zona A</w:t>
            </w:r>
          </w:p>
        </w:tc>
        <w:tc>
          <w:tcPr>
            <w:tcW w:w="496" w:type="pct"/>
            <w:tcBorders>
              <w:top w:val="nil"/>
              <w:left w:val="nil"/>
              <w:bottom w:val="nil"/>
              <w:right w:val="nil"/>
            </w:tcBorders>
            <w:shd w:val="clear" w:color="auto" w:fill="auto"/>
            <w:noWrap/>
            <w:vAlign w:val="center"/>
            <w:hideMark/>
          </w:tcPr>
          <w:p w14:paraId="68613652"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4</w:t>
            </w:r>
          </w:p>
        </w:tc>
        <w:tc>
          <w:tcPr>
            <w:tcW w:w="936" w:type="pct"/>
            <w:tcBorders>
              <w:top w:val="nil"/>
              <w:left w:val="single" w:sz="4" w:space="0" w:color="auto"/>
              <w:bottom w:val="nil"/>
              <w:right w:val="nil"/>
            </w:tcBorders>
            <w:shd w:val="clear" w:color="auto" w:fill="auto"/>
            <w:noWrap/>
            <w:vAlign w:val="center"/>
            <w:hideMark/>
          </w:tcPr>
          <w:p w14:paraId="746DDFAC"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104.451</w:t>
            </w:r>
          </w:p>
        </w:tc>
        <w:tc>
          <w:tcPr>
            <w:tcW w:w="589" w:type="pct"/>
            <w:tcBorders>
              <w:top w:val="nil"/>
              <w:left w:val="nil"/>
              <w:bottom w:val="nil"/>
              <w:right w:val="nil"/>
            </w:tcBorders>
            <w:shd w:val="clear" w:color="auto" w:fill="auto"/>
            <w:noWrap/>
            <w:vAlign w:val="center"/>
            <w:hideMark/>
          </w:tcPr>
          <w:p w14:paraId="362ABB4D"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3,0</w:t>
            </w:r>
          </w:p>
        </w:tc>
        <w:tc>
          <w:tcPr>
            <w:tcW w:w="708" w:type="pct"/>
            <w:tcBorders>
              <w:top w:val="nil"/>
              <w:left w:val="nil"/>
              <w:bottom w:val="nil"/>
              <w:right w:val="single" w:sz="4" w:space="0" w:color="auto"/>
            </w:tcBorders>
            <w:shd w:val="clear" w:color="auto" w:fill="auto"/>
            <w:noWrap/>
            <w:vAlign w:val="center"/>
            <w:hideMark/>
          </w:tcPr>
          <w:p w14:paraId="20604F84"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19,4</w:t>
            </w:r>
          </w:p>
        </w:tc>
        <w:tc>
          <w:tcPr>
            <w:tcW w:w="854" w:type="pct"/>
            <w:tcBorders>
              <w:top w:val="nil"/>
              <w:left w:val="nil"/>
              <w:bottom w:val="nil"/>
              <w:right w:val="nil"/>
            </w:tcBorders>
            <w:shd w:val="clear" w:color="auto" w:fill="auto"/>
            <w:noWrap/>
            <w:vAlign w:val="center"/>
            <w:hideMark/>
          </w:tcPr>
          <w:p w14:paraId="29D74CED"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69,2</w:t>
            </w:r>
          </w:p>
        </w:tc>
      </w:tr>
      <w:tr w:rsidR="003406B6" w:rsidRPr="0001165E" w14:paraId="0613BFBB" w14:textId="77777777" w:rsidTr="00F43C9F">
        <w:trPr>
          <w:trHeight w:val="290"/>
        </w:trPr>
        <w:tc>
          <w:tcPr>
            <w:tcW w:w="1417" w:type="pct"/>
            <w:tcBorders>
              <w:top w:val="nil"/>
              <w:left w:val="nil"/>
              <w:bottom w:val="nil"/>
              <w:right w:val="nil"/>
            </w:tcBorders>
            <w:shd w:val="clear" w:color="auto" w:fill="auto"/>
            <w:noWrap/>
            <w:vAlign w:val="center"/>
            <w:hideMark/>
          </w:tcPr>
          <w:p w14:paraId="291390BE"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Centros de Zona B</w:t>
            </w:r>
          </w:p>
        </w:tc>
        <w:tc>
          <w:tcPr>
            <w:tcW w:w="496" w:type="pct"/>
            <w:tcBorders>
              <w:top w:val="nil"/>
              <w:left w:val="nil"/>
              <w:bottom w:val="nil"/>
              <w:right w:val="nil"/>
            </w:tcBorders>
            <w:shd w:val="clear" w:color="auto" w:fill="auto"/>
            <w:noWrap/>
            <w:vAlign w:val="center"/>
            <w:hideMark/>
          </w:tcPr>
          <w:p w14:paraId="6EA49646"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13</w:t>
            </w:r>
          </w:p>
        </w:tc>
        <w:tc>
          <w:tcPr>
            <w:tcW w:w="936" w:type="pct"/>
            <w:tcBorders>
              <w:top w:val="nil"/>
              <w:left w:val="single" w:sz="4" w:space="0" w:color="auto"/>
              <w:bottom w:val="nil"/>
              <w:right w:val="nil"/>
            </w:tcBorders>
            <w:shd w:val="clear" w:color="auto" w:fill="auto"/>
            <w:noWrap/>
            <w:vAlign w:val="center"/>
            <w:hideMark/>
          </w:tcPr>
          <w:p w14:paraId="3B25DFAF"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287.198</w:t>
            </w:r>
          </w:p>
        </w:tc>
        <w:tc>
          <w:tcPr>
            <w:tcW w:w="589" w:type="pct"/>
            <w:tcBorders>
              <w:top w:val="nil"/>
              <w:left w:val="nil"/>
              <w:bottom w:val="nil"/>
              <w:right w:val="nil"/>
            </w:tcBorders>
            <w:shd w:val="clear" w:color="auto" w:fill="auto"/>
            <w:noWrap/>
            <w:vAlign w:val="center"/>
            <w:hideMark/>
          </w:tcPr>
          <w:p w14:paraId="370317EA"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8,3</w:t>
            </w:r>
          </w:p>
        </w:tc>
        <w:tc>
          <w:tcPr>
            <w:tcW w:w="708" w:type="pct"/>
            <w:tcBorders>
              <w:top w:val="nil"/>
              <w:left w:val="nil"/>
              <w:bottom w:val="nil"/>
              <w:right w:val="single" w:sz="4" w:space="0" w:color="auto"/>
            </w:tcBorders>
            <w:shd w:val="clear" w:color="auto" w:fill="auto"/>
            <w:noWrap/>
            <w:vAlign w:val="center"/>
            <w:hideMark/>
          </w:tcPr>
          <w:p w14:paraId="0CB92F99"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9,0</w:t>
            </w:r>
          </w:p>
        </w:tc>
        <w:tc>
          <w:tcPr>
            <w:tcW w:w="854" w:type="pct"/>
            <w:tcBorders>
              <w:top w:val="nil"/>
              <w:left w:val="nil"/>
              <w:bottom w:val="nil"/>
              <w:right w:val="nil"/>
            </w:tcBorders>
            <w:shd w:val="clear" w:color="auto" w:fill="auto"/>
            <w:noWrap/>
            <w:vAlign w:val="center"/>
            <w:hideMark/>
          </w:tcPr>
          <w:p w14:paraId="3763ADEA"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58,6</w:t>
            </w:r>
          </w:p>
        </w:tc>
      </w:tr>
      <w:tr w:rsidR="003406B6" w:rsidRPr="0001165E" w14:paraId="00210E71" w14:textId="77777777" w:rsidTr="00F43C9F">
        <w:trPr>
          <w:trHeight w:val="290"/>
        </w:trPr>
        <w:tc>
          <w:tcPr>
            <w:tcW w:w="1417" w:type="pct"/>
            <w:tcBorders>
              <w:top w:val="nil"/>
              <w:left w:val="nil"/>
              <w:bottom w:val="nil"/>
              <w:right w:val="nil"/>
            </w:tcBorders>
            <w:shd w:val="clear" w:color="auto" w:fill="auto"/>
            <w:noWrap/>
            <w:vAlign w:val="center"/>
            <w:hideMark/>
          </w:tcPr>
          <w:p w14:paraId="3EAF149E" w14:textId="77777777" w:rsidR="003406B6" w:rsidRPr="0001165E" w:rsidRDefault="003406B6" w:rsidP="00F43C9F">
            <w:pPr>
              <w:spacing w:after="0" w:line="240" w:lineRule="auto"/>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Centros Locais</w:t>
            </w:r>
          </w:p>
        </w:tc>
        <w:tc>
          <w:tcPr>
            <w:tcW w:w="496" w:type="pct"/>
            <w:tcBorders>
              <w:top w:val="nil"/>
              <w:left w:val="nil"/>
              <w:bottom w:val="nil"/>
              <w:right w:val="nil"/>
            </w:tcBorders>
            <w:shd w:val="clear" w:color="auto" w:fill="auto"/>
            <w:noWrap/>
            <w:vAlign w:val="center"/>
            <w:hideMark/>
          </w:tcPr>
          <w:p w14:paraId="5DB6C744"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194</w:t>
            </w:r>
          </w:p>
        </w:tc>
        <w:tc>
          <w:tcPr>
            <w:tcW w:w="936" w:type="pct"/>
            <w:tcBorders>
              <w:top w:val="nil"/>
              <w:left w:val="single" w:sz="4" w:space="0" w:color="auto"/>
              <w:bottom w:val="nil"/>
              <w:right w:val="nil"/>
            </w:tcBorders>
            <w:shd w:val="clear" w:color="auto" w:fill="auto"/>
            <w:noWrap/>
            <w:vAlign w:val="center"/>
            <w:hideMark/>
          </w:tcPr>
          <w:p w14:paraId="48075BB0"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1.511.728</w:t>
            </w:r>
          </w:p>
        </w:tc>
        <w:tc>
          <w:tcPr>
            <w:tcW w:w="589" w:type="pct"/>
            <w:tcBorders>
              <w:top w:val="nil"/>
              <w:left w:val="nil"/>
              <w:bottom w:val="nil"/>
              <w:right w:val="nil"/>
            </w:tcBorders>
            <w:shd w:val="clear" w:color="auto" w:fill="auto"/>
            <w:noWrap/>
            <w:vAlign w:val="center"/>
            <w:hideMark/>
          </w:tcPr>
          <w:p w14:paraId="5D553C90"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43,8</w:t>
            </w:r>
          </w:p>
        </w:tc>
        <w:tc>
          <w:tcPr>
            <w:tcW w:w="708" w:type="pct"/>
            <w:tcBorders>
              <w:top w:val="nil"/>
              <w:left w:val="nil"/>
              <w:bottom w:val="nil"/>
              <w:right w:val="single" w:sz="4" w:space="0" w:color="auto"/>
            </w:tcBorders>
            <w:shd w:val="clear" w:color="auto" w:fill="auto"/>
            <w:noWrap/>
            <w:vAlign w:val="center"/>
            <w:hideMark/>
          </w:tcPr>
          <w:p w14:paraId="2A01410C" w14:textId="77777777" w:rsidR="003406B6" w:rsidRPr="0001165E"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7,8</w:t>
            </w:r>
          </w:p>
        </w:tc>
        <w:tc>
          <w:tcPr>
            <w:tcW w:w="854" w:type="pct"/>
            <w:tcBorders>
              <w:top w:val="nil"/>
              <w:left w:val="nil"/>
              <w:bottom w:val="nil"/>
              <w:right w:val="nil"/>
            </w:tcBorders>
            <w:shd w:val="clear" w:color="auto" w:fill="auto"/>
            <w:noWrap/>
            <w:vAlign w:val="center"/>
            <w:hideMark/>
          </w:tcPr>
          <w:p w14:paraId="0D292FF2" w14:textId="77777777" w:rsidR="003406B6" w:rsidRPr="0001165E" w:rsidRDefault="003406B6" w:rsidP="00F43C9F">
            <w:pPr>
              <w:spacing w:after="0" w:line="240" w:lineRule="auto"/>
              <w:jc w:val="center"/>
              <w:rPr>
                <w:rFonts w:ascii="Times New Roman" w:eastAsia="Times New Roman" w:hAnsi="Times New Roman" w:cs="Times New Roman"/>
                <w:color w:val="000000"/>
                <w:sz w:val="20"/>
                <w:szCs w:val="20"/>
                <w:lang w:eastAsia="pt-BR"/>
              </w:rPr>
            </w:pPr>
            <w:r w:rsidRPr="0001165E">
              <w:rPr>
                <w:rFonts w:ascii="Times New Roman" w:eastAsia="Times New Roman" w:hAnsi="Times New Roman" w:cs="Times New Roman"/>
                <w:color w:val="000000"/>
                <w:sz w:val="20"/>
                <w:szCs w:val="20"/>
                <w:lang w:eastAsia="pt-BR"/>
              </w:rPr>
              <w:t>40,8</w:t>
            </w:r>
          </w:p>
        </w:tc>
      </w:tr>
      <w:tr w:rsidR="003406B6" w:rsidRPr="0001165E" w14:paraId="71F5C282" w14:textId="77777777" w:rsidTr="00F43C9F">
        <w:trPr>
          <w:trHeight w:val="290"/>
        </w:trPr>
        <w:tc>
          <w:tcPr>
            <w:tcW w:w="1417" w:type="pct"/>
            <w:tcBorders>
              <w:top w:val="nil"/>
              <w:left w:val="nil"/>
              <w:bottom w:val="single" w:sz="4" w:space="0" w:color="auto"/>
              <w:right w:val="nil"/>
            </w:tcBorders>
            <w:shd w:val="clear" w:color="auto" w:fill="auto"/>
            <w:noWrap/>
            <w:vAlign w:val="center"/>
            <w:hideMark/>
          </w:tcPr>
          <w:p w14:paraId="0F33A905" w14:textId="77777777" w:rsidR="003406B6" w:rsidRPr="0001165E" w:rsidRDefault="003406B6" w:rsidP="00F43C9F">
            <w:pPr>
              <w:spacing w:after="0" w:line="240" w:lineRule="auto"/>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Total</w:t>
            </w:r>
          </w:p>
        </w:tc>
        <w:tc>
          <w:tcPr>
            <w:tcW w:w="496" w:type="pct"/>
            <w:tcBorders>
              <w:top w:val="nil"/>
              <w:left w:val="nil"/>
              <w:bottom w:val="single" w:sz="4" w:space="0" w:color="auto"/>
              <w:right w:val="nil"/>
            </w:tcBorders>
            <w:shd w:val="clear" w:color="auto" w:fill="auto"/>
            <w:noWrap/>
            <w:vAlign w:val="center"/>
            <w:hideMark/>
          </w:tcPr>
          <w:p w14:paraId="4BE7DF7C"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220</w:t>
            </w:r>
          </w:p>
        </w:tc>
        <w:tc>
          <w:tcPr>
            <w:tcW w:w="936" w:type="pct"/>
            <w:tcBorders>
              <w:top w:val="nil"/>
              <w:left w:val="single" w:sz="4" w:space="0" w:color="auto"/>
              <w:bottom w:val="single" w:sz="4" w:space="0" w:color="auto"/>
              <w:right w:val="nil"/>
            </w:tcBorders>
            <w:shd w:val="clear" w:color="auto" w:fill="auto"/>
            <w:noWrap/>
            <w:vAlign w:val="center"/>
            <w:hideMark/>
          </w:tcPr>
          <w:p w14:paraId="197588DF" w14:textId="77777777" w:rsidR="003406B6" w:rsidRPr="0001165E"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3.454.355</w:t>
            </w:r>
          </w:p>
        </w:tc>
        <w:tc>
          <w:tcPr>
            <w:tcW w:w="589" w:type="pct"/>
            <w:tcBorders>
              <w:top w:val="nil"/>
              <w:left w:val="nil"/>
              <w:bottom w:val="single" w:sz="4" w:space="0" w:color="auto"/>
              <w:right w:val="nil"/>
            </w:tcBorders>
            <w:shd w:val="clear" w:color="auto" w:fill="auto"/>
            <w:noWrap/>
            <w:vAlign w:val="center"/>
            <w:hideMark/>
          </w:tcPr>
          <w:p w14:paraId="4D10A37C"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100,0</w:t>
            </w:r>
          </w:p>
        </w:tc>
        <w:tc>
          <w:tcPr>
            <w:tcW w:w="708" w:type="pct"/>
            <w:tcBorders>
              <w:top w:val="nil"/>
              <w:left w:val="nil"/>
              <w:bottom w:val="single" w:sz="4" w:space="0" w:color="auto"/>
              <w:right w:val="single" w:sz="4" w:space="0" w:color="auto"/>
            </w:tcBorders>
            <w:shd w:val="clear" w:color="auto" w:fill="auto"/>
            <w:noWrap/>
            <w:vAlign w:val="center"/>
            <w:hideMark/>
          </w:tcPr>
          <w:p w14:paraId="125CA909" w14:textId="77777777" w:rsidR="003406B6" w:rsidRPr="0001165E"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13,6</w:t>
            </w:r>
          </w:p>
        </w:tc>
        <w:tc>
          <w:tcPr>
            <w:tcW w:w="854" w:type="pct"/>
            <w:tcBorders>
              <w:top w:val="nil"/>
              <w:left w:val="nil"/>
              <w:bottom w:val="single" w:sz="4" w:space="0" w:color="auto"/>
              <w:right w:val="nil"/>
            </w:tcBorders>
            <w:shd w:val="clear" w:color="auto" w:fill="auto"/>
            <w:noWrap/>
            <w:vAlign w:val="center"/>
            <w:hideMark/>
          </w:tcPr>
          <w:p w14:paraId="07CD81B5" w14:textId="77777777" w:rsidR="003406B6" w:rsidRPr="0001165E"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01165E">
              <w:rPr>
                <w:rFonts w:ascii="Times New Roman" w:eastAsia="Times New Roman" w:hAnsi="Times New Roman" w:cs="Times New Roman"/>
                <w:b/>
                <w:bCs/>
                <w:color w:val="000000"/>
                <w:sz w:val="20"/>
                <w:szCs w:val="20"/>
                <w:lang w:eastAsia="pt-BR"/>
              </w:rPr>
              <w:t>65,7</w:t>
            </w:r>
          </w:p>
        </w:tc>
      </w:tr>
      <w:tr w:rsidR="003406B6" w:rsidRPr="0001165E" w14:paraId="70F967AB" w14:textId="77777777" w:rsidTr="00F43C9F">
        <w:trPr>
          <w:trHeight w:val="290"/>
        </w:trPr>
        <w:tc>
          <w:tcPr>
            <w:tcW w:w="5000" w:type="pct"/>
            <w:gridSpan w:val="6"/>
            <w:tcBorders>
              <w:top w:val="nil"/>
              <w:left w:val="nil"/>
              <w:bottom w:val="nil"/>
              <w:right w:val="nil"/>
            </w:tcBorders>
            <w:shd w:val="clear" w:color="auto" w:fill="auto"/>
            <w:noWrap/>
            <w:vAlign w:val="center"/>
            <w:hideMark/>
          </w:tcPr>
          <w:p w14:paraId="7C33F98C" w14:textId="77777777" w:rsidR="003406B6" w:rsidRPr="0001165E" w:rsidRDefault="003406B6" w:rsidP="00F43C9F">
            <w:pPr>
              <w:spacing w:after="0" w:line="240" w:lineRule="auto"/>
              <w:rPr>
                <w:rFonts w:ascii="Times New Roman" w:eastAsia="Times New Roman" w:hAnsi="Times New Roman" w:cs="Times New Roman"/>
                <w:color w:val="000000"/>
                <w:sz w:val="16"/>
                <w:szCs w:val="16"/>
                <w:lang w:eastAsia="pt-BR"/>
              </w:rPr>
            </w:pPr>
            <w:r w:rsidRPr="0001165E">
              <w:rPr>
                <w:rFonts w:ascii="Times New Roman" w:eastAsia="Times New Roman" w:hAnsi="Times New Roman" w:cs="Times New Roman"/>
                <w:color w:val="000000"/>
                <w:sz w:val="16"/>
                <w:szCs w:val="16"/>
                <w:lang w:eastAsia="pt-BR"/>
              </w:rPr>
              <w:t>Fonte: IBGE/Censo Demográfico, 2010; Regiões de Influência das Cidades (</w:t>
            </w:r>
            <w:proofErr w:type="spellStart"/>
            <w:r w:rsidRPr="0001165E">
              <w:rPr>
                <w:rFonts w:ascii="Times New Roman" w:eastAsia="Times New Roman" w:hAnsi="Times New Roman" w:cs="Times New Roman"/>
                <w:color w:val="000000"/>
                <w:sz w:val="16"/>
                <w:szCs w:val="16"/>
                <w:lang w:eastAsia="pt-BR"/>
              </w:rPr>
              <w:t>Regic</w:t>
            </w:r>
            <w:proofErr w:type="spellEnd"/>
            <w:r w:rsidRPr="0001165E">
              <w:rPr>
                <w:rFonts w:ascii="Times New Roman" w:eastAsia="Times New Roman" w:hAnsi="Times New Roman" w:cs="Times New Roman"/>
                <w:color w:val="000000"/>
                <w:sz w:val="16"/>
                <w:szCs w:val="16"/>
                <w:lang w:eastAsia="pt-BR"/>
              </w:rPr>
              <w:t>), 2018.</w:t>
            </w:r>
          </w:p>
        </w:tc>
      </w:tr>
    </w:tbl>
    <w:p w14:paraId="2B0AF60C" w14:textId="77777777" w:rsidR="003406B6" w:rsidRDefault="003406B6" w:rsidP="003406B6">
      <w:pPr>
        <w:spacing w:after="0" w:line="240" w:lineRule="auto"/>
        <w:jc w:val="center"/>
        <w:rPr>
          <w:rFonts w:ascii="Arial" w:hAnsi="Arial" w:cs="Arial"/>
        </w:rPr>
      </w:pPr>
    </w:p>
    <w:p w14:paraId="5E8DE5A0" w14:textId="248BFBCA" w:rsidR="003406B6" w:rsidRPr="006A7FED" w:rsidRDefault="0031292D" w:rsidP="0031123A">
      <w:pPr>
        <w:spacing w:after="0" w:line="360" w:lineRule="auto"/>
        <w:ind w:firstLine="709"/>
        <w:jc w:val="both"/>
        <w:rPr>
          <w:rFonts w:ascii="Times New Roman" w:hAnsi="Times New Roman" w:cs="Times New Roman"/>
          <w:sz w:val="24"/>
          <w:szCs w:val="24"/>
        </w:rPr>
      </w:pPr>
      <w:r w:rsidRPr="0001165E">
        <w:rPr>
          <w:rFonts w:ascii="Times New Roman" w:hAnsi="Times New Roman" w:cs="Times New Roman"/>
          <w:sz w:val="24"/>
          <w:szCs w:val="24"/>
        </w:rPr>
        <w:t xml:space="preserve">Entre os CS-A, observa-se uma participação relativa de 9,1% do total da população estimada para a rede urbana do Piauí no ano de 2018, o que correspondia a 314,7 mil pessoas. Desse contingente, 48,5% estavam localizados no município de Parnaíba, reforçando o peso relativo dessa cidade e sua importância regional. No ano de 2010, Parnaíba tinha grau de urbanização de 94,4%, bem acima do que a média dos CS-A, que era de 85,7%. </w:t>
      </w:r>
      <w:r w:rsidR="003406B6" w:rsidRPr="006A7FED">
        <w:rPr>
          <w:rFonts w:ascii="Times New Roman" w:hAnsi="Times New Roman" w:cs="Times New Roman"/>
          <w:sz w:val="24"/>
          <w:szCs w:val="24"/>
        </w:rPr>
        <w:t xml:space="preserve">Nos outros dois casos, de Floriano e de Picos, considerou-se os dados dos respectivos </w:t>
      </w:r>
      <w:r w:rsidR="0017578A">
        <w:rPr>
          <w:rFonts w:ascii="Times New Roman" w:hAnsi="Times New Roman" w:cs="Times New Roman"/>
          <w:sz w:val="24"/>
          <w:szCs w:val="24"/>
        </w:rPr>
        <w:t>AP</w:t>
      </w:r>
      <w:r w:rsidR="003406B6" w:rsidRPr="006A7FED">
        <w:rPr>
          <w:rFonts w:ascii="Times New Roman" w:hAnsi="Times New Roman" w:cs="Times New Roman"/>
          <w:sz w:val="24"/>
          <w:szCs w:val="24"/>
        </w:rPr>
        <w:t xml:space="preserve">, conforme </w:t>
      </w:r>
      <w:r w:rsidR="0031123A">
        <w:rPr>
          <w:rFonts w:ascii="Times New Roman" w:hAnsi="Times New Roman" w:cs="Times New Roman"/>
          <w:sz w:val="24"/>
          <w:szCs w:val="24"/>
        </w:rPr>
        <w:t>Quadro 1</w:t>
      </w:r>
      <w:r w:rsidR="003406B6" w:rsidRPr="006A7FED">
        <w:rPr>
          <w:rFonts w:ascii="Times New Roman" w:hAnsi="Times New Roman" w:cs="Times New Roman"/>
          <w:sz w:val="24"/>
          <w:szCs w:val="24"/>
        </w:rPr>
        <w:t>. Juntos, os CS-A ocupavam uma área de pouco mais de 7 mil km², com densidade demográfica de 44,5 hab./km²</w:t>
      </w:r>
      <w:r w:rsidR="00CF4459">
        <w:rPr>
          <w:rFonts w:ascii="Times New Roman" w:hAnsi="Times New Roman" w:cs="Times New Roman"/>
          <w:sz w:val="24"/>
          <w:szCs w:val="24"/>
        </w:rPr>
        <w:t xml:space="preserve"> em </w:t>
      </w:r>
      <w:r w:rsidR="003406B6" w:rsidRPr="006A7FED">
        <w:rPr>
          <w:rFonts w:ascii="Times New Roman" w:hAnsi="Times New Roman" w:cs="Times New Roman"/>
          <w:sz w:val="24"/>
          <w:szCs w:val="24"/>
        </w:rPr>
        <w:t>2018.</w:t>
      </w:r>
    </w:p>
    <w:p w14:paraId="4D43BC87" w14:textId="6C332B60"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Vistas de maneira agregada, as informações concernentes aos dois níveis mais elevados da hierarquia urbano-regional do Piauí revelam o volume de concentração da distribuição espacial da sua população, cujo desempenho é fundamental para se compreender sua dinâmica populacional e econômica interna. Com efeito, somando-se as informações relativas da CR-A com os CS-A, temos que na capital e no primeiro nível da hierarquia urbana situada no interior viviam 38,9% da população piauiense, ou 1,3 milhão de habitantes. </w:t>
      </w:r>
      <w:r w:rsidR="00961141">
        <w:rPr>
          <w:rFonts w:ascii="Times New Roman" w:hAnsi="Times New Roman" w:cs="Times New Roman"/>
          <w:sz w:val="24"/>
          <w:szCs w:val="24"/>
        </w:rPr>
        <w:t xml:space="preserve">No </w:t>
      </w:r>
      <w:r w:rsidRPr="006A7FED">
        <w:rPr>
          <w:rFonts w:ascii="Times New Roman" w:hAnsi="Times New Roman" w:cs="Times New Roman"/>
          <w:sz w:val="24"/>
          <w:szCs w:val="24"/>
        </w:rPr>
        <w:t xml:space="preserve">ano de 2018, </w:t>
      </w:r>
      <w:r w:rsidR="00961141">
        <w:rPr>
          <w:rFonts w:ascii="Times New Roman" w:hAnsi="Times New Roman" w:cs="Times New Roman"/>
          <w:sz w:val="24"/>
          <w:szCs w:val="24"/>
        </w:rPr>
        <w:t xml:space="preserve">esse contingente </w:t>
      </w:r>
      <w:r w:rsidR="000F537D">
        <w:rPr>
          <w:rFonts w:ascii="Times New Roman" w:hAnsi="Times New Roman" w:cs="Times New Roman"/>
          <w:sz w:val="24"/>
          <w:szCs w:val="24"/>
        </w:rPr>
        <w:t xml:space="preserve">residia </w:t>
      </w:r>
      <w:r w:rsidRPr="006A7FED">
        <w:rPr>
          <w:rFonts w:ascii="Times New Roman" w:hAnsi="Times New Roman" w:cs="Times New Roman"/>
          <w:sz w:val="24"/>
          <w:szCs w:val="24"/>
        </w:rPr>
        <w:t>numa extensão equivalente a apenas 4% do território, consubstanciados em suas 4 maiores cidades. Reforça-se, assim, a percepção do caráter concentrado da população desse estado, seja no primeiro nível, em sua capital estadual, ou no segundo nível, em suas principais cidades interioranas.</w:t>
      </w:r>
    </w:p>
    <w:p w14:paraId="3AA455DE" w14:textId="5199B2F1"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Por sua vez, os CS-B correspondiam a 6% da população estadual, repartidas pelas 5 aglomerações urbanas que compõem esse grupo. Com seus quase 207 mil habitantes, numa extensão de 13,7 mil km², alcançava uma densidade demográfica de 15,1 hab./km², no ano de 2018, mas com grau de urbanização de 70,3%, no ano de 2010. Nota-se que nesse nível já começa a ocorrer uma maior dispersão territorial, quando comparados com os níveis anteriores. </w:t>
      </w:r>
      <w:r w:rsidR="000064BC">
        <w:rPr>
          <w:rFonts w:ascii="Times New Roman" w:hAnsi="Times New Roman" w:cs="Times New Roman"/>
          <w:sz w:val="24"/>
          <w:szCs w:val="24"/>
        </w:rPr>
        <w:t>Assim</w:t>
      </w:r>
      <w:r w:rsidRPr="006A7FED">
        <w:rPr>
          <w:rFonts w:ascii="Times New Roman" w:hAnsi="Times New Roman" w:cs="Times New Roman"/>
          <w:sz w:val="24"/>
          <w:szCs w:val="24"/>
        </w:rPr>
        <w:t xml:space="preserve">, sua representação no total da população </w:t>
      </w:r>
      <w:r w:rsidR="00B22FF9">
        <w:rPr>
          <w:rFonts w:ascii="Times New Roman" w:hAnsi="Times New Roman" w:cs="Times New Roman"/>
          <w:sz w:val="24"/>
          <w:szCs w:val="24"/>
        </w:rPr>
        <w:t>equivale</w:t>
      </w:r>
      <w:r w:rsidRPr="006A7FED">
        <w:rPr>
          <w:rFonts w:ascii="Times New Roman" w:hAnsi="Times New Roman" w:cs="Times New Roman"/>
          <w:sz w:val="24"/>
          <w:szCs w:val="24"/>
        </w:rPr>
        <w:t xml:space="preserve"> à sua representação no total da área dos municípios no conjunto estadual (6% da população e 5,4% da extensão territorial). </w:t>
      </w:r>
    </w:p>
    <w:p w14:paraId="4D7F02C9" w14:textId="77777777"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lastRenderedPageBreak/>
        <w:t>No entanto, justamente essa distribuição mais dispersa pelo território revela a importância que os CS-B do Piauí têm dentro da infraestrutura socioespacial que a rede urbana representa. Isso porque tais cidades acumulam funções essenciais para suas respectivas áreas de influência, conforme averiguado pelo IBGE (2008; 2020). Isso é o que define seu papel e posição dentro da rede urbana estadual. Dessa maneira, em que pese identificarmos indicadores demográficos já bem menores do que aqueles verificados nos níveis superiores (CR-A e CS-A), eles nos permitem apontar que os CS-B são cidades que atuam subsidiariamente no processo de organização e estruturação do território piauiense.</w:t>
      </w:r>
    </w:p>
    <w:p w14:paraId="1C9AAA65" w14:textId="5BE1AD10"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Já entre os CZ, vamos encontrar um total de 391,6 mil pessoas habitando alguma dessas cidades (11,3% do total do Estado), no ano de 2018, repartidas entre os níveis A e B. No primeiro nível, eram 104,4 mil pessoas, com densidade demográfica de 19,4 hab./km² e, no segundo nível, eram 287,2 mil habitantes, com densidade de 9 hab./km². Observadas segundo seu grau de urbanização, identificou-se, respectivamente, os níveis de 69,2% e 58,6%, o que já denota uma maior participação da população rural e maior dispersão territorial. </w:t>
      </w:r>
      <w:r w:rsidR="00D9095E">
        <w:rPr>
          <w:rFonts w:ascii="Times New Roman" w:hAnsi="Times New Roman" w:cs="Times New Roman"/>
          <w:sz w:val="24"/>
          <w:szCs w:val="24"/>
        </w:rPr>
        <w:t>S</w:t>
      </w:r>
      <w:r w:rsidRPr="006A7FED">
        <w:rPr>
          <w:rFonts w:ascii="Times New Roman" w:hAnsi="Times New Roman" w:cs="Times New Roman"/>
          <w:sz w:val="24"/>
          <w:szCs w:val="24"/>
        </w:rPr>
        <w:t>ua extensão territorial total correspondia a 12,5% da área analisada, contra os 11,3</w:t>
      </w:r>
      <w:r w:rsidR="005550B1">
        <w:rPr>
          <w:rFonts w:ascii="Times New Roman" w:hAnsi="Times New Roman" w:cs="Times New Roman"/>
          <w:sz w:val="24"/>
          <w:szCs w:val="24"/>
        </w:rPr>
        <w:t>%</w:t>
      </w:r>
      <w:r w:rsidRPr="006A7FED">
        <w:rPr>
          <w:rFonts w:ascii="Times New Roman" w:hAnsi="Times New Roman" w:cs="Times New Roman"/>
          <w:sz w:val="24"/>
          <w:szCs w:val="24"/>
        </w:rPr>
        <w:t xml:space="preserve"> do total da população.</w:t>
      </w:r>
    </w:p>
    <w:p w14:paraId="7487A234" w14:textId="79200311"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O restante da população piauiense estava distribuído espacialmente entre os 194 CL dispersos pelo território estadual. </w:t>
      </w:r>
      <w:r w:rsidR="000607CA">
        <w:rPr>
          <w:rFonts w:ascii="Times New Roman" w:hAnsi="Times New Roman" w:cs="Times New Roman"/>
          <w:sz w:val="24"/>
          <w:szCs w:val="24"/>
        </w:rPr>
        <w:t>Em</w:t>
      </w:r>
      <w:r w:rsidRPr="006A7FED">
        <w:rPr>
          <w:rFonts w:ascii="Times New Roman" w:hAnsi="Times New Roman" w:cs="Times New Roman"/>
          <w:sz w:val="24"/>
          <w:szCs w:val="24"/>
        </w:rPr>
        <w:t xml:space="preserve"> 2018, estimou-se 1,5 milhão de pessoas habitando algum desses municípios, correspondendo a 43,8% </w:t>
      </w:r>
      <w:r w:rsidR="00FC7B17">
        <w:rPr>
          <w:rFonts w:ascii="Times New Roman" w:hAnsi="Times New Roman" w:cs="Times New Roman"/>
          <w:sz w:val="24"/>
          <w:szCs w:val="24"/>
        </w:rPr>
        <w:t>d</w:t>
      </w:r>
      <w:r w:rsidRPr="006A7FED">
        <w:rPr>
          <w:rFonts w:ascii="Times New Roman" w:hAnsi="Times New Roman" w:cs="Times New Roman"/>
          <w:sz w:val="24"/>
          <w:szCs w:val="24"/>
        </w:rPr>
        <w:t xml:space="preserve">a população do Estado. No seu conjunto, os CL representavam uma área de 193 mil km², equivalente a 75,9% de todo o território estadual, com densidade demográfica de 7,8 hab./km². </w:t>
      </w:r>
      <w:r w:rsidR="00FC7B17">
        <w:rPr>
          <w:rFonts w:ascii="Times New Roman" w:hAnsi="Times New Roman" w:cs="Times New Roman"/>
          <w:sz w:val="24"/>
          <w:szCs w:val="24"/>
        </w:rPr>
        <w:t>N</w:t>
      </w:r>
      <w:r w:rsidRPr="006A7FED">
        <w:rPr>
          <w:rFonts w:ascii="Times New Roman" w:hAnsi="Times New Roman" w:cs="Times New Roman"/>
          <w:sz w:val="24"/>
          <w:szCs w:val="24"/>
        </w:rPr>
        <w:t>esse grupo, o grau de urbanização foi de apenas 40,8%</w:t>
      </w:r>
      <w:r w:rsidR="00FC7B17">
        <w:rPr>
          <w:rFonts w:ascii="Times New Roman" w:hAnsi="Times New Roman" w:cs="Times New Roman"/>
          <w:sz w:val="24"/>
          <w:szCs w:val="24"/>
        </w:rPr>
        <w:t xml:space="preserve"> em 2010</w:t>
      </w:r>
      <w:r w:rsidRPr="006A7FED">
        <w:rPr>
          <w:rFonts w:ascii="Times New Roman" w:hAnsi="Times New Roman" w:cs="Times New Roman"/>
          <w:sz w:val="24"/>
          <w:szCs w:val="24"/>
        </w:rPr>
        <w:t xml:space="preserve">. Portanto, </w:t>
      </w:r>
      <w:r w:rsidR="00D3175B">
        <w:rPr>
          <w:rFonts w:ascii="Times New Roman" w:hAnsi="Times New Roman" w:cs="Times New Roman"/>
          <w:sz w:val="24"/>
          <w:szCs w:val="24"/>
        </w:rPr>
        <w:t xml:space="preserve">em termos estatísticos, aí </w:t>
      </w:r>
      <w:r w:rsidRPr="006A7FED">
        <w:rPr>
          <w:rFonts w:ascii="Times New Roman" w:hAnsi="Times New Roman" w:cs="Times New Roman"/>
          <w:sz w:val="24"/>
          <w:szCs w:val="24"/>
        </w:rPr>
        <w:t>o elemento rural é muito mais presente do que o elemento urbano.</w:t>
      </w:r>
    </w:p>
    <w:p w14:paraId="1266A9F7" w14:textId="5BEBEDEC" w:rsidR="003406B6" w:rsidRPr="006A7FED" w:rsidRDefault="007230EF" w:rsidP="009B0A9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Os d</w:t>
      </w:r>
      <w:r w:rsidR="003406B6" w:rsidRPr="006A7FED">
        <w:rPr>
          <w:rFonts w:ascii="Times New Roman" w:hAnsi="Times New Roman" w:cs="Times New Roman"/>
          <w:sz w:val="24"/>
          <w:szCs w:val="24"/>
        </w:rPr>
        <w:t>ados apontam que, se por um lado, verificamos o caráter concentrado da população piauiense nas suas maiores cidades, por outro, também identificamos o caráter disperso do restante da população por todo o seu território. Nesse sentido, podemos concluir que o Piauí reflete as mesmas tendências que outros estudos têm apontado para os casos do Brasil e do Nordeste</w:t>
      </w:r>
      <w:r w:rsidR="00FD282C">
        <w:rPr>
          <w:rFonts w:ascii="Times New Roman" w:hAnsi="Times New Roman" w:cs="Times New Roman"/>
          <w:sz w:val="24"/>
          <w:szCs w:val="24"/>
        </w:rPr>
        <w:t xml:space="preserve"> (PORTO, 2022)</w:t>
      </w:r>
      <w:r w:rsidR="003406B6" w:rsidRPr="006A7FED">
        <w:rPr>
          <w:rFonts w:ascii="Times New Roman" w:hAnsi="Times New Roman" w:cs="Times New Roman"/>
          <w:sz w:val="24"/>
          <w:szCs w:val="24"/>
        </w:rPr>
        <w:t>. Trata-se de uma dinâmica demográfica que é, ao mesmo tempo, concentrada e dispersa, o que requer esforços de planejamento e de ordenamento do território estadual de diferentes naturezas para cada caso.</w:t>
      </w:r>
    </w:p>
    <w:p w14:paraId="079332FD" w14:textId="30C69B60"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lastRenderedPageBreak/>
        <w:t>Esse comportamento, aliás, é resultado de como as atividades humanas e relações econômicas foram se desenvolvendo no Estado, ao longo do tempo, desde seu processo histórico de formação e de ocupação do território. Para compreendermos os elementos centrais de sua dinâmica demográfica recente ainda é preciso observar suas características segundo diferentes escalas geográficas. É o que passaremos a fazer a partir de agora.</w:t>
      </w:r>
    </w:p>
    <w:p w14:paraId="6C51923F" w14:textId="1952610A" w:rsidR="003406B6" w:rsidRPr="006A7FED" w:rsidRDefault="003406B6" w:rsidP="009B0A99">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O Gráfico 1 traz os primeiros elementos que nos auxiliam a fazer essa caracterização. Podemos observar que, desde o censo de 1991, a população urbana estadual apresenta maior volume de crescimento absoluto do que o incremento da população total. Tal diferença decorre das perdas absolutas apresentadas pela p</w:t>
      </w:r>
      <w:r w:rsidR="00FD282C">
        <w:rPr>
          <w:rFonts w:ascii="Times New Roman" w:hAnsi="Times New Roman" w:cs="Times New Roman"/>
          <w:sz w:val="24"/>
          <w:szCs w:val="24"/>
        </w:rPr>
        <w:t>opulaçã</w:t>
      </w:r>
      <w:r w:rsidRPr="006A7FED">
        <w:rPr>
          <w:rFonts w:ascii="Times New Roman" w:hAnsi="Times New Roman" w:cs="Times New Roman"/>
          <w:sz w:val="24"/>
          <w:szCs w:val="24"/>
        </w:rPr>
        <w:t>o rural, no período, cuja redução indica o movimento de urbanização, isto é, a mudança de lugar de residência dos piauienses.</w:t>
      </w:r>
    </w:p>
    <w:p w14:paraId="10646E48" w14:textId="77777777" w:rsidR="003406B6" w:rsidRDefault="003406B6" w:rsidP="003406B6">
      <w:pPr>
        <w:spacing w:after="0" w:line="240" w:lineRule="auto"/>
        <w:jc w:val="center"/>
        <w:rPr>
          <w:rFonts w:ascii="Arial" w:hAnsi="Arial" w:cs="Arial"/>
          <w:b/>
          <w:bCs/>
        </w:rPr>
      </w:pPr>
    </w:p>
    <w:p w14:paraId="77E76924" w14:textId="77777777" w:rsidR="003406B6" w:rsidRPr="006A7FED" w:rsidRDefault="003406B6" w:rsidP="009E245D">
      <w:pPr>
        <w:spacing w:after="0" w:line="240" w:lineRule="auto"/>
        <w:ind w:left="1276" w:right="1274"/>
        <w:jc w:val="center"/>
        <w:rPr>
          <w:rFonts w:ascii="Times New Roman" w:hAnsi="Times New Roman" w:cs="Times New Roman"/>
        </w:rPr>
      </w:pPr>
      <w:r w:rsidRPr="006A7FED">
        <w:rPr>
          <w:rFonts w:ascii="Times New Roman" w:hAnsi="Times New Roman" w:cs="Times New Roman"/>
          <w:b/>
          <w:bCs/>
        </w:rPr>
        <w:t>Gráfico 1</w:t>
      </w:r>
      <w:r w:rsidRPr="006A7FED">
        <w:rPr>
          <w:rFonts w:ascii="Times New Roman" w:hAnsi="Times New Roman" w:cs="Times New Roman"/>
        </w:rPr>
        <w:t xml:space="preserve"> – Piauí: incremento da população total, urbana e rural, em número absolutos, 1970-2010</w:t>
      </w:r>
    </w:p>
    <w:p w14:paraId="03B971A2" w14:textId="77777777" w:rsidR="003406B6" w:rsidRPr="006A7FED" w:rsidRDefault="003406B6" w:rsidP="003406B6">
      <w:pPr>
        <w:spacing w:after="0" w:line="240" w:lineRule="auto"/>
        <w:jc w:val="center"/>
        <w:rPr>
          <w:rFonts w:ascii="Times New Roman" w:hAnsi="Times New Roman" w:cs="Times New Roman"/>
        </w:rPr>
      </w:pPr>
      <w:r w:rsidRPr="006A7FED">
        <w:rPr>
          <w:rFonts w:ascii="Times New Roman" w:hAnsi="Times New Roman" w:cs="Times New Roman"/>
          <w:noProof/>
        </w:rPr>
        <w:drawing>
          <wp:inline distT="0" distB="0" distL="0" distR="0" wp14:anchorId="412E790B" wp14:editId="75D9AA71">
            <wp:extent cx="4121323" cy="1735893"/>
            <wp:effectExtent l="0" t="0" r="12700" b="17145"/>
            <wp:docPr id="6" name="Gráfico 6">
              <a:extLst xmlns:a="http://schemas.openxmlformats.org/drawingml/2006/main">
                <a:ext uri="{FF2B5EF4-FFF2-40B4-BE49-F238E27FC236}">
                  <a16:creationId xmlns:a16="http://schemas.microsoft.com/office/drawing/2014/main" id="{99C5A9F9-664D-976C-4EF5-56FD4DD1C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C490886" w14:textId="2E3E1149" w:rsidR="003406B6" w:rsidRPr="006A7FED" w:rsidRDefault="003406B6" w:rsidP="009E245D">
      <w:pPr>
        <w:spacing w:after="0" w:line="240" w:lineRule="auto"/>
        <w:ind w:left="1276"/>
        <w:rPr>
          <w:rFonts w:ascii="Times New Roman" w:hAnsi="Times New Roman" w:cs="Times New Roman"/>
          <w:sz w:val="16"/>
          <w:szCs w:val="16"/>
        </w:rPr>
      </w:pPr>
      <w:r w:rsidRPr="006A7FED">
        <w:rPr>
          <w:rFonts w:ascii="Times New Roman" w:hAnsi="Times New Roman" w:cs="Times New Roman"/>
          <w:sz w:val="16"/>
          <w:szCs w:val="16"/>
        </w:rPr>
        <w:t xml:space="preserve">  Fonte: IBGE, Censos Demográficos (1970-2010).</w:t>
      </w:r>
    </w:p>
    <w:p w14:paraId="18D8F11F" w14:textId="77777777" w:rsidR="003406B6" w:rsidRDefault="003406B6" w:rsidP="003406B6">
      <w:pPr>
        <w:spacing w:after="0" w:line="240" w:lineRule="auto"/>
        <w:rPr>
          <w:rFonts w:ascii="Arial" w:hAnsi="Arial" w:cs="Arial"/>
          <w:sz w:val="16"/>
          <w:szCs w:val="16"/>
        </w:rPr>
      </w:pPr>
    </w:p>
    <w:p w14:paraId="55A6F03A" w14:textId="77777777" w:rsidR="003406B6" w:rsidRPr="009E245D" w:rsidRDefault="003406B6" w:rsidP="003406B6">
      <w:pPr>
        <w:spacing w:after="0" w:line="240" w:lineRule="auto"/>
        <w:rPr>
          <w:rFonts w:ascii="Times New Roman" w:hAnsi="Times New Roman" w:cs="Times New Roman"/>
          <w:sz w:val="16"/>
          <w:szCs w:val="16"/>
        </w:rPr>
      </w:pPr>
    </w:p>
    <w:p w14:paraId="005AC33B" w14:textId="0D5E3A54"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Entre 1970 e 2010, a população do Piauí passou de 1,7 milhão de habitantes para 3,1 milhões, um crescimento relativo de 85,5%. No mesmo período, a população rural do Piauí passou de 1.143 mil pessoas para 1.067 mil pessoas, mantendo-se estável, em que pese o movimento contínuo de queda no período. A grande mudança ocorreu, então, no desempenho da população urbana nesses 40 anos, saltando de 538 mil pessoas na década de 1970 para mais de 2 milhões em 2010 – um aumento relativo de mais de 280%. Ou seja, o crescimento populacional do Piauí tornou-se essencialmente urbano, reforçando-se o papel de suas cidades.</w:t>
      </w:r>
    </w:p>
    <w:p w14:paraId="6F93C478" w14:textId="77777777" w:rsidR="0001640A" w:rsidRDefault="003406B6" w:rsidP="0001640A">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Já na primeira década do século XXI, é possível notar que o crescimento demográfico desacelerou. O fenômeno também é visível para o conjunto da região Nordeste, com a </w:t>
      </w:r>
      <w:r w:rsidRPr="006A7FED">
        <w:rPr>
          <w:rFonts w:ascii="Times New Roman" w:hAnsi="Times New Roman" w:cs="Times New Roman"/>
          <w:sz w:val="24"/>
          <w:szCs w:val="24"/>
        </w:rPr>
        <w:lastRenderedPageBreak/>
        <w:t>população rural deixando de declinar-se, mas contribuindo muito pouco com o crescimento da população total. As cidades são, portanto, o principal elemento da dinâmica demográfica do Piauí, inclusive como elementos estratégicos para se pensar sua enorme população rural, que é uma das maiores do país.</w:t>
      </w:r>
    </w:p>
    <w:p w14:paraId="0C3EC166" w14:textId="5449673A" w:rsidR="00FD282C" w:rsidRPr="006A7FED" w:rsidRDefault="0001640A" w:rsidP="0001640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w:t>
      </w:r>
      <w:r w:rsidR="00396143" w:rsidRPr="006A7FED">
        <w:rPr>
          <w:rFonts w:ascii="Times New Roman" w:hAnsi="Times New Roman" w:cs="Times New Roman"/>
          <w:sz w:val="24"/>
          <w:szCs w:val="24"/>
        </w:rPr>
        <w:t xml:space="preserve"> dinâmica</w:t>
      </w:r>
      <w:r>
        <w:rPr>
          <w:rFonts w:ascii="Times New Roman" w:hAnsi="Times New Roman" w:cs="Times New Roman"/>
          <w:sz w:val="24"/>
          <w:szCs w:val="24"/>
        </w:rPr>
        <w:t xml:space="preserve"> demográfica do Piauí</w:t>
      </w:r>
      <w:r w:rsidR="00396143" w:rsidRPr="006A7FED">
        <w:rPr>
          <w:rFonts w:ascii="Times New Roman" w:hAnsi="Times New Roman" w:cs="Times New Roman"/>
          <w:sz w:val="24"/>
          <w:szCs w:val="24"/>
        </w:rPr>
        <w:t xml:space="preserve"> aproxima-se do que ocorre com a média da zona semiárida, mantendo-se baixa em relação ao país e mesmo ao conjunto dos estados nordestinos, superando apenas o Maranhão. </w:t>
      </w:r>
      <w:r w:rsidR="00FD282C">
        <w:rPr>
          <w:rFonts w:ascii="Times New Roman" w:hAnsi="Times New Roman" w:cs="Times New Roman"/>
          <w:sz w:val="24"/>
          <w:szCs w:val="24"/>
        </w:rPr>
        <w:t>O</w:t>
      </w:r>
      <w:r w:rsidR="00FD282C" w:rsidRPr="006A7FED">
        <w:rPr>
          <w:rFonts w:ascii="Times New Roman" w:hAnsi="Times New Roman" w:cs="Times New Roman"/>
          <w:sz w:val="24"/>
          <w:szCs w:val="24"/>
        </w:rPr>
        <w:t xml:space="preserve"> Piauí </w:t>
      </w:r>
      <w:r w:rsidR="00FD282C">
        <w:rPr>
          <w:rFonts w:ascii="Times New Roman" w:hAnsi="Times New Roman" w:cs="Times New Roman"/>
          <w:sz w:val="24"/>
          <w:szCs w:val="24"/>
        </w:rPr>
        <w:t xml:space="preserve">só </w:t>
      </w:r>
      <w:r w:rsidR="00FD282C" w:rsidRPr="006A7FED">
        <w:rPr>
          <w:rFonts w:ascii="Times New Roman" w:hAnsi="Times New Roman" w:cs="Times New Roman"/>
          <w:sz w:val="24"/>
          <w:szCs w:val="24"/>
        </w:rPr>
        <w:t xml:space="preserve">veio a apresentar população majoritariamente habitando os núcleos urbanos </w:t>
      </w:r>
      <w:r w:rsidR="00E7258C">
        <w:rPr>
          <w:rFonts w:ascii="Times New Roman" w:hAnsi="Times New Roman" w:cs="Times New Roman"/>
          <w:sz w:val="24"/>
          <w:szCs w:val="24"/>
        </w:rPr>
        <w:t>em</w:t>
      </w:r>
      <w:r w:rsidR="00FD282C" w:rsidRPr="006A7FED">
        <w:rPr>
          <w:rFonts w:ascii="Times New Roman" w:hAnsi="Times New Roman" w:cs="Times New Roman"/>
          <w:sz w:val="24"/>
          <w:szCs w:val="24"/>
        </w:rPr>
        <w:t xml:space="preserve"> 1991, com grau de urbanização de 52,6%. O Brasil já possuía maioria urbana nos anos 1960 e a região Nordeste apresentou esse resultado no censo de 1980. Conquanto o dado aponte para um ritmo mais lento de urbanização do que os outros níveis geográficos, o Piauí apresenta uma dinâmica urbana cada vez mais crescente, elevando seu grau de urbanização para 62,9% no ano 2000 e 65,</w:t>
      </w:r>
      <w:r w:rsidR="00396143">
        <w:rPr>
          <w:rFonts w:ascii="Times New Roman" w:hAnsi="Times New Roman" w:cs="Times New Roman"/>
          <w:sz w:val="24"/>
          <w:szCs w:val="24"/>
        </w:rPr>
        <w:t>8</w:t>
      </w:r>
      <w:r w:rsidR="00FD282C" w:rsidRPr="006A7FED">
        <w:rPr>
          <w:rFonts w:ascii="Times New Roman" w:hAnsi="Times New Roman" w:cs="Times New Roman"/>
          <w:sz w:val="24"/>
          <w:szCs w:val="24"/>
        </w:rPr>
        <w:t>% no ano de 2010.</w:t>
      </w:r>
    </w:p>
    <w:p w14:paraId="1D3E7BEF" w14:textId="6BD32449" w:rsidR="003406B6" w:rsidRPr="006A7FED" w:rsidRDefault="003406B6" w:rsidP="0037413C">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A distribuição espacial da população piauiense pode ser vista na Figura </w:t>
      </w:r>
      <w:r w:rsidR="00666412">
        <w:rPr>
          <w:rFonts w:ascii="Times New Roman" w:hAnsi="Times New Roman" w:cs="Times New Roman"/>
          <w:sz w:val="24"/>
          <w:szCs w:val="24"/>
        </w:rPr>
        <w:t>1</w:t>
      </w:r>
      <w:r w:rsidRPr="006A7FED">
        <w:rPr>
          <w:rFonts w:ascii="Times New Roman" w:hAnsi="Times New Roman" w:cs="Times New Roman"/>
          <w:sz w:val="24"/>
          <w:szCs w:val="24"/>
        </w:rPr>
        <w:t xml:space="preserve">, que revela mais alta concentração demográfica ao norte do Estado, </w:t>
      </w:r>
      <w:r w:rsidR="00396143">
        <w:rPr>
          <w:rFonts w:ascii="Times New Roman" w:hAnsi="Times New Roman" w:cs="Times New Roman"/>
          <w:sz w:val="24"/>
          <w:szCs w:val="24"/>
        </w:rPr>
        <w:t>onde estão</w:t>
      </w:r>
      <w:r w:rsidRPr="006A7FED">
        <w:rPr>
          <w:rFonts w:ascii="Times New Roman" w:hAnsi="Times New Roman" w:cs="Times New Roman"/>
          <w:sz w:val="24"/>
          <w:szCs w:val="24"/>
        </w:rPr>
        <w:t xml:space="preserve"> suas maiores cidades. O município de Teresina é o mais populoso do Piauí, com mais de 25% da população. Em seguida aparecem, por ordem de participação, os municípios de Parnaíba e de Picos, consubstanciando os três municípios mais populosos do </w:t>
      </w:r>
      <w:r w:rsidR="00396143">
        <w:rPr>
          <w:rFonts w:ascii="Times New Roman" w:hAnsi="Times New Roman" w:cs="Times New Roman"/>
          <w:sz w:val="24"/>
          <w:szCs w:val="24"/>
        </w:rPr>
        <w:t>estado.</w:t>
      </w:r>
    </w:p>
    <w:p w14:paraId="0125400B" w14:textId="77777777" w:rsidR="003406B6" w:rsidRPr="006A7FED" w:rsidRDefault="003406B6" w:rsidP="006A7FED">
      <w:pPr>
        <w:spacing w:after="0" w:line="240" w:lineRule="auto"/>
        <w:jc w:val="center"/>
        <w:rPr>
          <w:rFonts w:ascii="Times New Roman" w:hAnsi="Times New Roman" w:cs="Times New Roman"/>
          <w:b/>
          <w:bCs/>
        </w:rPr>
      </w:pPr>
    </w:p>
    <w:p w14:paraId="0D168CAA" w14:textId="62AE6ECD" w:rsidR="003406B6" w:rsidRPr="006A7FED" w:rsidRDefault="003406B6" w:rsidP="00666412">
      <w:pPr>
        <w:spacing w:after="0" w:line="240" w:lineRule="auto"/>
        <w:ind w:left="1560" w:right="1700"/>
        <w:jc w:val="center"/>
        <w:rPr>
          <w:rFonts w:ascii="Times New Roman" w:hAnsi="Times New Roman" w:cs="Times New Roman"/>
        </w:rPr>
      </w:pPr>
      <w:r w:rsidRPr="006A7FED">
        <w:rPr>
          <w:rFonts w:ascii="Times New Roman" w:hAnsi="Times New Roman" w:cs="Times New Roman"/>
          <w:b/>
          <w:bCs/>
        </w:rPr>
        <w:t xml:space="preserve">Figura </w:t>
      </w:r>
      <w:r w:rsidR="00666412">
        <w:rPr>
          <w:rFonts w:ascii="Times New Roman" w:hAnsi="Times New Roman" w:cs="Times New Roman"/>
          <w:b/>
          <w:bCs/>
        </w:rPr>
        <w:t>1</w:t>
      </w:r>
      <w:r w:rsidRPr="006A7FED">
        <w:rPr>
          <w:rFonts w:ascii="Times New Roman" w:hAnsi="Times New Roman" w:cs="Times New Roman"/>
        </w:rPr>
        <w:t xml:space="preserve"> - Distribuição espacial da população no Estado do Piauí, 2010</w:t>
      </w:r>
    </w:p>
    <w:p w14:paraId="351EFEBF" w14:textId="77777777" w:rsidR="003406B6" w:rsidRPr="006A7FED" w:rsidRDefault="003406B6" w:rsidP="004C519B">
      <w:pPr>
        <w:spacing w:after="0" w:line="240" w:lineRule="auto"/>
        <w:jc w:val="center"/>
        <w:rPr>
          <w:rFonts w:ascii="Times New Roman" w:hAnsi="Times New Roman" w:cs="Times New Roman"/>
          <w:sz w:val="24"/>
          <w:szCs w:val="24"/>
        </w:rPr>
      </w:pPr>
      <w:r w:rsidRPr="006A7FED">
        <w:rPr>
          <w:rFonts w:ascii="Times New Roman" w:hAnsi="Times New Roman" w:cs="Times New Roman"/>
          <w:noProof/>
          <w:sz w:val="24"/>
          <w:szCs w:val="24"/>
        </w:rPr>
        <w:drawing>
          <wp:inline distT="0" distB="0" distL="0" distR="0" wp14:anchorId="54504674" wp14:editId="628A0C90">
            <wp:extent cx="3516738" cy="2468810"/>
            <wp:effectExtent l="19050" t="19050" r="26670" b="2730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47545" cy="2490437"/>
                    </a:xfrm>
                    <a:prstGeom prst="rect">
                      <a:avLst/>
                    </a:prstGeom>
                    <a:noFill/>
                    <a:ln>
                      <a:solidFill>
                        <a:schemeClr val="tx1"/>
                      </a:solidFill>
                    </a:ln>
                  </pic:spPr>
                </pic:pic>
              </a:graphicData>
            </a:graphic>
          </wp:inline>
        </w:drawing>
      </w:r>
    </w:p>
    <w:p w14:paraId="011FB214" w14:textId="77777777" w:rsidR="003406B6" w:rsidRPr="006A7FED" w:rsidRDefault="003406B6" w:rsidP="004C519B">
      <w:pPr>
        <w:spacing w:after="0" w:line="240" w:lineRule="auto"/>
        <w:jc w:val="center"/>
        <w:rPr>
          <w:rFonts w:ascii="Times New Roman" w:hAnsi="Times New Roman" w:cs="Times New Roman"/>
          <w:sz w:val="16"/>
          <w:szCs w:val="16"/>
        </w:rPr>
      </w:pPr>
      <w:r w:rsidRPr="006A7FED">
        <w:rPr>
          <w:rFonts w:ascii="Times New Roman" w:hAnsi="Times New Roman" w:cs="Times New Roman"/>
          <w:sz w:val="16"/>
          <w:szCs w:val="16"/>
        </w:rPr>
        <w:t>Fonte: Extraído de SEPLAN/CEPRO (2013, p. 67).</w:t>
      </w:r>
    </w:p>
    <w:p w14:paraId="37FF6C71" w14:textId="77777777" w:rsidR="003406B6" w:rsidRPr="006A7FED" w:rsidRDefault="003406B6" w:rsidP="006A7FED">
      <w:pPr>
        <w:spacing w:after="0" w:line="240" w:lineRule="auto"/>
        <w:jc w:val="both"/>
        <w:rPr>
          <w:rFonts w:ascii="Times New Roman" w:hAnsi="Times New Roman" w:cs="Times New Roman"/>
          <w:color w:val="FF0000"/>
          <w:sz w:val="16"/>
          <w:szCs w:val="16"/>
        </w:rPr>
      </w:pPr>
    </w:p>
    <w:p w14:paraId="4AD2DFE0" w14:textId="7DEB1C16" w:rsidR="003406B6" w:rsidRPr="006A7FED" w:rsidRDefault="00396143" w:rsidP="003741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N</w:t>
      </w:r>
      <w:r w:rsidR="003406B6" w:rsidRPr="006A7FED">
        <w:rPr>
          <w:rFonts w:ascii="Times New Roman" w:hAnsi="Times New Roman" w:cs="Times New Roman"/>
          <w:sz w:val="24"/>
          <w:szCs w:val="24"/>
        </w:rPr>
        <w:t xml:space="preserve">a Tabela </w:t>
      </w:r>
      <w:r w:rsidR="00666412">
        <w:rPr>
          <w:rFonts w:ascii="Times New Roman" w:hAnsi="Times New Roman" w:cs="Times New Roman"/>
          <w:sz w:val="24"/>
          <w:szCs w:val="24"/>
        </w:rPr>
        <w:t>3</w:t>
      </w:r>
      <w:r>
        <w:rPr>
          <w:rFonts w:ascii="Times New Roman" w:hAnsi="Times New Roman" w:cs="Times New Roman"/>
          <w:sz w:val="24"/>
          <w:szCs w:val="24"/>
        </w:rPr>
        <w:t>, vamos encontrar</w:t>
      </w:r>
      <w:r w:rsidR="003406B6" w:rsidRPr="006A7FED">
        <w:rPr>
          <w:rFonts w:ascii="Times New Roman" w:hAnsi="Times New Roman" w:cs="Times New Roman"/>
          <w:sz w:val="24"/>
          <w:szCs w:val="24"/>
        </w:rPr>
        <w:t xml:space="preserve"> uma primeira aproximação sobre como a atividade econômica se distribui pelo Piauí, segundo a composição de sua rede urbana e o valor adicionado bruto (VAB) pelos seguintes setores de atividade: I – VAB pela Agropecuária; II – VAB pela Indústria; III – VAB pelos Serviços, exceto Administração Pública; IV – VAB pelos Serviços de Administração, Segurança, Saúde e Educação Públicas e Seguridade Social, ou apenas Administração Pública (APU); V – VAB Total, que é a agregação dos quatro setores anteriores e corresponde, efetivamente, à estimativa da contribuição ao valor gerado pelo sistema econômico em um determinado período.</w:t>
      </w:r>
    </w:p>
    <w:p w14:paraId="30B426E0" w14:textId="77777777" w:rsidR="003406B6" w:rsidRDefault="003406B6" w:rsidP="003406B6">
      <w:pPr>
        <w:spacing w:after="0" w:line="240" w:lineRule="auto"/>
        <w:jc w:val="center"/>
        <w:rPr>
          <w:rFonts w:ascii="Arial" w:hAnsi="Arial" w:cs="Arial"/>
          <w:b/>
          <w:bCs/>
        </w:rPr>
      </w:pPr>
    </w:p>
    <w:p w14:paraId="0A44230A" w14:textId="77777777" w:rsidR="003406B6" w:rsidRPr="006A7FED" w:rsidRDefault="003406B6" w:rsidP="003406B6">
      <w:pPr>
        <w:spacing w:after="0" w:line="240" w:lineRule="auto"/>
        <w:jc w:val="center"/>
        <w:rPr>
          <w:rFonts w:ascii="Times New Roman" w:hAnsi="Times New Roman" w:cs="Times New Roman"/>
        </w:rPr>
      </w:pPr>
      <w:r w:rsidRPr="006A7FED">
        <w:rPr>
          <w:rFonts w:ascii="Times New Roman" w:hAnsi="Times New Roman" w:cs="Times New Roman"/>
          <w:b/>
          <w:bCs/>
        </w:rPr>
        <w:t>Tabela 4</w:t>
      </w:r>
      <w:r w:rsidRPr="006A7FED">
        <w:rPr>
          <w:rFonts w:ascii="Times New Roman" w:hAnsi="Times New Roman" w:cs="Times New Roman"/>
        </w:rPr>
        <w:t xml:space="preserve"> - Valor Adicionado Bruto total e por setores de atividade econômica, segundo os níveis de centralidade da rede urbana do Estado do Piauí, 2019</w:t>
      </w:r>
    </w:p>
    <w:tbl>
      <w:tblPr>
        <w:tblW w:w="5000" w:type="pct"/>
        <w:tblCellMar>
          <w:left w:w="70" w:type="dxa"/>
          <w:right w:w="70" w:type="dxa"/>
        </w:tblCellMar>
        <w:tblLook w:val="04A0" w:firstRow="1" w:lastRow="0" w:firstColumn="1" w:lastColumn="0" w:noHBand="0" w:noVBand="1"/>
      </w:tblPr>
      <w:tblGrid>
        <w:gridCol w:w="2940"/>
        <w:gridCol w:w="1226"/>
        <w:gridCol w:w="1226"/>
        <w:gridCol w:w="1226"/>
        <w:gridCol w:w="1226"/>
        <w:gridCol w:w="1227"/>
      </w:tblGrid>
      <w:tr w:rsidR="003406B6" w:rsidRPr="006A7FED" w14:paraId="424D95BB" w14:textId="77777777" w:rsidTr="00F43C9F">
        <w:trPr>
          <w:trHeight w:val="290"/>
        </w:trPr>
        <w:tc>
          <w:tcPr>
            <w:tcW w:w="1510" w:type="pct"/>
            <w:vMerge w:val="restart"/>
            <w:tcBorders>
              <w:top w:val="single" w:sz="4" w:space="0" w:color="auto"/>
              <w:left w:val="nil"/>
              <w:bottom w:val="single" w:sz="4" w:space="0" w:color="000000"/>
              <w:right w:val="single" w:sz="4" w:space="0" w:color="auto"/>
            </w:tcBorders>
            <w:shd w:val="clear" w:color="auto" w:fill="auto"/>
            <w:vAlign w:val="center"/>
            <w:hideMark/>
          </w:tcPr>
          <w:p w14:paraId="7300EAEE"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Agregações territoriais</w:t>
            </w:r>
          </w:p>
        </w:tc>
        <w:tc>
          <w:tcPr>
            <w:tcW w:w="3490" w:type="pct"/>
            <w:gridSpan w:val="5"/>
            <w:tcBorders>
              <w:top w:val="single" w:sz="4" w:space="0" w:color="auto"/>
              <w:left w:val="nil"/>
              <w:bottom w:val="nil"/>
              <w:right w:val="nil"/>
            </w:tcBorders>
            <w:shd w:val="clear" w:color="auto" w:fill="auto"/>
            <w:noWrap/>
            <w:vAlign w:val="center"/>
            <w:hideMark/>
          </w:tcPr>
          <w:p w14:paraId="0541A46D"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Valor Adicionado Bruto</w:t>
            </w:r>
          </w:p>
        </w:tc>
      </w:tr>
      <w:tr w:rsidR="003406B6" w:rsidRPr="006A7FED" w14:paraId="1646BA81" w14:textId="77777777" w:rsidTr="00F43C9F">
        <w:trPr>
          <w:trHeight w:val="290"/>
        </w:trPr>
        <w:tc>
          <w:tcPr>
            <w:tcW w:w="1510" w:type="pct"/>
            <w:vMerge/>
            <w:tcBorders>
              <w:top w:val="single" w:sz="4" w:space="0" w:color="auto"/>
              <w:left w:val="nil"/>
              <w:bottom w:val="single" w:sz="4" w:space="0" w:color="000000"/>
              <w:right w:val="single" w:sz="4" w:space="0" w:color="auto"/>
            </w:tcBorders>
            <w:vAlign w:val="center"/>
            <w:hideMark/>
          </w:tcPr>
          <w:p w14:paraId="35760040" w14:textId="77777777" w:rsidR="003406B6" w:rsidRPr="006A7FED" w:rsidRDefault="003406B6" w:rsidP="00F43C9F">
            <w:pPr>
              <w:spacing w:after="0" w:line="240" w:lineRule="auto"/>
              <w:rPr>
                <w:rFonts w:ascii="Times New Roman" w:eastAsia="Times New Roman" w:hAnsi="Times New Roman" w:cs="Times New Roman"/>
                <w:b/>
                <w:bCs/>
                <w:color w:val="000000"/>
                <w:sz w:val="20"/>
                <w:szCs w:val="20"/>
                <w:lang w:eastAsia="pt-BR"/>
              </w:rPr>
            </w:pPr>
          </w:p>
        </w:tc>
        <w:tc>
          <w:tcPr>
            <w:tcW w:w="698" w:type="pct"/>
            <w:tcBorders>
              <w:top w:val="single" w:sz="4" w:space="0" w:color="auto"/>
              <w:left w:val="nil"/>
              <w:bottom w:val="single" w:sz="4" w:space="0" w:color="auto"/>
              <w:right w:val="nil"/>
            </w:tcBorders>
            <w:shd w:val="clear" w:color="auto" w:fill="auto"/>
            <w:vAlign w:val="center"/>
            <w:hideMark/>
          </w:tcPr>
          <w:p w14:paraId="0AF45E83"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I</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DA7119"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II</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631BE0C"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III</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1D54B6C4"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IV</w:t>
            </w:r>
          </w:p>
        </w:tc>
        <w:tc>
          <w:tcPr>
            <w:tcW w:w="699" w:type="pct"/>
            <w:tcBorders>
              <w:top w:val="single" w:sz="4" w:space="0" w:color="auto"/>
              <w:left w:val="nil"/>
              <w:bottom w:val="single" w:sz="4" w:space="0" w:color="auto"/>
              <w:right w:val="nil"/>
            </w:tcBorders>
            <w:shd w:val="clear" w:color="auto" w:fill="auto"/>
            <w:vAlign w:val="center"/>
            <w:hideMark/>
          </w:tcPr>
          <w:p w14:paraId="55F43FF7" w14:textId="77777777" w:rsidR="003406B6" w:rsidRPr="006A7FED" w:rsidRDefault="003406B6" w:rsidP="00F43C9F">
            <w:pPr>
              <w:spacing w:after="0" w:line="240" w:lineRule="auto"/>
              <w:jc w:val="center"/>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Total</w:t>
            </w:r>
          </w:p>
        </w:tc>
      </w:tr>
      <w:tr w:rsidR="003406B6" w:rsidRPr="006A7FED" w14:paraId="6E35509C" w14:textId="77777777" w:rsidTr="00F43C9F">
        <w:trPr>
          <w:trHeight w:val="290"/>
        </w:trPr>
        <w:tc>
          <w:tcPr>
            <w:tcW w:w="1510" w:type="pct"/>
            <w:tcBorders>
              <w:top w:val="nil"/>
              <w:left w:val="nil"/>
              <w:bottom w:val="nil"/>
              <w:right w:val="nil"/>
            </w:tcBorders>
            <w:shd w:val="clear" w:color="auto" w:fill="auto"/>
            <w:noWrap/>
            <w:vAlign w:val="center"/>
            <w:hideMark/>
          </w:tcPr>
          <w:p w14:paraId="326D9D30" w14:textId="77777777" w:rsidR="003406B6" w:rsidRPr="006A7FED" w:rsidRDefault="003406B6" w:rsidP="00F43C9F">
            <w:pPr>
              <w:spacing w:after="0" w:line="240" w:lineRule="auto"/>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RIDE</w:t>
            </w:r>
          </w:p>
        </w:tc>
        <w:tc>
          <w:tcPr>
            <w:tcW w:w="698" w:type="pct"/>
            <w:tcBorders>
              <w:top w:val="nil"/>
              <w:left w:val="nil"/>
              <w:bottom w:val="nil"/>
              <w:right w:val="nil"/>
            </w:tcBorders>
            <w:shd w:val="clear" w:color="auto" w:fill="auto"/>
            <w:noWrap/>
            <w:vAlign w:val="center"/>
            <w:hideMark/>
          </w:tcPr>
          <w:p w14:paraId="3234085D"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4,8</w:t>
            </w:r>
          </w:p>
        </w:tc>
        <w:tc>
          <w:tcPr>
            <w:tcW w:w="698" w:type="pct"/>
            <w:tcBorders>
              <w:top w:val="nil"/>
              <w:left w:val="nil"/>
              <w:bottom w:val="nil"/>
              <w:right w:val="nil"/>
            </w:tcBorders>
            <w:shd w:val="clear" w:color="auto" w:fill="auto"/>
            <w:noWrap/>
            <w:vAlign w:val="center"/>
            <w:hideMark/>
          </w:tcPr>
          <w:p w14:paraId="1131AE08"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54,8</w:t>
            </w:r>
          </w:p>
        </w:tc>
        <w:tc>
          <w:tcPr>
            <w:tcW w:w="698" w:type="pct"/>
            <w:tcBorders>
              <w:top w:val="nil"/>
              <w:left w:val="nil"/>
              <w:bottom w:val="nil"/>
              <w:right w:val="nil"/>
            </w:tcBorders>
            <w:shd w:val="clear" w:color="auto" w:fill="auto"/>
            <w:noWrap/>
            <w:vAlign w:val="center"/>
            <w:hideMark/>
          </w:tcPr>
          <w:p w14:paraId="39EE1F01"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58,4</w:t>
            </w:r>
          </w:p>
        </w:tc>
        <w:tc>
          <w:tcPr>
            <w:tcW w:w="698" w:type="pct"/>
            <w:tcBorders>
              <w:top w:val="nil"/>
              <w:left w:val="nil"/>
              <w:bottom w:val="nil"/>
              <w:right w:val="nil"/>
            </w:tcBorders>
            <w:shd w:val="clear" w:color="auto" w:fill="auto"/>
            <w:noWrap/>
            <w:vAlign w:val="center"/>
            <w:hideMark/>
          </w:tcPr>
          <w:p w14:paraId="7F2848B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35,1</w:t>
            </w:r>
          </w:p>
        </w:tc>
        <w:tc>
          <w:tcPr>
            <w:tcW w:w="699" w:type="pct"/>
            <w:tcBorders>
              <w:top w:val="nil"/>
              <w:left w:val="nil"/>
              <w:bottom w:val="nil"/>
              <w:right w:val="nil"/>
            </w:tcBorders>
            <w:shd w:val="clear" w:color="auto" w:fill="auto"/>
            <w:noWrap/>
            <w:vAlign w:val="center"/>
            <w:hideMark/>
          </w:tcPr>
          <w:p w14:paraId="477BA9F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46,0</w:t>
            </w:r>
          </w:p>
        </w:tc>
      </w:tr>
      <w:tr w:rsidR="003406B6" w:rsidRPr="006A7FED" w14:paraId="6E1EB05A" w14:textId="77777777" w:rsidTr="00F43C9F">
        <w:trPr>
          <w:trHeight w:val="290"/>
        </w:trPr>
        <w:tc>
          <w:tcPr>
            <w:tcW w:w="1510" w:type="pct"/>
            <w:tcBorders>
              <w:top w:val="nil"/>
              <w:left w:val="nil"/>
              <w:bottom w:val="single" w:sz="4" w:space="0" w:color="auto"/>
              <w:right w:val="nil"/>
            </w:tcBorders>
            <w:shd w:val="clear" w:color="auto" w:fill="auto"/>
            <w:noWrap/>
            <w:vAlign w:val="center"/>
            <w:hideMark/>
          </w:tcPr>
          <w:p w14:paraId="0E625AA0" w14:textId="620080EC" w:rsidR="003406B6" w:rsidRPr="006A7FED" w:rsidRDefault="003406B6" w:rsidP="00F43C9F">
            <w:pPr>
              <w:spacing w:after="0" w:line="240" w:lineRule="auto"/>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 xml:space="preserve">RIT </w:t>
            </w:r>
            <w:r w:rsidR="00614894">
              <w:rPr>
                <w:rFonts w:ascii="Times New Roman" w:eastAsia="Times New Roman" w:hAnsi="Times New Roman" w:cs="Times New Roman"/>
                <w:color w:val="000000"/>
                <w:sz w:val="20"/>
                <w:szCs w:val="20"/>
                <w:lang w:eastAsia="pt-BR"/>
              </w:rPr>
              <w:t>–</w:t>
            </w:r>
            <w:r w:rsidRPr="006A7FED">
              <w:rPr>
                <w:rFonts w:ascii="Times New Roman" w:eastAsia="Times New Roman" w:hAnsi="Times New Roman" w:cs="Times New Roman"/>
                <w:color w:val="000000"/>
                <w:sz w:val="20"/>
                <w:szCs w:val="20"/>
                <w:lang w:eastAsia="pt-BR"/>
              </w:rPr>
              <w:t xml:space="preserve"> RIDE</w:t>
            </w:r>
          </w:p>
        </w:tc>
        <w:tc>
          <w:tcPr>
            <w:tcW w:w="698" w:type="pct"/>
            <w:tcBorders>
              <w:top w:val="nil"/>
              <w:left w:val="nil"/>
              <w:bottom w:val="single" w:sz="4" w:space="0" w:color="auto"/>
              <w:right w:val="nil"/>
            </w:tcBorders>
            <w:shd w:val="clear" w:color="auto" w:fill="auto"/>
            <w:noWrap/>
            <w:vAlign w:val="center"/>
            <w:hideMark/>
          </w:tcPr>
          <w:p w14:paraId="6E3B599B"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95,2</w:t>
            </w:r>
          </w:p>
        </w:tc>
        <w:tc>
          <w:tcPr>
            <w:tcW w:w="698" w:type="pct"/>
            <w:tcBorders>
              <w:top w:val="nil"/>
              <w:left w:val="nil"/>
              <w:bottom w:val="single" w:sz="4" w:space="0" w:color="auto"/>
              <w:right w:val="nil"/>
            </w:tcBorders>
            <w:shd w:val="clear" w:color="auto" w:fill="auto"/>
            <w:noWrap/>
            <w:vAlign w:val="center"/>
            <w:hideMark/>
          </w:tcPr>
          <w:p w14:paraId="75E972F6"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45,2</w:t>
            </w:r>
          </w:p>
        </w:tc>
        <w:tc>
          <w:tcPr>
            <w:tcW w:w="698" w:type="pct"/>
            <w:tcBorders>
              <w:top w:val="nil"/>
              <w:left w:val="nil"/>
              <w:bottom w:val="single" w:sz="4" w:space="0" w:color="auto"/>
              <w:right w:val="nil"/>
            </w:tcBorders>
            <w:shd w:val="clear" w:color="auto" w:fill="auto"/>
            <w:noWrap/>
            <w:vAlign w:val="center"/>
            <w:hideMark/>
          </w:tcPr>
          <w:p w14:paraId="17EC37B0"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41,6</w:t>
            </w:r>
          </w:p>
        </w:tc>
        <w:tc>
          <w:tcPr>
            <w:tcW w:w="698" w:type="pct"/>
            <w:tcBorders>
              <w:top w:val="nil"/>
              <w:left w:val="nil"/>
              <w:bottom w:val="single" w:sz="4" w:space="0" w:color="auto"/>
              <w:right w:val="nil"/>
            </w:tcBorders>
            <w:shd w:val="clear" w:color="auto" w:fill="auto"/>
            <w:noWrap/>
            <w:vAlign w:val="center"/>
            <w:hideMark/>
          </w:tcPr>
          <w:p w14:paraId="5C211934"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64,9</w:t>
            </w:r>
          </w:p>
        </w:tc>
        <w:tc>
          <w:tcPr>
            <w:tcW w:w="699" w:type="pct"/>
            <w:tcBorders>
              <w:top w:val="nil"/>
              <w:left w:val="nil"/>
              <w:bottom w:val="single" w:sz="4" w:space="0" w:color="auto"/>
              <w:right w:val="nil"/>
            </w:tcBorders>
            <w:shd w:val="clear" w:color="auto" w:fill="auto"/>
            <w:noWrap/>
            <w:vAlign w:val="center"/>
            <w:hideMark/>
          </w:tcPr>
          <w:p w14:paraId="7CD0B78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54,0</w:t>
            </w:r>
          </w:p>
        </w:tc>
      </w:tr>
      <w:tr w:rsidR="003406B6" w:rsidRPr="006A7FED" w14:paraId="41FD55F4" w14:textId="77777777" w:rsidTr="00F43C9F">
        <w:trPr>
          <w:trHeight w:val="290"/>
        </w:trPr>
        <w:tc>
          <w:tcPr>
            <w:tcW w:w="1510" w:type="pct"/>
            <w:tcBorders>
              <w:top w:val="nil"/>
              <w:left w:val="nil"/>
              <w:bottom w:val="single" w:sz="4" w:space="0" w:color="auto"/>
              <w:right w:val="nil"/>
            </w:tcBorders>
            <w:shd w:val="clear" w:color="auto" w:fill="auto"/>
            <w:noWrap/>
            <w:vAlign w:val="center"/>
            <w:hideMark/>
          </w:tcPr>
          <w:p w14:paraId="2A6070F2" w14:textId="78FF9F00" w:rsidR="003406B6" w:rsidRPr="006A7FED" w:rsidRDefault="003406B6" w:rsidP="00F43C9F">
            <w:pPr>
              <w:spacing w:after="0" w:line="240" w:lineRule="auto"/>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Região de Influência de Teresina</w:t>
            </w:r>
          </w:p>
        </w:tc>
        <w:tc>
          <w:tcPr>
            <w:tcW w:w="698" w:type="pct"/>
            <w:tcBorders>
              <w:top w:val="nil"/>
              <w:left w:val="nil"/>
              <w:bottom w:val="single" w:sz="4" w:space="0" w:color="auto"/>
              <w:right w:val="nil"/>
            </w:tcBorders>
            <w:shd w:val="clear" w:color="auto" w:fill="auto"/>
            <w:noWrap/>
            <w:vAlign w:val="center"/>
            <w:hideMark/>
          </w:tcPr>
          <w:p w14:paraId="50D9BE51" w14:textId="77777777" w:rsidR="003406B6" w:rsidRPr="006A7FED"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100,0</w:t>
            </w:r>
          </w:p>
        </w:tc>
        <w:tc>
          <w:tcPr>
            <w:tcW w:w="698" w:type="pct"/>
            <w:tcBorders>
              <w:top w:val="nil"/>
              <w:left w:val="nil"/>
              <w:bottom w:val="single" w:sz="4" w:space="0" w:color="auto"/>
              <w:right w:val="nil"/>
            </w:tcBorders>
            <w:shd w:val="clear" w:color="auto" w:fill="auto"/>
            <w:noWrap/>
            <w:vAlign w:val="center"/>
            <w:hideMark/>
          </w:tcPr>
          <w:p w14:paraId="4C67116D" w14:textId="77777777" w:rsidR="003406B6" w:rsidRPr="006A7FED"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100,0</w:t>
            </w:r>
          </w:p>
        </w:tc>
        <w:tc>
          <w:tcPr>
            <w:tcW w:w="698" w:type="pct"/>
            <w:tcBorders>
              <w:top w:val="nil"/>
              <w:left w:val="nil"/>
              <w:bottom w:val="single" w:sz="4" w:space="0" w:color="auto"/>
              <w:right w:val="nil"/>
            </w:tcBorders>
            <w:shd w:val="clear" w:color="auto" w:fill="auto"/>
            <w:noWrap/>
            <w:vAlign w:val="center"/>
            <w:hideMark/>
          </w:tcPr>
          <w:p w14:paraId="291460EF" w14:textId="77777777" w:rsidR="003406B6" w:rsidRPr="006A7FED"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100,0</w:t>
            </w:r>
          </w:p>
        </w:tc>
        <w:tc>
          <w:tcPr>
            <w:tcW w:w="698" w:type="pct"/>
            <w:tcBorders>
              <w:top w:val="nil"/>
              <w:left w:val="nil"/>
              <w:bottom w:val="single" w:sz="4" w:space="0" w:color="auto"/>
              <w:right w:val="nil"/>
            </w:tcBorders>
            <w:shd w:val="clear" w:color="auto" w:fill="auto"/>
            <w:noWrap/>
            <w:vAlign w:val="center"/>
            <w:hideMark/>
          </w:tcPr>
          <w:p w14:paraId="0DD77E9A" w14:textId="77777777" w:rsidR="003406B6" w:rsidRPr="006A7FED"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100,0</w:t>
            </w:r>
          </w:p>
        </w:tc>
        <w:tc>
          <w:tcPr>
            <w:tcW w:w="699" w:type="pct"/>
            <w:tcBorders>
              <w:top w:val="nil"/>
              <w:left w:val="nil"/>
              <w:bottom w:val="single" w:sz="4" w:space="0" w:color="auto"/>
              <w:right w:val="nil"/>
            </w:tcBorders>
            <w:shd w:val="clear" w:color="auto" w:fill="auto"/>
            <w:noWrap/>
            <w:vAlign w:val="center"/>
            <w:hideMark/>
          </w:tcPr>
          <w:p w14:paraId="1F20A241" w14:textId="77777777" w:rsidR="003406B6" w:rsidRPr="006A7FED" w:rsidRDefault="003406B6" w:rsidP="00F43C9F">
            <w:pPr>
              <w:spacing w:after="0" w:line="240" w:lineRule="auto"/>
              <w:jc w:val="right"/>
              <w:rPr>
                <w:rFonts w:ascii="Times New Roman" w:eastAsia="Times New Roman" w:hAnsi="Times New Roman" w:cs="Times New Roman"/>
                <w:b/>
                <w:bCs/>
                <w:color w:val="000000"/>
                <w:sz w:val="20"/>
                <w:szCs w:val="20"/>
                <w:lang w:eastAsia="pt-BR"/>
              </w:rPr>
            </w:pPr>
            <w:r w:rsidRPr="006A7FED">
              <w:rPr>
                <w:rFonts w:ascii="Times New Roman" w:eastAsia="Times New Roman" w:hAnsi="Times New Roman" w:cs="Times New Roman"/>
                <w:b/>
                <w:bCs/>
                <w:color w:val="000000"/>
                <w:sz w:val="20"/>
                <w:szCs w:val="20"/>
                <w:lang w:eastAsia="pt-BR"/>
              </w:rPr>
              <w:t>100,0</w:t>
            </w:r>
          </w:p>
        </w:tc>
      </w:tr>
      <w:tr w:rsidR="003406B6" w:rsidRPr="006A7FED" w14:paraId="2C446125" w14:textId="77777777" w:rsidTr="00F43C9F">
        <w:trPr>
          <w:trHeight w:val="290"/>
        </w:trPr>
        <w:tc>
          <w:tcPr>
            <w:tcW w:w="1510" w:type="pct"/>
            <w:tcBorders>
              <w:top w:val="nil"/>
              <w:left w:val="nil"/>
              <w:bottom w:val="nil"/>
              <w:right w:val="nil"/>
            </w:tcBorders>
            <w:shd w:val="clear" w:color="auto" w:fill="auto"/>
            <w:noWrap/>
            <w:hideMark/>
          </w:tcPr>
          <w:p w14:paraId="2ED75047"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Capital Regional A</w:t>
            </w:r>
          </w:p>
        </w:tc>
        <w:tc>
          <w:tcPr>
            <w:tcW w:w="698" w:type="pct"/>
            <w:tcBorders>
              <w:top w:val="nil"/>
              <w:left w:val="nil"/>
              <w:bottom w:val="nil"/>
              <w:right w:val="nil"/>
            </w:tcBorders>
            <w:shd w:val="clear" w:color="auto" w:fill="auto"/>
            <w:noWrap/>
            <w:vAlign w:val="center"/>
            <w:hideMark/>
          </w:tcPr>
          <w:p w14:paraId="152F7715"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1,9</w:t>
            </w:r>
          </w:p>
        </w:tc>
        <w:tc>
          <w:tcPr>
            <w:tcW w:w="698" w:type="pct"/>
            <w:tcBorders>
              <w:top w:val="nil"/>
              <w:left w:val="nil"/>
              <w:bottom w:val="nil"/>
              <w:right w:val="nil"/>
            </w:tcBorders>
            <w:shd w:val="clear" w:color="auto" w:fill="auto"/>
            <w:noWrap/>
            <w:vAlign w:val="center"/>
            <w:hideMark/>
          </w:tcPr>
          <w:p w14:paraId="58F8187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52,9</w:t>
            </w:r>
          </w:p>
        </w:tc>
        <w:tc>
          <w:tcPr>
            <w:tcW w:w="698" w:type="pct"/>
            <w:tcBorders>
              <w:top w:val="nil"/>
              <w:left w:val="nil"/>
              <w:bottom w:val="nil"/>
              <w:right w:val="nil"/>
            </w:tcBorders>
            <w:shd w:val="clear" w:color="auto" w:fill="auto"/>
            <w:noWrap/>
            <w:vAlign w:val="center"/>
            <w:hideMark/>
          </w:tcPr>
          <w:p w14:paraId="40CED9FB"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56,2</w:t>
            </w:r>
          </w:p>
        </w:tc>
        <w:tc>
          <w:tcPr>
            <w:tcW w:w="698" w:type="pct"/>
            <w:tcBorders>
              <w:top w:val="nil"/>
              <w:left w:val="nil"/>
              <w:bottom w:val="nil"/>
              <w:right w:val="nil"/>
            </w:tcBorders>
            <w:shd w:val="clear" w:color="auto" w:fill="auto"/>
            <w:noWrap/>
            <w:vAlign w:val="center"/>
            <w:hideMark/>
          </w:tcPr>
          <w:p w14:paraId="5A8D42BB"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30,0</w:t>
            </w:r>
          </w:p>
        </w:tc>
        <w:tc>
          <w:tcPr>
            <w:tcW w:w="699" w:type="pct"/>
            <w:tcBorders>
              <w:top w:val="nil"/>
              <w:left w:val="nil"/>
              <w:bottom w:val="nil"/>
              <w:right w:val="nil"/>
            </w:tcBorders>
            <w:shd w:val="clear" w:color="auto" w:fill="auto"/>
            <w:noWrap/>
            <w:vAlign w:val="center"/>
            <w:hideMark/>
          </w:tcPr>
          <w:p w14:paraId="7845E3E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42,7</w:t>
            </w:r>
          </w:p>
        </w:tc>
      </w:tr>
      <w:tr w:rsidR="003406B6" w:rsidRPr="006A7FED" w14:paraId="05A298AF" w14:textId="77777777" w:rsidTr="00F43C9F">
        <w:trPr>
          <w:trHeight w:val="290"/>
        </w:trPr>
        <w:tc>
          <w:tcPr>
            <w:tcW w:w="1510" w:type="pct"/>
            <w:tcBorders>
              <w:top w:val="nil"/>
              <w:left w:val="nil"/>
              <w:bottom w:val="nil"/>
              <w:right w:val="nil"/>
            </w:tcBorders>
            <w:shd w:val="clear" w:color="auto" w:fill="auto"/>
            <w:noWrap/>
            <w:hideMark/>
          </w:tcPr>
          <w:p w14:paraId="564F8EA6"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Centros Sub-regionais A</w:t>
            </w:r>
          </w:p>
        </w:tc>
        <w:tc>
          <w:tcPr>
            <w:tcW w:w="698" w:type="pct"/>
            <w:tcBorders>
              <w:top w:val="nil"/>
              <w:left w:val="nil"/>
              <w:bottom w:val="nil"/>
              <w:right w:val="nil"/>
            </w:tcBorders>
            <w:shd w:val="clear" w:color="auto" w:fill="auto"/>
            <w:noWrap/>
            <w:vAlign w:val="center"/>
            <w:hideMark/>
          </w:tcPr>
          <w:p w14:paraId="452057B6"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3,1</w:t>
            </w:r>
          </w:p>
        </w:tc>
        <w:tc>
          <w:tcPr>
            <w:tcW w:w="698" w:type="pct"/>
            <w:tcBorders>
              <w:top w:val="nil"/>
              <w:left w:val="nil"/>
              <w:bottom w:val="nil"/>
              <w:right w:val="nil"/>
            </w:tcBorders>
            <w:shd w:val="clear" w:color="auto" w:fill="auto"/>
            <w:noWrap/>
            <w:vAlign w:val="center"/>
            <w:hideMark/>
          </w:tcPr>
          <w:p w14:paraId="04D1C00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7,8</w:t>
            </w:r>
          </w:p>
        </w:tc>
        <w:tc>
          <w:tcPr>
            <w:tcW w:w="698" w:type="pct"/>
            <w:tcBorders>
              <w:top w:val="nil"/>
              <w:left w:val="nil"/>
              <w:bottom w:val="nil"/>
              <w:right w:val="nil"/>
            </w:tcBorders>
            <w:shd w:val="clear" w:color="auto" w:fill="auto"/>
            <w:noWrap/>
            <w:vAlign w:val="center"/>
            <w:hideMark/>
          </w:tcPr>
          <w:p w14:paraId="7DC191E1"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12,9</w:t>
            </w:r>
          </w:p>
        </w:tc>
        <w:tc>
          <w:tcPr>
            <w:tcW w:w="698" w:type="pct"/>
            <w:tcBorders>
              <w:top w:val="nil"/>
              <w:left w:val="nil"/>
              <w:bottom w:val="nil"/>
              <w:right w:val="nil"/>
            </w:tcBorders>
            <w:shd w:val="clear" w:color="auto" w:fill="auto"/>
            <w:noWrap/>
            <w:vAlign w:val="center"/>
            <w:hideMark/>
          </w:tcPr>
          <w:p w14:paraId="060658C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8,2</w:t>
            </w:r>
          </w:p>
        </w:tc>
        <w:tc>
          <w:tcPr>
            <w:tcW w:w="699" w:type="pct"/>
            <w:tcBorders>
              <w:top w:val="nil"/>
              <w:left w:val="nil"/>
              <w:bottom w:val="nil"/>
              <w:right w:val="nil"/>
            </w:tcBorders>
            <w:shd w:val="clear" w:color="auto" w:fill="auto"/>
            <w:noWrap/>
            <w:vAlign w:val="center"/>
            <w:hideMark/>
          </w:tcPr>
          <w:p w14:paraId="3C899840"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9,9</w:t>
            </w:r>
          </w:p>
        </w:tc>
      </w:tr>
      <w:tr w:rsidR="003406B6" w:rsidRPr="006A7FED" w14:paraId="068D3723" w14:textId="77777777" w:rsidTr="00F43C9F">
        <w:trPr>
          <w:trHeight w:val="290"/>
        </w:trPr>
        <w:tc>
          <w:tcPr>
            <w:tcW w:w="1510" w:type="pct"/>
            <w:tcBorders>
              <w:top w:val="nil"/>
              <w:left w:val="nil"/>
              <w:bottom w:val="nil"/>
              <w:right w:val="nil"/>
            </w:tcBorders>
            <w:shd w:val="clear" w:color="auto" w:fill="auto"/>
            <w:noWrap/>
            <w:hideMark/>
          </w:tcPr>
          <w:p w14:paraId="49C82559"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Centros Sub-regionais B</w:t>
            </w:r>
          </w:p>
        </w:tc>
        <w:tc>
          <w:tcPr>
            <w:tcW w:w="698" w:type="pct"/>
            <w:tcBorders>
              <w:top w:val="nil"/>
              <w:left w:val="nil"/>
              <w:bottom w:val="nil"/>
              <w:right w:val="nil"/>
            </w:tcBorders>
            <w:shd w:val="clear" w:color="auto" w:fill="auto"/>
            <w:noWrap/>
            <w:vAlign w:val="center"/>
            <w:hideMark/>
          </w:tcPr>
          <w:p w14:paraId="1E4DB4E1"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0,7</w:t>
            </w:r>
          </w:p>
        </w:tc>
        <w:tc>
          <w:tcPr>
            <w:tcW w:w="698" w:type="pct"/>
            <w:tcBorders>
              <w:top w:val="nil"/>
              <w:left w:val="nil"/>
              <w:bottom w:val="nil"/>
              <w:right w:val="nil"/>
            </w:tcBorders>
            <w:shd w:val="clear" w:color="auto" w:fill="auto"/>
            <w:noWrap/>
            <w:vAlign w:val="center"/>
            <w:hideMark/>
          </w:tcPr>
          <w:p w14:paraId="2620E4A5"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1,2</w:t>
            </w:r>
          </w:p>
        </w:tc>
        <w:tc>
          <w:tcPr>
            <w:tcW w:w="698" w:type="pct"/>
            <w:tcBorders>
              <w:top w:val="nil"/>
              <w:left w:val="nil"/>
              <w:bottom w:val="nil"/>
              <w:right w:val="nil"/>
            </w:tcBorders>
            <w:shd w:val="clear" w:color="auto" w:fill="auto"/>
            <w:noWrap/>
            <w:vAlign w:val="center"/>
            <w:hideMark/>
          </w:tcPr>
          <w:p w14:paraId="56F05DAA"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2,3</w:t>
            </w:r>
          </w:p>
        </w:tc>
        <w:tc>
          <w:tcPr>
            <w:tcW w:w="698" w:type="pct"/>
            <w:tcBorders>
              <w:top w:val="nil"/>
              <w:left w:val="nil"/>
              <w:bottom w:val="nil"/>
              <w:right w:val="nil"/>
            </w:tcBorders>
            <w:shd w:val="clear" w:color="auto" w:fill="auto"/>
            <w:noWrap/>
            <w:vAlign w:val="center"/>
            <w:hideMark/>
          </w:tcPr>
          <w:p w14:paraId="5E4626C9"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2,4</w:t>
            </w:r>
          </w:p>
        </w:tc>
        <w:tc>
          <w:tcPr>
            <w:tcW w:w="699" w:type="pct"/>
            <w:tcBorders>
              <w:top w:val="nil"/>
              <w:left w:val="nil"/>
              <w:bottom w:val="nil"/>
              <w:right w:val="nil"/>
            </w:tcBorders>
            <w:shd w:val="clear" w:color="auto" w:fill="auto"/>
            <w:noWrap/>
            <w:vAlign w:val="center"/>
            <w:hideMark/>
          </w:tcPr>
          <w:p w14:paraId="444AD9AA"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2,1</w:t>
            </w:r>
          </w:p>
        </w:tc>
      </w:tr>
      <w:tr w:rsidR="003406B6" w:rsidRPr="006A7FED" w14:paraId="290DB26A" w14:textId="77777777" w:rsidTr="00F43C9F">
        <w:trPr>
          <w:trHeight w:val="290"/>
        </w:trPr>
        <w:tc>
          <w:tcPr>
            <w:tcW w:w="1510" w:type="pct"/>
            <w:tcBorders>
              <w:top w:val="nil"/>
              <w:left w:val="nil"/>
              <w:bottom w:val="nil"/>
              <w:right w:val="nil"/>
            </w:tcBorders>
            <w:shd w:val="clear" w:color="auto" w:fill="auto"/>
            <w:noWrap/>
            <w:hideMark/>
          </w:tcPr>
          <w:p w14:paraId="7288EE29"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Centros de Zona A</w:t>
            </w:r>
          </w:p>
        </w:tc>
        <w:tc>
          <w:tcPr>
            <w:tcW w:w="698" w:type="pct"/>
            <w:tcBorders>
              <w:top w:val="nil"/>
              <w:left w:val="nil"/>
              <w:bottom w:val="nil"/>
              <w:right w:val="nil"/>
            </w:tcBorders>
            <w:shd w:val="clear" w:color="auto" w:fill="auto"/>
            <w:noWrap/>
            <w:vAlign w:val="center"/>
            <w:hideMark/>
          </w:tcPr>
          <w:p w14:paraId="0A25A0CC"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8,8</w:t>
            </w:r>
          </w:p>
        </w:tc>
        <w:tc>
          <w:tcPr>
            <w:tcW w:w="698" w:type="pct"/>
            <w:tcBorders>
              <w:top w:val="nil"/>
              <w:left w:val="nil"/>
              <w:bottom w:val="nil"/>
              <w:right w:val="nil"/>
            </w:tcBorders>
            <w:shd w:val="clear" w:color="auto" w:fill="auto"/>
            <w:noWrap/>
            <w:vAlign w:val="center"/>
            <w:hideMark/>
          </w:tcPr>
          <w:p w14:paraId="60965600"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2,8</w:t>
            </w:r>
          </w:p>
        </w:tc>
        <w:tc>
          <w:tcPr>
            <w:tcW w:w="698" w:type="pct"/>
            <w:tcBorders>
              <w:top w:val="nil"/>
              <w:left w:val="nil"/>
              <w:bottom w:val="nil"/>
              <w:right w:val="nil"/>
            </w:tcBorders>
            <w:shd w:val="clear" w:color="auto" w:fill="auto"/>
            <w:noWrap/>
            <w:vAlign w:val="center"/>
            <w:hideMark/>
          </w:tcPr>
          <w:p w14:paraId="026E1811"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5,7</w:t>
            </w:r>
          </w:p>
        </w:tc>
        <w:tc>
          <w:tcPr>
            <w:tcW w:w="698" w:type="pct"/>
            <w:tcBorders>
              <w:top w:val="nil"/>
              <w:left w:val="nil"/>
              <w:bottom w:val="nil"/>
              <w:right w:val="nil"/>
            </w:tcBorders>
            <w:shd w:val="clear" w:color="auto" w:fill="auto"/>
            <w:noWrap/>
            <w:vAlign w:val="center"/>
            <w:hideMark/>
          </w:tcPr>
          <w:p w14:paraId="549E046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5,4</w:t>
            </w:r>
          </w:p>
        </w:tc>
        <w:tc>
          <w:tcPr>
            <w:tcW w:w="699" w:type="pct"/>
            <w:tcBorders>
              <w:top w:val="nil"/>
              <w:left w:val="nil"/>
              <w:bottom w:val="nil"/>
              <w:right w:val="nil"/>
            </w:tcBorders>
            <w:shd w:val="clear" w:color="auto" w:fill="auto"/>
            <w:noWrap/>
            <w:vAlign w:val="center"/>
            <w:hideMark/>
          </w:tcPr>
          <w:p w14:paraId="4D1B3D5B"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5,5</w:t>
            </w:r>
          </w:p>
        </w:tc>
      </w:tr>
      <w:tr w:rsidR="003406B6" w:rsidRPr="006A7FED" w14:paraId="0B076537" w14:textId="77777777" w:rsidTr="00F43C9F">
        <w:trPr>
          <w:trHeight w:val="290"/>
        </w:trPr>
        <w:tc>
          <w:tcPr>
            <w:tcW w:w="1510" w:type="pct"/>
            <w:tcBorders>
              <w:top w:val="nil"/>
              <w:left w:val="nil"/>
              <w:bottom w:val="nil"/>
              <w:right w:val="nil"/>
            </w:tcBorders>
            <w:shd w:val="clear" w:color="auto" w:fill="auto"/>
            <w:noWrap/>
            <w:hideMark/>
          </w:tcPr>
          <w:p w14:paraId="0D8244A2"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Centros de Zona B</w:t>
            </w:r>
          </w:p>
        </w:tc>
        <w:tc>
          <w:tcPr>
            <w:tcW w:w="698" w:type="pct"/>
            <w:tcBorders>
              <w:top w:val="nil"/>
              <w:left w:val="nil"/>
              <w:bottom w:val="nil"/>
              <w:right w:val="nil"/>
            </w:tcBorders>
            <w:shd w:val="clear" w:color="auto" w:fill="auto"/>
            <w:noWrap/>
            <w:vAlign w:val="center"/>
            <w:hideMark/>
          </w:tcPr>
          <w:p w14:paraId="598FB03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23,4</w:t>
            </w:r>
          </w:p>
        </w:tc>
        <w:tc>
          <w:tcPr>
            <w:tcW w:w="698" w:type="pct"/>
            <w:tcBorders>
              <w:top w:val="nil"/>
              <w:left w:val="nil"/>
              <w:bottom w:val="nil"/>
              <w:right w:val="nil"/>
            </w:tcBorders>
            <w:shd w:val="clear" w:color="auto" w:fill="auto"/>
            <w:noWrap/>
            <w:vAlign w:val="center"/>
            <w:hideMark/>
          </w:tcPr>
          <w:p w14:paraId="78677AF4"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11,9</w:t>
            </w:r>
          </w:p>
        </w:tc>
        <w:tc>
          <w:tcPr>
            <w:tcW w:w="698" w:type="pct"/>
            <w:tcBorders>
              <w:top w:val="nil"/>
              <w:left w:val="nil"/>
              <w:bottom w:val="nil"/>
              <w:right w:val="nil"/>
            </w:tcBorders>
            <w:shd w:val="clear" w:color="auto" w:fill="auto"/>
            <w:noWrap/>
            <w:vAlign w:val="center"/>
            <w:hideMark/>
          </w:tcPr>
          <w:p w14:paraId="34E4C818"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8,6</w:t>
            </w:r>
          </w:p>
        </w:tc>
        <w:tc>
          <w:tcPr>
            <w:tcW w:w="698" w:type="pct"/>
            <w:tcBorders>
              <w:top w:val="nil"/>
              <w:left w:val="nil"/>
              <w:bottom w:val="nil"/>
              <w:right w:val="nil"/>
            </w:tcBorders>
            <w:shd w:val="clear" w:color="auto" w:fill="auto"/>
            <w:noWrap/>
            <w:vAlign w:val="center"/>
            <w:hideMark/>
          </w:tcPr>
          <w:p w14:paraId="47DD1876"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13,9</w:t>
            </w:r>
          </w:p>
        </w:tc>
        <w:tc>
          <w:tcPr>
            <w:tcW w:w="699" w:type="pct"/>
            <w:tcBorders>
              <w:top w:val="nil"/>
              <w:left w:val="nil"/>
              <w:bottom w:val="nil"/>
              <w:right w:val="nil"/>
            </w:tcBorders>
            <w:shd w:val="clear" w:color="auto" w:fill="auto"/>
            <w:noWrap/>
            <w:vAlign w:val="center"/>
            <w:hideMark/>
          </w:tcPr>
          <w:p w14:paraId="0800353F"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11,9</w:t>
            </w:r>
          </w:p>
        </w:tc>
      </w:tr>
      <w:tr w:rsidR="003406B6" w:rsidRPr="006A7FED" w14:paraId="0733D744" w14:textId="77777777" w:rsidTr="00F43C9F">
        <w:trPr>
          <w:trHeight w:val="290"/>
        </w:trPr>
        <w:tc>
          <w:tcPr>
            <w:tcW w:w="1510" w:type="pct"/>
            <w:tcBorders>
              <w:top w:val="nil"/>
              <w:left w:val="nil"/>
              <w:bottom w:val="single" w:sz="4" w:space="0" w:color="auto"/>
              <w:right w:val="nil"/>
            </w:tcBorders>
            <w:shd w:val="clear" w:color="auto" w:fill="auto"/>
            <w:noWrap/>
            <w:hideMark/>
          </w:tcPr>
          <w:p w14:paraId="35C2B2B7" w14:textId="77777777" w:rsidR="003406B6" w:rsidRPr="006A7FED" w:rsidRDefault="003406B6" w:rsidP="00F43C9F">
            <w:pPr>
              <w:spacing w:after="0" w:line="240" w:lineRule="auto"/>
              <w:ind w:firstLineChars="100" w:firstLine="220"/>
              <w:rPr>
                <w:rFonts w:ascii="Times New Roman" w:eastAsia="Times New Roman" w:hAnsi="Times New Roman" w:cs="Times New Roman"/>
                <w:color w:val="000000"/>
                <w:sz w:val="20"/>
                <w:szCs w:val="20"/>
                <w:lang w:eastAsia="pt-BR"/>
              </w:rPr>
            </w:pPr>
            <w:r w:rsidRPr="006A7FED">
              <w:rPr>
                <w:rFonts w:ascii="Times New Roman" w:hAnsi="Times New Roman" w:cs="Times New Roman"/>
              </w:rPr>
              <w:t>Centros Locais</w:t>
            </w:r>
          </w:p>
        </w:tc>
        <w:tc>
          <w:tcPr>
            <w:tcW w:w="698" w:type="pct"/>
            <w:tcBorders>
              <w:top w:val="nil"/>
              <w:left w:val="nil"/>
              <w:bottom w:val="single" w:sz="4" w:space="0" w:color="auto"/>
              <w:right w:val="nil"/>
            </w:tcBorders>
            <w:shd w:val="clear" w:color="auto" w:fill="auto"/>
            <w:noWrap/>
            <w:vAlign w:val="center"/>
            <w:hideMark/>
          </w:tcPr>
          <w:p w14:paraId="094EF81E"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62,0</w:t>
            </w:r>
          </w:p>
        </w:tc>
        <w:tc>
          <w:tcPr>
            <w:tcW w:w="698" w:type="pct"/>
            <w:tcBorders>
              <w:top w:val="nil"/>
              <w:left w:val="nil"/>
              <w:bottom w:val="single" w:sz="4" w:space="0" w:color="auto"/>
              <w:right w:val="nil"/>
            </w:tcBorders>
            <w:shd w:val="clear" w:color="auto" w:fill="auto"/>
            <w:noWrap/>
            <w:vAlign w:val="center"/>
            <w:hideMark/>
          </w:tcPr>
          <w:p w14:paraId="35913E0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23,5</w:t>
            </w:r>
          </w:p>
        </w:tc>
        <w:tc>
          <w:tcPr>
            <w:tcW w:w="698" w:type="pct"/>
            <w:tcBorders>
              <w:top w:val="nil"/>
              <w:left w:val="nil"/>
              <w:bottom w:val="single" w:sz="4" w:space="0" w:color="auto"/>
              <w:right w:val="nil"/>
            </w:tcBorders>
            <w:shd w:val="clear" w:color="auto" w:fill="auto"/>
            <w:noWrap/>
            <w:vAlign w:val="center"/>
            <w:hideMark/>
          </w:tcPr>
          <w:p w14:paraId="2004CBE3"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14,3</w:t>
            </w:r>
          </w:p>
        </w:tc>
        <w:tc>
          <w:tcPr>
            <w:tcW w:w="698" w:type="pct"/>
            <w:tcBorders>
              <w:top w:val="nil"/>
              <w:left w:val="nil"/>
              <w:bottom w:val="single" w:sz="4" w:space="0" w:color="auto"/>
              <w:right w:val="nil"/>
            </w:tcBorders>
            <w:shd w:val="clear" w:color="auto" w:fill="auto"/>
            <w:noWrap/>
            <w:vAlign w:val="center"/>
            <w:hideMark/>
          </w:tcPr>
          <w:p w14:paraId="730E9249"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40,1</w:t>
            </w:r>
          </w:p>
        </w:tc>
        <w:tc>
          <w:tcPr>
            <w:tcW w:w="699" w:type="pct"/>
            <w:tcBorders>
              <w:top w:val="nil"/>
              <w:left w:val="nil"/>
              <w:bottom w:val="single" w:sz="4" w:space="0" w:color="auto"/>
              <w:right w:val="nil"/>
            </w:tcBorders>
            <w:shd w:val="clear" w:color="auto" w:fill="auto"/>
            <w:noWrap/>
            <w:vAlign w:val="center"/>
            <w:hideMark/>
          </w:tcPr>
          <w:p w14:paraId="110EFE06" w14:textId="77777777" w:rsidR="003406B6" w:rsidRPr="006A7FED" w:rsidRDefault="003406B6" w:rsidP="00F43C9F">
            <w:pPr>
              <w:spacing w:after="0" w:line="240" w:lineRule="auto"/>
              <w:jc w:val="right"/>
              <w:rPr>
                <w:rFonts w:ascii="Times New Roman" w:eastAsia="Times New Roman" w:hAnsi="Times New Roman" w:cs="Times New Roman"/>
                <w:color w:val="000000"/>
                <w:sz w:val="20"/>
                <w:szCs w:val="20"/>
                <w:lang w:eastAsia="pt-BR"/>
              </w:rPr>
            </w:pPr>
            <w:r w:rsidRPr="006A7FED">
              <w:rPr>
                <w:rFonts w:ascii="Times New Roman" w:eastAsia="Times New Roman" w:hAnsi="Times New Roman" w:cs="Times New Roman"/>
                <w:color w:val="000000"/>
                <w:sz w:val="20"/>
                <w:szCs w:val="20"/>
                <w:lang w:eastAsia="pt-BR"/>
              </w:rPr>
              <w:t>27,8</w:t>
            </w:r>
          </w:p>
        </w:tc>
      </w:tr>
    </w:tbl>
    <w:p w14:paraId="6AD6102F" w14:textId="77777777" w:rsidR="003406B6" w:rsidRPr="006A7FED" w:rsidRDefault="003406B6" w:rsidP="003406B6">
      <w:pPr>
        <w:spacing w:line="240" w:lineRule="auto"/>
        <w:jc w:val="both"/>
        <w:rPr>
          <w:rFonts w:ascii="Times New Roman" w:hAnsi="Times New Roman" w:cs="Times New Roman"/>
          <w:sz w:val="16"/>
          <w:szCs w:val="16"/>
        </w:rPr>
      </w:pPr>
      <w:r w:rsidRPr="006A7FED">
        <w:rPr>
          <w:rFonts w:ascii="Times New Roman" w:hAnsi="Times New Roman" w:cs="Times New Roman"/>
          <w:sz w:val="16"/>
          <w:szCs w:val="16"/>
        </w:rPr>
        <w:t>Fonte: IBGE- Produto Interno Bruto dos Municípios, ano de referência 2010, 2010-2019.</w:t>
      </w:r>
    </w:p>
    <w:p w14:paraId="1D8956BD" w14:textId="77777777" w:rsidR="00062143" w:rsidRPr="006A7FED" w:rsidRDefault="00062143" w:rsidP="0037413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w:t>
      </w:r>
      <w:r w:rsidRPr="006A7FED">
        <w:rPr>
          <w:rFonts w:ascii="Times New Roman" w:hAnsi="Times New Roman" w:cs="Times New Roman"/>
          <w:sz w:val="24"/>
          <w:szCs w:val="24"/>
        </w:rPr>
        <w:t xml:space="preserve">odemos verificar que a Região Integrada de Desenvolvimento Econômico (RIDE) de Teresina era responsável por maior parte da riqueza gerada internamente pelo Estado do Piauí, durante o ano de 2019. Com efeito, ao compararmos a RIDE com o restante da economia do Estado, aqui organizada segundo sua rede de cidades </w:t>
      </w:r>
      <w:r>
        <w:rPr>
          <w:rFonts w:ascii="Times New Roman" w:hAnsi="Times New Roman" w:cs="Times New Roman"/>
          <w:sz w:val="24"/>
          <w:szCs w:val="24"/>
        </w:rPr>
        <w:t xml:space="preserve">– </w:t>
      </w:r>
      <w:r w:rsidRPr="006A7FED">
        <w:rPr>
          <w:rFonts w:ascii="Times New Roman" w:hAnsi="Times New Roman" w:cs="Times New Roman"/>
          <w:sz w:val="24"/>
          <w:szCs w:val="24"/>
        </w:rPr>
        <w:t>Região de Influência de Teresina</w:t>
      </w:r>
      <w:r>
        <w:rPr>
          <w:rFonts w:ascii="Times New Roman" w:hAnsi="Times New Roman" w:cs="Times New Roman"/>
          <w:sz w:val="24"/>
          <w:szCs w:val="24"/>
        </w:rPr>
        <w:t xml:space="preserve"> (RIT) –</w:t>
      </w:r>
      <w:r w:rsidRPr="006A7FED">
        <w:rPr>
          <w:rFonts w:ascii="Times New Roman" w:hAnsi="Times New Roman" w:cs="Times New Roman"/>
          <w:sz w:val="24"/>
          <w:szCs w:val="24"/>
        </w:rPr>
        <w:t>, verificamos uma concentração de 46% de toda a atividade econômica piauiense, enquanto o restante do Estado era responsável por outros 54% do valor adicionado total.</w:t>
      </w:r>
    </w:p>
    <w:p w14:paraId="4700C33F" w14:textId="785C50C2"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Mas, essa alta concentração precisa ser mais bem compreendida no âmbito de sua rede urbana. Por exemplo, 93% de todo esse valor adicionado pela RIDE Teresina ocorre apenas nos municípios que compõem o AP de Teresina/PI, o que explica a densidade dessa aglomeração urbana e o fato de que a CR-A respondia por 42,7% do VAB Total do Piauí, no ano de 2019</w:t>
      </w:r>
      <w:r w:rsidR="000661B9">
        <w:rPr>
          <w:rFonts w:ascii="Times New Roman" w:hAnsi="Times New Roman" w:cs="Times New Roman"/>
          <w:sz w:val="24"/>
          <w:szCs w:val="24"/>
        </w:rPr>
        <w:t xml:space="preserve">. </w:t>
      </w:r>
      <w:r w:rsidRPr="006A7FED">
        <w:rPr>
          <w:rFonts w:ascii="Times New Roman" w:hAnsi="Times New Roman" w:cs="Times New Roman"/>
          <w:sz w:val="24"/>
          <w:szCs w:val="24"/>
        </w:rPr>
        <w:t>Esse desempenho da RIDE e da CR-A decorre</w:t>
      </w:r>
      <w:r w:rsidR="00523AC4">
        <w:rPr>
          <w:rFonts w:ascii="Times New Roman" w:hAnsi="Times New Roman" w:cs="Times New Roman"/>
          <w:sz w:val="24"/>
          <w:szCs w:val="24"/>
        </w:rPr>
        <w:t xml:space="preserve"> </w:t>
      </w:r>
      <w:r w:rsidRPr="006A7FED">
        <w:rPr>
          <w:rFonts w:ascii="Times New Roman" w:hAnsi="Times New Roman" w:cs="Times New Roman"/>
          <w:sz w:val="24"/>
          <w:szCs w:val="24"/>
        </w:rPr>
        <w:t xml:space="preserve">das contribuições do setor de Indústria e de </w:t>
      </w:r>
      <w:r w:rsidRPr="006A7FED">
        <w:rPr>
          <w:rFonts w:ascii="Times New Roman" w:hAnsi="Times New Roman" w:cs="Times New Roman"/>
          <w:sz w:val="24"/>
          <w:szCs w:val="24"/>
        </w:rPr>
        <w:lastRenderedPageBreak/>
        <w:t>Serviços, exceto Administração Pública, em que pese a APU também ter importância relativa, dado que a CR-A também concentra a função de capital político-administrativa do Piauí.</w:t>
      </w:r>
    </w:p>
    <w:p w14:paraId="034F2567" w14:textId="76BF7405"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No caso do VAB da Indústria, a contribuição da RIDE, em 2019, foi de 54,8%; </w:t>
      </w:r>
      <w:r w:rsidR="00614894">
        <w:rPr>
          <w:rFonts w:ascii="Times New Roman" w:hAnsi="Times New Roman" w:cs="Times New Roman"/>
          <w:sz w:val="24"/>
          <w:szCs w:val="24"/>
        </w:rPr>
        <w:t>n</w:t>
      </w:r>
      <w:r w:rsidRPr="006A7FED">
        <w:rPr>
          <w:rFonts w:ascii="Times New Roman" w:hAnsi="Times New Roman" w:cs="Times New Roman"/>
          <w:sz w:val="24"/>
          <w:szCs w:val="24"/>
        </w:rPr>
        <w:t xml:space="preserve">o VAB dos Serviços, a contribuição era de 58,4% e da APU era de 35,1%. Quando consideramos apenas a CR-A, esses valores eram de 52,9%, 56,2% e 30%, respectivamente. Por sua vez, a RIDE era responsável por 4,8% de todo o VAB gerado pelo setor agropecuário do Piauí, em 2019, uma cifra bastante expressiva, considerando-se seu caráter mais urbanizado e a porção do território que ela ocupa. </w:t>
      </w:r>
    </w:p>
    <w:p w14:paraId="0E5A87E9" w14:textId="0D7DFD98"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Ainda sobre o setor Agropecuário, é possível fazermos as primeiras observações sobre a distribuição da atividade econômica segundo os níveis de hierarquia urbano-regional. </w:t>
      </w:r>
      <w:r w:rsidR="00A734E4">
        <w:rPr>
          <w:rFonts w:ascii="Times New Roman" w:hAnsi="Times New Roman" w:cs="Times New Roman"/>
          <w:sz w:val="24"/>
          <w:szCs w:val="24"/>
        </w:rPr>
        <w:t xml:space="preserve">Os </w:t>
      </w:r>
      <w:r w:rsidRPr="006A7FED">
        <w:rPr>
          <w:rFonts w:ascii="Times New Roman" w:hAnsi="Times New Roman" w:cs="Times New Roman"/>
          <w:sz w:val="24"/>
          <w:szCs w:val="24"/>
        </w:rPr>
        <w:t xml:space="preserve">CL foram responsáveis por 62% do VAB gerado </w:t>
      </w:r>
      <w:r w:rsidR="00A734E4">
        <w:rPr>
          <w:rFonts w:ascii="Times New Roman" w:hAnsi="Times New Roman" w:cs="Times New Roman"/>
          <w:sz w:val="24"/>
          <w:szCs w:val="24"/>
        </w:rPr>
        <w:t>pelo</w:t>
      </w:r>
      <w:r w:rsidRPr="006A7FED">
        <w:rPr>
          <w:rFonts w:ascii="Times New Roman" w:hAnsi="Times New Roman" w:cs="Times New Roman"/>
          <w:sz w:val="24"/>
          <w:szCs w:val="24"/>
        </w:rPr>
        <w:t xml:space="preserve"> setor, em 2019, enquanto os CZ-B respondiam por 23,4% e os CZ-A por 8,8%. Somados, a contribuição dos municípios que estão na base da rede urbana piauiense corresponde a 94,2% de todo o VAB gerado pela agropecuária do Estado, o que reforça a importância relativa dessa atividade para esse conjunto de cidades. </w:t>
      </w:r>
      <w:r w:rsidR="007B7B00">
        <w:rPr>
          <w:rFonts w:ascii="Times New Roman" w:hAnsi="Times New Roman" w:cs="Times New Roman"/>
          <w:sz w:val="24"/>
          <w:szCs w:val="24"/>
        </w:rPr>
        <w:t>Também</w:t>
      </w:r>
      <w:r w:rsidRPr="006A7FED">
        <w:rPr>
          <w:rFonts w:ascii="Times New Roman" w:hAnsi="Times New Roman" w:cs="Times New Roman"/>
          <w:sz w:val="24"/>
          <w:szCs w:val="24"/>
        </w:rPr>
        <w:t xml:space="preserve"> revela a importância econômica dessas cidades – vistas em conjunto – para o Piauí.</w:t>
      </w:r>
    </w:p>
    <w:p w14:paraId="421C9E8F" w14:textId="5A631695"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No setor industrial, a relação se inverte, com a CR-A representando 52,9% da riqueza gerado por esse setor, em 2019. No mesmo ano os CL respondiam por 23,5% do VAB da Indústria, sendo o segundo grupo em participação relativa no Estado. Esse desempenho, no entanto, em vez de significar concentração – como é o caso evidente da CR-A –, revela o caráter disperso de atividades industriais de pequeno porte espalhadas pelos 194 municípios que pertencem ao grupo dos </w:t>
      </w:r>
      <w:r w:rsidR="00DC1070">
        <w:rPr>
          <w:rFonts w:ascii="Times New Roman" w:hAnsi="Times New Roman" w:cs="Times New Roman"/>
          <w:sz w:val="24"/>
          <w:szCs w:val="24"/>
        </w:rPr>
        <w:t>CL</w:t>
      </w:r>
      <w:r w:rsidRPr="006A7FED">
        <w:rPr>
          <w:rFonts w:ascii="Times New Roman" w:hAnsi="Times New Roman" w:cs="Times New Roman"/>
          <w:sz w:val="24"/>
          <w:szCs w:val="24"/>
        </w:rPr>
        <w:t xml:space="preserve">. Isso também ocorre com os CZ-B, embora, aqui sua contribuição de 11,9%, em 2019, já revele importância relativa da indústria. </w:t>
      </w:r>
    </w:p>
    <w:p w14:paraId="5EFBA52C" w14:textId="13AF9366"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Devemos destacar, também, o peso dos CS-A, cujas três cidades foram responsáveis por 7,8% da riqueza gerada pela indústria do Piauí, em 2019. Mas, a importância relativa desse grupo de cidades se revela, mesmo, é com sua contribuição às atividades de Serviços, quando foram responsáveis por 12,9% de todo o VAB deste setor, no mesmo ano. Como os Serviços são atividades tipicamente urbanas, esse desempenho demonstra a importância dos CS-A para a estruturação do espaço urbano-regional do Piauí e atendimento de sua população. Com efeito, </w:t>
      </w:r>
      <w:r w:rsidRPr="006A7FED">
        <w:rPr>
          <w:rFonts w:ascii="Times New Roman" w:hAnsi="Times New Roman" w:cs="Times New Roman"/>
          <w:sz w:val="24"/>
          <w:szCs w:val="24"/>
        </w:rPr>
        <w:lastRenderedPageBreak/>
        <w:t>somando-se a CR-A com os CS-A, temos que 69,1% de todo o VAB Serviços do Piauí se concentra nas quatro aglomerações urbanas do primeiro escalão de sua rede de cidades.</w:t>
      </w:r>
    </w:p>
    <w:p w14:paraId="76FC5EED" w14:textId="6C279560"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Por fim, com relação aos serviços da Administração Pública (APU) –</w:t>
      </w:r>
      <w:r w:rsidR="00614894">
        <w:rPr>
          <w:rFonts w:ascii="Times New Roman" w:hAnsi="Times New Roman" w:cs="Times New Roman"/>
          <w:sz w:val="24"/>
          <w:szCs w:val="24"/>
        </w:rPr>
        <w:t xml:space="preserve"> </w:t>
      </w:r>
      <w:r w:rsidRPr="006A7FED">
        <w:rPr>
          <w:rFonts w:ascii="Times New Roman" w:hAnsi="Times New Roman" w:cs="Times New Roman"/>
          <w:sz w:val="24"/>
          <w:szCs w:val="24"/>
        </w:rPr>
        <w:t>avaliado em separado do restante do setor terciário –, a distribuição das atividades se modifica. Os CL respondem por 40% do VAB gerado por este setor, em 2019, reforçando-se uma característica comum às pequenas localidades do Nordeste e, também, do Brasil, que é o alto peso relativo do setor público na composição de suas atividades econômicas. No mesmo ano, os CZ-B eram responsáveis por 13,9% do VAB gerado pela APU, indicando que essa característica também é comum a esse grupo regional. A contrapartida é a concentração dos 30% do VAB da APU na CR-A, mas aqui, esse desempenho é muito mais decorrente da localização das principais atividades político-administrativas do governo do Estado.</w:t>
      </w:r>
    </w:p>
    <w:p w14:paraId="4F6BD935" w14:textId="54FDF3EC" w:rsidR="00BD325B" w:rsidRPr="006A7FED" w:rsidRDefault="003406B6" w:rsidP="00BD325B">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Essa distribuição do nível de atividade econômica n</w:t>
      </w:r>
      <w:r w:rsidR="004660CA">
        <w:rPr>
          <w:rFonts w:ascii="Times New Roman" w:hAnsi="Times New Roman" w:cs="Times New Roman"/>
          <w:sz w:val="24"/>
          <w:szCs w:val="24"/>
        </w:rPr>
        <w:t>o</w:t>
      </w:r>
      <w:r w:rsidRPr="006A7FED">
        <w:rPr>
          <w:rFonts w:ascii="Times New Roman" w:hAnsi="Times New Roman" w:cs="Times New Roman"/>
          <w:sz w:val="24"/>
          <w:szCs w:val="24"/>
        </w:rPr>
        <w:t xml:space="preserve"> Piauí, segundo sua hierarquia urbano-regional, pode agora ser observada numa perspectiva temporal. </w:t>
      </w:r>
      <w:r w:rsidR="00D42743">
        <w:rPr>
          <w:rFonts w:ascii="Times New Roman" w:hAnsi="Times New Roman" w:cs="Times New Roman"/>
          <w:sz w:val="24"/>
          <w:szCs w:val="24"/>
        </w:rPr>
        <w:t>Na</w:t>
      </w:r>
      <w:r w:rsidRPr="006A7FED">
        <w:rPr>
          <w:rFonts w:ascii="Times New Roman" w:hAnsi="Times New Roman" w:cs="Times New Roman"/>
          <w:sz w:val="24"/>
          <w:szCs w:val="24"/>
        </w:rPr>
        <w:t xml:space="preserve"> Tabela 5 revela</w:t>
      </w:r>
      <w:r w:rsidR="00D42743">
        <w:rPr>
          <w:rFonts w:ascii="Times New Roman" w:hAnsi="Times New Roman" w:cs="Times New Roman"/>
          <w:sz w:val="24"/>
          <w:szCs w:val="24"/>
        </w:rPr>
        <w:t>-se</w:t>
      </w:r>
      <w:r w:rsidRPr="006A7FED">
        <w:rPr>
          <w:rFonts w:ascii="Times New Roman" w:hAnsi="Times New Roman" w:cs="Times New Roman"/>
          <w:sz w:val="24"/>
          <w:szCs w:val="24"/>
        </w:rPr>
        <w:t xml:space="preserve"> uma mudança importante da estrutura econômica </w:t>
      </w:r>
      <w:r w:rsidR="00D42743">
        <w:rPr>
          <w:rFonts w:ascii="Times New Roman" w:hAnsi="Times New Roman" w:cs="Times New Roman"/>
          <w:sz w:val="24"/>
          <w:szCs w:val="24"/>
        </w:rPr>
        <w:t xml:space="preserve">piauiense </w:t>
      </w:r>
      <w:r w:rsidRPr="006A7FED">
        <w:rPr>
          <w:rFonts w:ascii="Times New Roman" w:hAnsi="Times New Roman" w:cs="Times New Roman"/>
          <w:sz w:val="24"/>
          <w:szCs w:val="24"/>
        </w:rPr>
        <w:t xml:space="preserve">ao longo da década passada (2010-2019). Foi essa mudança que conformou a estrutura que vimos na Tabela 4. </w:t>
      </w:r>
      <w:r w:rsidR="00BD325B" w:rsidRPr="006A7FED">
        <w:rPr>
          <w:rFonts w:ascii="Times New Roman" w:hAnsi="Times New Roman" w:cs="Times New Roman"/>
          <w:sz w:val="24"/>
          <w:szCs w:val="24"/>
        </w:rPr>
        <w:t>Observando-se os dados sobre o Produto Interno Bruto dos municípios piauienses</w:t>
      </w:r>
      <w:r w:rsidR="00BD325B" w:rsidRPr="006A7FED">
        <w:rPr>
          <w:rStyle w:val="Refdenotaderodap"/>
          <w:rFonts w:ascii="Times New Roman" w:hAnsi="Times New Roman" w:cs="Times New Roman"/>
          <w:sz w:val="24"/>
          <w:szCs w:val="24"/>
        </w:rPr>
        <w:footnoteReference w:id="6"/>
      </w:r>
      <w:r w:rsidR="00BD325B" w:rsidRPr="006A7FED">
        <w:rPr>
          <w:rFonts w:ascii="Times New Roman" w:hAnsi="Times New Roman" w:cs="Times New Roman"/>
          <w:sz w:val="24"/>
          <w:szCs w:val="24"/>
        </w:rPr>
        <w:t xml:space="preserve"> é possível verificar uma mudança na distribuição da atividade econômica durante o período analisado. Essa mudança decorre de dois fatores principais: a) reflete a estrutura econômica passada, isto é, de como estão/estavam distribuídas a geração de riquezas pelo território; b) responde aos impactos do cenário econômico no período</w:t>
      </w:r>
      <w:r w:rsidR="00BC20FF">
        <w:rPr>
          <w:rFonts w:ascii="Times New Roman" w:hAnsi="Times New Roman" w:cs="Times New Roman"/>
          <w:sz w:val="24"/>
          <w:szCs w:val="24"/>
        </w:rPr>
        <w:t xml:space="preserve"> recente</w:t>
      </w:r>
      <w:r w:rsidR="00BD325B" w:rsidRPr="006A7FED">
        <w:rPr>
          <w:rFonts w:ascii="Times New Roman" w:hAnsi="Times New Roman" w:cs="Times New Roman"/>
          <w:sz w:val="24"/>
          <w:szCs w:val="24"/>
        </w:rPr>
        <w:t>.</w:t>
      </w:r>
    </w:p>
    <w:p w14:paraId="0B136961" w14:textId="77777777" w:rsidR="003406B6" w:rsidRDefault="003406B6" w:rsidP="003406B6">
      <w:pPr>
        <w:spacing w:after="0" w:line="240" w:lineRule="auto"/>
        <w:jc w:val="center"/>
        <w:rPr>
          <w:rFonts w:ascii="Arial" w:hAnsi="Arial" w:cs="Arial"/>
          <w:b/>
          <w:bCs/>
        </w:rPr>
      </w:pPr>
    </w:p>
    <w:p w14:paraId="02BE76EC" w14:textId="77777777" w:rsidR="003406B6" w:rsidRPr="006A7FED" w:rsidRDefault="003406B6" w:rsidP="003406B6">
      <w:pPr>
        <w:spacing w:after="0" w:line="240" w:lineRule="auto"/>
        <w:jc w:val="center"/>
        <w:rPr>
          <w:rFonts w:ascii="Times New Roman" w:hAnsi="Times New Roman" w:cs="Times New Roman"/>
        </w:rPr>
      </w:pPr>
      <w:r w:rsidRPr="006A7FED">
        <w:rPr>
          <w:rFonts w:ascii="Times New Roman" w:hAnsi="Times New Roman" w:cs="Times New Roman"/>
          <w:b/>
          <w:bCs/>
        </w:rPr>
        <w:t>Tabela 5</w:t>
      </w:r>
      <w:r w:rsidRPr="006A7FED">
        <w:rPr>
          <w:rFonts w:ascii="Times New Roman" w:hAnsi="Times New Roman" w:cs="Times New Roman"/>
        </w:rPr>
        <w:t xml:space="preserve"> – Distribuição relativa do Produto Interno Bruto dos Municípios do Estado do Piauí, segundo os níveis de centralidade da rede urbana, 2010-2019</w:t>
      </w:r>
    </w:p>
    <w:tbl>
      <w:tblPr>
        <w:tblW w:w="5000" w:type="pct"/>
        <w:tblCellMar>
          <w:left w:w="70" w:type="dxa"/>
          <w:right w:w="70" w:type="dxa"/>
        </w:tblCellMar>
        <w:tblLook w:val="04A0" w:firstRow="1" w:lastRow="0" w:firstColumn="1" w:lastColumn="0" w:noHBand="0" w:noVBand="1"/>
      </w:tblPr>
      <w:tblGrid>
        <w:gridCol w:w="2318"/>
        <w:gridCol w:w="676"/>
        <w:gridCol w:w="676"/>
        <w:gridCol w:w="677"/>
        <w:gridCol w:w="677"/>
        <w:gridCol w:w="677"/>
        <w:gridCol w:w="677"/>
        <w:gridCol w:w="677"/>
        <w:gridCol w:w="677"/>
        <w:gridCol w:w="677"/>
        <w:gridCol w:w="662"/>
      </w:tblGrid>
      <w:tr w:rsidR="003406B6" w:rsidRPr="006A7FED" w14:paraId="636DDC8F" w14:textId="77777777" w:rsidTr="00F43C9F">
        <w:trPr>
          <w:trHeight w:val="260"/>
        </w:trPr>
        <w:tc>
          <w:tcPr>
            <w:tcW w:w="1278" w:type="pct"/>
            <w:vMerge w:val="restart"/>
            <w:tcBorders>
              <w:top w:val="single" w:sz="4" w:space="0" w:color="auto"/>
              <w:left w:val="nil"/>
              <w:bottom w:val="single" w:sz="4" w:space="0" w:color="000000"/>
              <w:right w:val="nil"/>
            </w:tcBorders>
            <w:shd w:val="clear" w:color="auto" w:fill="auto"/>
            <w:noWrap/>
            <w:vAlign w:val="center"/>
            <w:hideMark/>
          </w:tcPr>
          <w:p w14:paraId="5FE4F68D"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Níveis de centralidade</w:t>
            </w:r>
          </w:p>
        </w:tc>
        <w:tc>
          <w:tcPr>
            <w:tcW w:w="3722" w:type="pct"/>
            <w:gridSpan w:val="10"/>
            <w:tcBorders>
              <w:top w:val="single" w:sz="4" w:space="0" w:color="auto"/>
              <w:left w:val="nil"/>
              <w:bottom w:val="nil"/>
              <w:right w:val="nil"/>
            </w:tcBorders>
            <w:shd w:val="clear" w:color="auto" w:fill="auto"/>
            <w:noWrap/>
            <w:vAlign w:val="center"/>
            <w:hideMark/>
          </w:tcPr>
          <w:p w14:paraId="6DD36F9D"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Distribuição relativa (%) do PIB dos municípios</w:t>
            </w:r>
          </w:p>
        </w:tc>
      </w:tr>
      <w:tr w:rsidR="003406B6" w:rsidRPr="006A7FED" w14:paraId="2F780A3B" w14:textId="77777777" w:rsidTr="00F43C9F">
        <w:trPr>
          <w:trHeight w:val="260"/>
        </w:trPr>
        <w:tc>
          <w:tcPr>
            <w:tcW w:w="1278" w:type="pct"/>
            <w:vMerge/>
            <w:tcBorders>
              <w:top w:val="single" w:sz="4" w:space="0" w:color="auto"/>
              <w:left w:val="nil"/>
              <w:bottom w:val="single" w:sz="4" w:space="0" w:color="000000"/>
              <w:right w:val="nil"/>
            </w:tcBorders>
            <w:vAlign w:val="center"/>
            <w:hideMark/>
          </w:tcPr>
          <w:p w14:paraId="08B343FA" w14:textId="77777777" w:rsidR="003406B6" w:rsidRPr="006A7FED" w:rsidRDefault="003406B6" w:rsidP="00F43C9F">
            <w:pPr>
              <w:spacing w:after="0" w:line="240" w:lineRule="auto"/>
              <w:rPr>
                <w:rFonts w:ascii="Times New Roman" w:eastAsia="Times New Roman" w:hAnsi="Times New Roman" w:cs="Times New Roman"/>
                <w:b/>
                <w:bCs/>
                <w:sz w:val="20"/>
                <w:szCs w:val="20"/>
                <w:lang w:eastAsia="pt-BR"/>
              </w:rPr>
            </w:pPr>
          </w:p>
        </w:tc>
        <w:tc>
          <w:tcPr>
            <w:tcW w:w="373" w:type="pct"/>
            <w:tcBorders>
              <w:top w:val="single" w:sz="4" w:space="0" w:color="auto"/>
              <w:left w:val="nil"/>
              <w:bottom w:val="single" w:sz="4" w:space="0" w:color="auto"/>
              <w:right w:val="nil"/>
            </w:tcBorders>
            <w:shd w:val="clear" w:color="auto" w:fill="auto"/>
            <w:noWrap/>
            <w:vAlign w:val="center"/>
            <w:hideMark/>
          </w:tcPr>
          <w:p w14:paraId="6043821E"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2010</w:t>
            </w:r>
          </w:p>
        </w:tc>
        <w:tc>
          <w:tcPr>
            <w:tcW w:w="373" w:type="pct"/>
            <w:tcBorders>
              <w:top w:val="single" w:sz="4" w:space="0" w:color="auto"/>
              <w:left w:val="nil"/>
              <w:bottom w:val="single" w:sz="4" w:space="0" w:color="auto"/>
              <w:right w:val="nil"/>
            </w:tcBorders>
            <w:shd w:val="clear" w:color="auto" w:fill="auto"/>
            <w:noWrap/>
            <w:vAlign w:val="center"/>
            <w:hideMark/>
          </w:tcPr>
          <w:p w14:paraId="18E3B0DD"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2011</w:t>
            </w:r>
          </w:p>
        </w:tc>
        <w:tc>
          <w:tcPr>
            <w:tcW w:w="373" w:type="pct"/>
            <w:tcBorders>
              <w:top w:val="single" w:sz="4" w:space="0" w:color="auto"/>
              <w:left w:val="nil"/>
              <w:bottom w:val="single" w:sz="4" w:space="0" w:color="auto"/>
              <w:right w:val="nil"/>
            </w:tcBorders>
            <w:shd w:val="clear" w:color="auto" w:fill="auto"/>
            <w:noWrap/>
            <w:vAlign w:val="center"/>
            <w:hideMark/>
          </w:tcPr>
          <w:p w14:paraId="7204BA57"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2012</w:t>
            </w:r>
          </w:p>
        </w:tc>
        <w:tc>
          <w:tcPr>
            <w:tcW w:w="373" w:type="pct"/>
            <w:tcBorders>
              <w:top w:val="single" w:sz="4" w:space="0" w:color="auto"/>
              <w:left w:val="nil"/>
              <w:bottom w:val="single" w:sz="4" w:space="0" w:color="auto"/>
              <w:right w:val="nil"/>
            </w:tcBorders>
            <w:shd w:val="clear" w:color="auto" w:fill="auto"/>
            <w:noWrap/>
            <w:vAlign w:val="center"/>
            <w:hideMark/>
          </w:tcPr>
          <w:p w14:paraId="3A6D9451"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2013</w:t>
            </w:r>
          </w:p>
        </w:tc>
        <w:tc>
          <w:tcPr>
            <w:tcW w:w="373" w:type="pct"/>
            <w:tcBorders>
              <w:top w:val="single" w:sz="4" w:space="0" w:color="auto"/>
              <w:left w:val="nil"/>
              <w:bottom w:val="single" w:sz="4" w:space="0" w:color="auto"/>
              <w:right w:val="nil"/>
            </w:tcBorders>
            <w:shd w:val="clear" w:color="auto" w:fill="auto"/>
            <w:noWrap/>
            <w:vAlign w:val="center"/>
            <w:hideMark/>
          </w:tcPr>
          <w:p w14:paraId="18DFB2E2"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2014</w:t>
            </w:r>
          </w:p>
        </w:tc>
        <w:tc>
          <w:tcPr>
            <w:tcW w:w="373" w:type="pct"/>
            <w:tcBorders>
              <w:top w:val="single" w:sz="4" w:space="0" w:color="auto"/>
              <w:left w:val="nil"/>
              <w:bottom w:val="single" w:sz="4" w:space="0" w:color="auto"/>
              <w:right w:val="nil"/>
            </w:tcBorders>
            <w:shd w:val="clear" w:color="auto" w:fill="auto"/>
            <w:noWrap/>
            <w:vAlign w:val="center"/>
            <w:hideMark/>
          </w:tcPr>
          <w:p w14:paraId="58DE3834"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2015</w:t>
            </w:r>
          </w:p>
        </w:tc>
        <w:tc>
          <w:tcPr>
            <w:tcW w:w="373" w:type="pct"/>
            <w:tcBorders>
              <w:top w:val="single" w:sz="4" w:space="0" w:color="auto"/>
              <w:left w:val="nil"/>
              <w:bottom w:val="single" w:sz="4" w:space="0" w:color="auto"/>
              <w:right w:val="nil"/>
            </w:tcBorders>
            <w:shd w:val="clear" w:color="auto" w:fill="auto"/>
            <w:noWrap/>
            <w:vAlign w:val="center"/>
            <w:hideMark/>
          </w:tcPr>
          <w:p w14:paraId="601F1441"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2016</w:t>
            </w:r>
          </w:p>
        </w:tc>
        <w:tc>
          <w:tcPr>
            <w:tcW w:w="373" w:type="pct"/>
            <w:tcBorders>
              <w:top w:val="single" w:sz="4" w:space="0" w:color="auto"/>
              <w:left w:val="nil"/>
              <w:bottom w:val="single" w:sz="4" w:space="0" w:color="auto"/>
              <w:right w:val="nil"/>
            </w:tcBorders>
            <w:shd w:val="clear" w:color="auto" w:fill="auto"/>
            <w:noWrap/>
            <w:vAlign w:val="center"/>
            <w:hideMark/>
          </w:tcPr>
          <w:p w14:paraId="2358FB00"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2017</w:t>
            </w:r>
          </w:p>
        </w:tc>
        <w:tc>
          <w:tcPr>
            <w:tcW w:w="373" w:type="pct"/>
            <w:tcBorders>
              <w:top w:val="single" w:sz="4" w:space="0" w:color="auto"/>
              <w:left w:val="nil"/>
              <w:bottom w:val="single" w:sz="4" w:space="0" w:color="auto"/>
              <w:right w:val="nil"/>
            </w:tcBorders>
            <w:shd w:val="clear" w:color="auto" w:fill="auto"/>
            <w:noWrap/>
            <w:vAlign w:val="center"/>
            <w:hideMark/>
          </w:tcPr>
          <w:p w14:paraId="27A1EC5E"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2018</w:t>
            </w:r>
          </w:p>
        </w:tc>
        <w:tc>
          <w:tcPr>
            <w:tcW w:w="368" w:type="pct"/>
            <w:tcBorders>
              <w:top w:val="single" w:sz="4" w:space="0" w:color="auto"/>
              <w:left w:val="nil"/>
              <w:bottom w:val="single" w:sz="4" w:space="0" w:color="auto"/>
              <w:right w:val="nil"/>
            </w:tcBorders>
            <w:shd w:val="clear" w:color="auto" w:fill="auto"/>
            <w:noWrap/>
            <w:vAlign w:val="center"/>
            <w:hideMark/>
          </w:tcPr>
          <w:p w14:paraId="09F5A2ED" w14:textId="77777777" w:rsidR="003406B6" w:rsidRPr="006A7FED" w:rsidRDefault="003406B6" w:rsidP="00F43C9F">
            <w:pPr>
              <w:spacing w:after="0" w:line="240" w:lineRule="auto"/>
              <w:jc w:val="center"/>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2019</w:t>
            </w:r>
          </w:p>
        </w:tc>
      </w:tr>
      <w:tr w:rsidR="003406B6" w:rsidRPr="006A7FED" w14:paraId="059EB540" w14:textId="77777777" w:rsidTr="00F43C9F">
        <w:trPr>
          <w:trHeight w:val="250"/>
        </w:trPr>
        <w:tc>
          <w:tcPr>
            <w:tcW w:w="1278" w:type="pct"/>
            <w:tcBorders>
              <w:top w:val="nil"/>
              <w:left w:val="nil"/>
              <w:bottom w:val="nil"/>
              <w:right w:val="nil"/>
            </w:tcBorders>
            <w:shd w:val="clear" w:color="auto" w:fill="auto"/>
            <w:noWrap/>
            <w:vAlign w:val="center"/>
            <w:hideMark/>
          </w:tcPr>
          <w:p w14:paraId="2B2D52C0"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Capital Regional A</w:t>
            </w:r>
          </w:p>
        </w:tc>
        <w:tc>
          <w:tcPr>
            <w:tcW w:w="373" w:type="pct"/>
            <w:tcBorders>
              <w:top w:val="nil"/>
              <w:left w:val="nil"/>
              <w:bottom w:val="nil"/>
              <w:right w:val="nil"/>
            </w:tcBorders>
            <w:shd w:val="clear" w:color="auto" w:fill="auto"/>
            <w:noWrap/>
            <w:vAlign w:val="center"/>
            <w:hideMark/>
          </w:tcPr>
          <w:p w14:paraId="04CC570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50,0</w:t>
            </w:r>
          </w:p>
        </w:tc>
        <w:tc>
          <w:tcPr>
            <w:tcW w:w="373" w:type="pct"/>
            <w:tcBorders>
              <w:top w:val="nil"/>
              <w:left w:val="nil"/>
              <w:bottom w:val="nil"/>
              <w:right w:val="nil"/>
            </w:tcBorders>
            <w:shd w:val="clear" w:color="auto" w:fill="auto"/>
            <w:noWrap/>
            <w:vAlign w:val="center"/>
            <w:hideMark/>
          </w:tcPr>
          <w:p w14:paraId="2E32B79A"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49,0</w:t>
            </w:r>
          </w:p>
        </w:tc>
        <w:tc>
          <w:tcPr>
            <w:tcW w:w="373" w:type="pct"/>
            <w:tcBorders>
              <w:top w:val="nil"/>
              <w:left w:val="nil"/>
              <w:bottom w:val="nil"/>
              <w:right w:val="nil"/>
            </w:tcBorders>
            <w:shd w:val="clear" w:color="auto" w:fill="auto"/>
            <w:noWrap/>
            <w:vAlign w:val="center"/>
            <w:hideMark/>
          </w:tcPr>
          <w:p w14:paraId="6ABA5A8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48,7</w:t>
            </w:r>
          </w:p>
        </w:tc>
        <w:tc>
          <w:tcPr>
            <w:tcW w:w="373" w:type="pct"/>
            <w:tcBorders>
              <w:top w:val="nil"/>
              <w:left w:val="nil"/>
              <w:bottom w:val="nil"/>
              <w:right w:val="nil"/>
            </w:tcBorders>
            <w:shd w:val="clear" w:color="auto" w:fill="auto"/>
            <w:noWrap/>
            <w:vAlign w:val="center"/>
            <w:hideMark/>
          </w:tcPr>
          <w:p w14:paraId="0A30914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49,3</w:t>
            </w:r>
          </w:p>
        </w:tc>
        <w:tc>
          <w:tcPr>
            <w:tcW w:w="373" w:type="pct"/>
            <w:tcBorders>
              <w:top w:val="nil"/>
              <w:left w:val="nil"/>
              <w:bottom w:val="nil"/>
              <w:right w:val="nil"/>
            </w:tcBorders>
            <w:shd w:val="clear" w:color="auto" w:fill="auto"/>
            <w:noWrap/>
            <w:vAlign w:val="center"/>
            <w:hideMark/>
          </w:tcPr>
          <w:p w14:paraId="0441A078"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49,3</w:t>
            </w:r>
          </w:p>
        </w:tc>
        <w:tc>
          <w:tcPr>
            <w:tcW w:w="373" w:type="pct"/>
            <w:tcBorders>
              <w:top w:val="nil"/>
              <w:left w:val="nil"/>
              <w:bottom w:val="nil"/>
              <w:right w:val="nil"/>
            </w:tcBorders>
            <w:shd w:val="clear" w:color="auto" w:fill="auto"/>
            <w:noWrap/>
            <w:vAlign w:val="center"/>
            <w:hideMark/>
          </w:tcPr>
          <w:p w14:paraId="64B5C900"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47,2</w:t>
            </w:r>
          </w:p>
        </w:tc>
        <w:tc>
          <w:tcPr>
            <w:tcW w:w="373" w:type="pct"/>
            <w:tcBorders>
              <w:top w:val="nil"/>
              <w:left w:val="nil"/>
              <w:bottom w:val="nil"/>
              <w:right w:val="nil"/>
            </w:tcBorders>
            <w:shd w:val="clear" w:color="auto" w:fill="auto"/>
            <w:noWrap/>
            <w:vAlign w:val="center"/>
            <w:hideMark/>
          </w:tcPr>
          <w:p w14:paraId="2CECE1B0"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48,4</w:t>
            </w:r>
          </w:p>
        </w:tc>
        <w:tc>
          <w:tcPr>
            <w:tcW w:w="373" w:type="pct"/>
            <w:tcBorders>
              <w:top w:val="nil"/>
              <w:left w:val="nil"/>
              <w:bottom w:val="nil"/>
              <w:right w:val="nil"/>
            </w:tcBorders>
            <w:shd w:val="clear" w:color="auto" w:fill="auto"/>
            <w:noWrap/>
            <w:vAlign w:val="center"/>
            <w:hideMark/>
          </w:tcPr>
          <w:p w14:paraId="169AEADE"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44,6</w:t>
            </w:r>
          </w:p>
        </w:tc>
        <w:tc>
          <w:tcPr>
            <w:tcW w:w="373" w:type="pct"/>
            <w:tcBorders>
              <w:top w:val="nil"/>
              <w:left w:val="nil"/>
              <w:bottom w:val="nil"/>
              <w:right w:val="nil"/>
            </w:tcBorders>
            <w:shd w:val="clear" w:color="auto" w:fill="auto"/>
            <w:noWrap/>
            <w:vAlign w:val="center"/>
            <w:hideMark/>
          </w:tcPr>
          <w:p w14:paraId="5030F687"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44,1</w:t>
            </w:r>
          </w:p>
        </w:tc>
        <w:tc>
          <w:tcPr>
            <w:tcW w:w="368" w:type="pct"/>
            <w:tcBorders>
              <w:top w:val="nil"/>
              <w:left w:val="nil"/>
              <w:bottom w:val="nil"/>
              <w:right w:val="nil"/>
            </w:tcBorders>
            <w:shd w:val="clear" w:color="auto" w:fill="auto"/>
            <w:noWrap/>
            <w:vAlign w:val="center"/>
            <w:hideMark/>
          </w:tcPr>
          <w:p w14:paraId="016E758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44,1</w:t>
            </w:r>
          </w:p>
        </w:tc>
      </w:tr>
      <w:tr w:rsidR="003406B6" w:rsidRPr="006A7FED" w14:paraId="04F8870A" w14:textId="77777777" w:rsidTr="00F43C9F">
        <w:trPr>
          <w:trHeight w:val="250"/>
        </w:trPr>
        <w:tc>
          <w:tcPr>
            <w:tcW w:w="1278" w:type="pct"/>
            <w:tcBorders>
              <w:top w:val="nil"/>
              <w:left w:val="nil"/>
              <w:bottom w:val="nil"/>
              <w:right w:val="nil"/>
            </w:tcBorders>
            <w:shd w:val="clear" w:color="auto" w:fill="auto"/>
            <w:noWrap/>
            <w:vAlign w:val="center"/>
            <w:hideMark/>
          </w:tcPr>
          <w:p w14:paraId="349C147F"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Centros Sub-regionais A</w:t>
            </w:r>
          </w:p>
        </w:tc>
        <w:tc>
          <w:tcPr>
            <w:tcW w:w="373" w:type="pct"/>
            <w:tcBorders>
              <w:top w:val="nil"/>
              <w:left w:val="nil"/>
              <w:bottom w:val="nil"/>
              <w:right w:val="nil"/>
            </w:tcBorders>
            <w:shd w:val="clear" w:color="auto" w:fill="auto"/>
            <w:noWrap/>
            <w:vAlign w:val="center"/>
            <w:hideMark/>
          </w:tcPr>
          <w:p w14:paraId="62CB0C9B"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9,5</w:t>
            </w:r>
          </w:p>
        </w:tc>
        <w:tc>
          <w:tcPr>
            <w:tcW w:w="373" w:type="pct"/>
            <w:tcBorders>
              <w:top w:val="nil"/>
              <w:left w:val="nil"/>
              <w:bottom w:val="nil"/>
              <w:right w:val="nil"/>
            </w:tcBorders>
            <w:shd w:val="clear" w:color="auto" w:fill="auto"/>
            <w:noWrap/>
            <w:vAlign w:val="center"/>
            <w:hideMark/>
          </w:tcPr>
          <w:p w14:paraId="22AF874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9,4</w:t>
            </w:r>
          </w:p>
        </w:tc>
        <w:tc>
          <w:tcPr>
            <w:tcW w:w="373" w:type="pct"/>
            <w:tcBorders>
              <w:top w:val="nil"/>
              <w:left w:val="nil"/>
              <w:bottom w:val="nil"/>
              <w:right w:val="nil"/>
            </w:tcBorders>
            <w:shd w:val="clear" w:color="auto" w:fill="auto"/>
            <w:noWrap/>
            <w:vAlign w:val="center"/>
            <w:hideMark/>
          </w:tcPr>
          <w:p w14:paraId="42E4FB8B"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9,5</w:t>
            </w:r>
          </w:p>
        </w:tc>
        <w:tc>
          <w:tcPr>
            <w:tcW w:w="373" w:type="pct"/>
            <w:tcBorders>
              <w:top w:val="nil"/>
              <w:left w:val="nil"/>
              <w:bottom w:val="nil"/>
              <w:right w:val="nil"/>
            </w:tcBorders>
            <w:shd w:val="clear" w:color="auto" w:fill="auto"/>
            <w:noWrap/>
            <w:vAlign w:val="center"/>
            <w:hideMark/>
          </w:tcPr>
          <w:p w14:paraId="6592D40B"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 xml:space="preserve">   10,0</w:t>
            </w:r>
          </w:p>
        </w:tc>
        <w:tc>
          <w:tcPr>
            <w:tcW w:w="373" w:type="pct"/>
            <w:tcBorders>
              <w:top w:val="nil"/>
              <w:left w:val="nil"/>
              <w:bottom w:val="nil"/>
              <w:right w:val="nil"/>
            </w:tcBorders>
            <w:shd w:val="clear" w:color="auto" w:fill="auto"/>
            <w:noWrap/>
            <w:vAlign w:val="center"/>
            <w:hideMark/>
          </w:tcPr>
          <w:p w14:paraId="4CDD8DF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9,6</w:t>
            </w:r>
          </w:p>
        </w:tc>
        <w:tc>
          <w:tcPr>
            <w:tcW w:w="373" w:type="pct"/>
            <w:tcBorders>
              <w:top w:val="nil"/>
              <w:left w:val="nil"/>
              <w:bottom w:val="nil"/>
              <w:right w:val="nil"/>
            </w:tcBorders>
            <w:shd w:val="clear" w:color="auto" w:fill="auto"/>
            <w:noWrap/>
            <w:vAlign w:val="center"/>
            <w:hideMark/>
          </w:tcPr>
          <w:p w14:paraId="6A9B88F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9,8</w:t>
            </w:r>
          </w:p>
        </w:tc>
        <w:tc>
          <w:tcPr>
            <w:tcW w:w="373" w:type="pct"/>
            <w:tcBorders>
              <w:top w:val="nil"/>
              <w:left w:val="nil"/>
              <w:bottom w:val="nil"/>
              <w:right w:val="nil"/>
            </w:tcBorders>
            <w:shd w:val="clear" w:color="auto" w:fill="auto"/>
            <w:noWrap/>
            <w:vAlign w:val="center"/>
            <w:hideMark/>
          </w:tcPr>
          <w:p w14:paraId="6BE1E52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10,0</w:t>
            </w:r>
          </w:p>
        </w:tc>
        <w:tc>
          <w:tcPr>
            <w:tcW w:w="373" w:type="pct"/>
            <w:tcBorders>
              <w:top w:val="nil"/>
              <w:left w:val="nil"/>
              <w:bottom w:val="nil"/>
              <w:right w:val="nil"/>
            </w:tcBorders>
            <w:shd w:val="clear" w:color="auto" w:fill="auto"/>
            <w:noWrap/>
            <w:vAlign w:val="center"/>
            <w:hideMark/>
          </w:tcPr>
          <w:p w14:paraId="54204A27"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9,5</w:t>
            </w:r>
          </w:p>
        </w:tc>
        <w:tc>
          <w:tcPr>
            <w:tcW w:w="373" w:type="pct"/>
            <w:tcBorders>
              <w:top w:val="nil"/>
              <w:left w:val="nil"/>
              <w:bottom w:val="nil"/>
              <w:right w:val="nil"/>
            </w:tcBorders>
            <w:shd w:val="clear" w:color="auto" w:fill="auto"/>
            <w:noWrap/>
            <w:vAlign w:val="center"/>
            <w:hideMark/>
          </w:tcPr>
          <w:p w14:paraId="75C99D4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9,5</w:t>
            </w:r>
          </w:p>
        </w:tc>
        <w:tc>
          <w:tcPr>
            <w:tcW w:w="368" w:type="pct"/>
            <w:tcBorders>
              <w:top w:val="nil"/>
              <w:left w:val="nil"/>
              <w:bottom w:val="nil"/>
              <w:right w:val="nil"/>
            </w:tcBorders>
            <w:shd w:val="clear" w:color="auto" w:fill="auto"/>
            <w:noWrap/>
            <w:vAlign w:val="center"/>
            <w:hideMark/>
          </w:tcPr>
          <w:p w14:paraId="52A4525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10,1</w:t>
            </w:r>
          </w:p>
        </w:tc>
      </w:tr>
      <w:tr w:rsidR="003406B6" w:rsidRPr="006A7FED" w14:paraId="6027179E" w14:textId="77777777" w:rsidTr="00F43C9F">
        <w:trPr>
          <w:trHeight w:val="250"/>
        </w:trPr>
        <w:tc>
          <w:tcPr>
            <w:tcW w:w="1278" w:type="pct"/>
            <w:tcBorders>
              <w:top w:val="nil"/>
              <w:left w:val="nil"/>
              <w:bottom w:val="nil"/>
              <w:right w:val="nil"/>
            </w:tcBorders>
            <w:shd w:val="clear" w:color="auto" w:fill="auto"/>
            <w:noWrap/>
            <w:vAlign w:val="center"/>
            <w:hideMark/>
          </w:tcPr>
          <w:p w14:paraId="4D614886"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Centros Sub-regionais B</w:t>
            </w:r>
          </w:p>
        </w:tc>
        <w:tc>
          <w:tcPr>
            <w:tcW w:w="373" w:type="pct"/>
            <w:tcBorders>
              <w:top w:val="nil"/>
              <w:left w:val="nil"/>
              <w:bottom w:val="nil"/>
              <w:right w:val="nil"/>
            </w:tcBorders>
            <w:shd w:val="clear" w:color="auto" w:fill="auto"/>
            <w:noWrap/>
            <w:vAlign w:val="center"/>
            <w:hideMark/>
          </w:tcPr>
          <w:p w14:paraId="282817DF"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1,9</w:t>
            </w:r>
          </w:p>
        </w:tc>
        <w:tc>
          <w:tcPr>
            <w:tcW w:w="373" w:type="pct"/>
            <w:tcBorders>
              <w:top w:val="nil"/>
              <w:left w:val="nil"/>
              <w:bottom w:val="nil"/>
              <w:right w:val="nil"/>
            </w:tcBorders>
            <w:shd w:val="clear" w:color="auto" w:fill="auto"/>
            <w:noWrap/>
            <w:vAlign w:val="center"/>
            <w:hideMark/>
          </w:tcPr>
          <w:p w14:paraId="25287BAA"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1,9</w:t>
            </w:r>
          </w:p>
        </w:tc>
        <w:tc>
          <w:tcPr>
            <w:tcW w:w="373" w:type="pct"/>
            <w:tcBorders>
              <w:top w:val="nil"/>
              <w:left w:val="nil"/>
              <w:bottom w:val="nil"/>
              <w:right w:val="nil"/>
            </w:tcBorders>
            <w:shd w:val="clear" w:color="auto" w:fill="auto"/>
            <w:noWrap/>
            <w:vAlign w:val="center"/>
            <w:hideMark/>
          </w:tcPr>
          <w:p w14:paraId="1D1CDE56"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1,9</w:t>
            </w:r>
          </w:p>
        </w:tc>
        <w:tc>
          <w:tcPr>
            <w:tcW w:w="373" w:type="pct"/>
            <w:tcBorders>
              <w:top w:val="nil"/>
              <w:left w:val="nil"/>
              <w:bottom w:val="nil"/>
              <w:right w:val="nil"/>
            </w:tcBorders>
            <w:shd w:val="clear" w:color="auto" w:fill="auto"/>
            <w:noWrap/>
            <w:vAlign w:val="center"/>
            <w:hideMark/>
          </w:tcPr>
          <w:p w14:paraId="778A37D8"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2,0</w:t>
            </w:r>
          </w:p>
        </w:tc>
        <w:tc>
          <w:tcPr>
            <w:tcW w:w="373" w:type="pct"/>
            <w:tcBorders>
              <w:top w:val="nil"/>
              <w:left w:val="nil"/>
              <w:bottom w:val="nil"/>
              <w:right w:val="nil"/>
            </w:tcBorders>
            <w:shd w:val="clear" w:color="auto" w:fill="auto"/>
            <w:noWrap/>
            <w:vAlign w:val="center"/>
            <w:hideMark/>
          </w:tcPr>
          <w:p w14:paraId="0C8D58ED"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1,9</w:t>
            </w:r>
          </w:p>
        </w:tc>
        <w:tc>
          <w:tcPr>
            <w:tcW w:w="373" w:type="pct"/>
            <w:tcBorders>
              <w:top w:val="nil"/>
              <w:left w:val="nil"/>
              <w:bottom w:val="nil"/>
              <w:right w:val="nil"/>
            </w:tcBorders>
            <w:shd w:val="clear" w:color="auto" w:fill="auto"/>
            <w:noWrap/>
            <w:vAlign w:val="center"/>
            <w:hideMark/>
          </w:tcPr>
          <w:p w14:paraId="25992E87"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2,0</w:t>
            </w:r>
          </w:p>
        </w:tc>
        <w:tc>
          <w:tcPr>
            <w:tcW w:w="373" w:type="pct"/>
            <w:tcBorders>
              <w:top w:val="nil"/>
              <w:left w:val="nil"/>
              <w:bottom w:val="nil"/>
              <w:right w:val="nil"/>
            </w:tcBorders>
            <w:shd w:val="clear" w:color="auto" w:fill="auto"/>
            <w:noWrap/>
            <w:vAlign w:val="center"/>
            <w:hideMark/>
          </w:tcPr>
          <w:p w14:paraId="009AADE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2,1</w:t>
            </w:r>
          </w:p>
        </w:tc>
        <w:tc>
          <w:tcPr>
            <w:tcW w:w="373" w:type="pct"/>
            <w:tcBorders>
              <w:top w:val="nil"/>
              <w:left w:val="nil"/>
              <w:bottom w:val="nil"/>
              <w:right w:val="nil"/>
            </w:tcBorders>
            <w:shd w:val="clear" w:color="auto" w:fill="auto"/>
            <w:noWrap/>
            <w:vAlign w:val="center"/>
            <w:hideMark/>
          </w:tcPr>
          <w:p w14:paraId="490DA3D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2,0</w:t>
            </w:r>
          </w:p>
        </w:tc>
        <w:tc>
          <w:tcPr>
            <w:tcW w:w="373" w:type="pct"/>
            <w:tcBorders>
              <w:top w:val="nil"/>
              <w:left w:val="nil"/>
              <w:bottom w:val="nil"/>
              <w:right w:val="nil"/>
            </w:tcBorders>
            <w:shd w:val="clear" w:color="auto" w:fill="auto"/>
            <w:noWrap/>
            <w:vAlign w:val="center"/>
            <w:hideMark/>
          </w:tcPr>
          <w:p w14:paraId="2B529EA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2,0</w:t>
            </w:r>
          </w:p>
        </w:tc>
        <w:tc>
          <w:tcPr>
            <w:tcW w:w="368" w:type="pct"/>
            <w:tcBorders>
              <w:top w:val="nil"/>
              <w:left w:val="nil"/>
              <w:bottom w:val="nil"/>
              <w:right w:val="nil"/>
            </w:tcBorders>
            <w:shd w:val="clear" w:color="auto" w:fill="auto"/>
            <w:noWrap/>
            <w:vAlign w:val="center"/>
            <w:hideMark/>
          </w:tcPr>
          <w:p w14:paraId="1B9C8F0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2,1</w:t>
            </w:r>
          </w:p>
        </w:tc>
      </w:tr>
      <w:tr w:rsidR="003406B6" w:rsidRPr="006A7FED" w14:paraId="2C873B8B" w14:textId="77777777" w:rsidTr="00F43C9F">
        <w:trPr>
          <w:trHeight w:val="250"/>
        </w:trPr>
        <w:tc>
          <w:tcPr>
            <w:tcW w:w="1278" w:type="pct"/>
            <w:tcBorders>
              <w:top w:val="nil"/>
              <w:left w:val="nil"/>
              <w:bottom w:val="nil"/>
              <w:right w:val="nil"/>
            </w:tcBorders>
            <w:shd w:val="clear" w:color="auto" w:fill="auto"/>
            <w:noWrap/>
            <w:vAlign w:val="center"/>
            <w:hideMark/>
          </w:tcPr>
          <w:p w14:paraId="56C1E4B6"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Centros de Zona A</w:t>
            </w:r>
          </w:p>
        </w:tc>
        <w:tc>
          <w:tcPr>
            <w:tcW w:w="373" w:type="pct"/>
            <w:tcBorders>
              <w:top w:val="nil"/>
              <w:left w:val="nil"/>
              <w:bottom w:val="nil"/>
              <w:right w:val="nil"/>
            </w:tcBorders>
            <w:shd w:val="clear" w:color="auto" w:fill="auto"/>
            <w:noWrap/>
            <w:vAlign w:val="center"/>
            <w:hideMark/>
          </w:tcPr>
          <w:p w14:paraId="676FEB90"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4,5</w:t>
            </w:r>
          </w:p>
        </w:tc>
        <w:tc>
          <w:tcPr>
            <w:tcW w:w="373" w:type="pct"/>
            <w:tcBorders>
              <w:top w:val="nil"/>
              <w:left w:val="nil"/>
              <w:bottom w:val="nil"/>
              <w:right w:val="nil"/>
            </w:tcBorders>
            <w:shd w:val="clear" w:color="auto" w:fill="auto"/>
            <w:noWrap/>
            <w:vAlign w:val="center"/>
            <w:hideMark/>
          </w:tcPr>
          <w:p w14:paraId="4BACDE29"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4,6</w:t>
            </w:r>
          </w:p>
        </w:tc>
        <w:tc>
          <w:tcPr>
            <w:tcW w:w="373" w:type="pct"/>
            <w:tcBorders>
              <w:top w:val="nil"/>
              <w:left w:val="nil"/>
              <w:bottom w:val="nil"/>
              <w:right w:val="nil"/>
            </w:tcBorders>
            <w:shd w:val="clear" w:color="auto" w:fill="auto"/>
            <w:noWrap/>
            <w:vAlign w:val="center"/>
            <w:hideMark/>
          </w:tcPr>
          <w:p w14:paraId="41D3A57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4,7</w:t>
            </w:r>
          </w:p>
        </w:tc>
        <w:tc>
          <w:tcPr>
            <w:tcW w:w="373" w:type="pct"/>
            <w:tcBorders>
              <w:top w:val="nil"/>
              <w:left w:val="nil"/>
              <w:bottom w:val="nil"/>
              <w:right w:val="nil"/>
            </w:tcBorders>
            <w:shd w:val="clear" w:color="auto" w:fill="auto"/>
            <w:noWrap/>
            <w:vAlign w:val="center"/>
            <w:hideMark/>
          </w:tcPr>
          <w:p w14:paraId="6F8050A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4,5</w:t>
            </w:r>
          </w:p>
        </w:tc>
        <w:tc>
          <w:tcPr>
            <w:tcW w:w="373" w:type="pct"/>
            <w:tcBorders>
              <w:top w:val="nil"/>
              <w:left w:val="nil"/>
              <w:bottom w:val="nil"/>
              <w:right w:val="nil"/>
            </w:tcBorders>
            <w:shd w:val="clear" w:color="auto" w:fill="auto"/>
            <w:noWrap/>
            <w:vAlign w:val="center"/>
            <w:hideMark/>
          </w:tcPr>
          <w:p w14:paraId="28A3D36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4,7</w:t>
            </w:r>
          </w:p>
        </w:tc>
        <w:tc>
          <w:tcPr>
            <w:tcW w:w="373" w:type="pct"/>
            <w:tcBorders>
              <w:top w:val="nil"/>
              <w:left w:val="nil"/>
              <w:bottom w:val="nil"/>
              <w:right w:val="nil"/>
            </w:tcBorders>
            <w:shd w:val="clear" w:color="auto" w:fill="auto"/>
            <w:noWrap/>
            <w:vAlign w:val="center"/>
            <w:hideMark/>
          </w:tcPr>
          <w:p w14:paraId="2FF17560"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5,2</w:t>
            </w:r>
          </w:p>
        </w:tc>
        <w:tc>
          <w:tcPr>
            <w:tcW w:w="373" w:type="pct"/>
            <w:tcBorders>
              <w:top w:val="nil"/>
              <w:left w:val="nil"/>
              <w:bottom w:val="nil"/>
              <w:right w:val="nil"/>
            </w:tcBorders>
            <w:shd w:val="clear" w:color="auto" w:fill="auto"/>
            <w:noWrap/>
            <w:vAlign w:val="center"/>
            <w:hideMark/>
          </w:tcPr>
          <w:p w14:paraId="5D30B9BE"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5,0</w:t>
            </w:r>
          </w:p>
        </w:tc>
        <w:tc>
          <w:tcPr>
            <w:tcW w:w="373" w:type="pct"/>
            <w:tcBorders>
              <w:top w:val="nil"/>
              <w:left w:val="nil"/>
              <w:bottom w:val="nil"/>
              <w:right w:val="nil"/>
            </w:tcBorders>
            <w:shd w:val="clear" w:color="auto" w:fill="auto"/>
            <w:noWrap/>
            <w:vAlign w:val="center"/>
            <w:hideMark/>
          </w:tcPr>
          <w:p w14:paraId="31528E0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5,6</w:t>
            </w:r>
          </w:p>
        </w:tc>
        <w:tc>
          <w:tcPr>
            <w:tcW w:w="373" w:type="pct"/>
            <w:tcBorders>
              <w:top w:val="nil"/>
              <w:left w:val="nil"/>
              <w:bottom w:val="nil"/>
              <w:right w:val="nil"/>
            </w:tcBorders>
            <w:shd w:val="clear" w:color="auto" w:fill="auto"/>
            <w:noWrap/>
            <w:vAlign w:val="center"/>
            <w:hideMark/>
          </w:tcPr>
          <w:p w14:paraId="471EB05A"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5,6</w:t>
            </w:r>
          </w:p>
        </w:tc>
        <w:tc>
          <w:tcPr>
            <w:tcW w:w="368" w:type="pct"/>
            <w:tcBorders>
              <w:top w:val="nil"/>
              <w:left w:val="nil"/>
              <w:bottom w:val="nil"/>
              <w:right w:val="nil"/>
            </w:tcBorders>
            <w:shd w:val="clear" w:color="auto" w:fill="auto"/>
            <w:noWrap/>
            <w:vAlign w:val="center"/>
            <w:hideMark/>
          </w:tcPr>
          <w:p w14:paraId="7F604D6D"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5,4</w:t>
            </w:r>
          </w:p>
        </w:tc>
      </w:tr>
      <w:tr w:rsidR="003406B6" w:rsidRPr="006A7FED" w14:paraId="2CC4AC20" w14:textId="77777777" w:rsidTr="00F43C9F">
        <w:trPr>
          <w:trHeight w:val="250"/>
        </w:trPr>
        <w:tc>
          <w:tcPr>
            <w:tcW w:w="1278" w:type="pct"/>
            <w:tcBorders>
              <w:top w:val="nil"/>
              <w:left w:val="nil"/>
              <w:bottom w:val="nil"/>
              <w:right w:val="nil"/>
            </w:tcBorders>
            <w:shd w:val="clear" w:color="auto" w:fill="auto"/>
            <w:noWrap/>
            <w:vAlign w:val="center"/>
            <w:hideMark/>
          </w:tcPr>
          <w:p w14:paraId="5B042188"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Centros de Zona B</w:t>
            </w:r>
          </w:p>
        </w:tc>
        <w:tc>
          <w:tcPr>
            <w:tcW w:w="373" w:type="pct"/>
            <w:tcBorders>
              <w:top w:val="nil"/>
              <w:left w:val="nil"/>
              <w:bottom w:val="nil"/>
              <w:right w:val="nil"/>
            </w:tcBorders>
            <w:shd w:val="clear" w:color="auto" w:fill="auto"/>
            <w:noWrap/>
            <w:vAlign w:val="center"/>
            <w:hideMark/>
          </w:tcPr>
          <w:p w14:paraId="488736AC"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10,9</w:t>
            </w:r>
          </w:p>
        </w:tc>
        <w:tc>
          <w:tcPr>
            <w:tcW w:w="373" w:type="pct"/>
            <w:tcBorders>
              <w:top w:val="nil"/>
              <w:left w:val="nil"/>
              <w:bottom w:val="nil"/>
              <w:right w:val="nil"/>
            </w:tcBorders>
            <w:shd w:val="clear" w:color="auto" w:fill="auto"/>
            <w:noWrap/>
            <w:vAlign w:val="center"/>
            <w:hideMark/>
          </w:tcPr>
          <w:p w14:paraId="06493D47"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11,1</w:t>
            </w:r>
          </w:p>
        </w:tc>
        <w:tc>
          <w:tcPr>
            <w:tcW w:w="373" w:type="pct"/>
            <w:tcBorders>
              <w:top w:val="nil"/>
              <w:left w:val="nil"/>
              <w:bottom w:val="nil"/>
              <w:right w:val="nil"/>
            </w:tcBorders>
            <w:shd w:val="clear" w:color="auto" w:fill="auto"/>
            <w:noWrap/>
            <w:vAlign w:val="center"/>
            <w:hideMark/>
          </w:tcPr>
          <w:p w14:paraId="42C089A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11,4</w:t>
            </w:r>
          </w:p>
        </w:tc>
        <w:tc>
          <w:tcPr>
            <w:tcW w:w="373" w:type="pct"/>
            <w:tcBorders>
              <w:top w:val="nil"/>
              <w:left w:val="nil"/>
              <w:bottom w:val="nil"/>
              <w:right w:val="nil"/>
            </w:tcBorders>
            <w:shd w:val="clear" w:color="auto" w:fill="auto"/>
            <w:noWrap/>
            <w:vAlign w:val="center"/>
            <w:hideMark/>
          </w:tcPr>
          <w:p w14:paraId="6F6CF89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10,6</w:t>
            </w:r>
          </w:p>
        </w:tc>
        <w:tc>
          <w:tcPr>
            <w:tcW w:w="373" w:type="pct"/>
            <w:tcBorders>
              <w:top w:val="nil"/>
              <w:left w:val="nil"/>
              <w:bottom w:val="nil"/>
              <w:right w:val="nil"/>
            </w:tcBorders>
            <w:shd w:val="clear" w:color="auto" w:fill="auto"/>
            <w:noWrap/>
            <w:vAlign w:val="center"/>
            <w:hideMark/>
          </w:tcPr>
          <w:p w14:paraId="4288E86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10,8</w:t>
            </w:r>
          </w:p>
        </w:tc>
        <w:tc>
          <w:tcPr>
            <w:tcW w:w="373" w:type="pct"/>
            <w:tcBorders>
              <w:top w:val="nil"/>
              <w:left w:val="nil"/>
              <w:bottom w:val="nil"/>
              <w:right w:val="nil"/>
            </w:tcBorders>
            <w:shd w:val="clear" w:color="auto" w:fill="auto"/>
            <w:noWrap/>
            <w:vAlign w:val="center"/>
            <w:hideMark/>
          </w:tcPr>
          <w:p w14:paraId="1947CE72"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11,2</w:t>
            </w:r>
          </w:p>
        </w:tc>
        <w:tc>
          <w:tcPr>
            <w:tcW w:w="373" w:type="pct"/>
            <w:tcBorders>
              <w:top w:val="nil"/>
              <w:left w:val="nil"/>
              <w:bottom w:val="nil"/>
              <w:right w:val="nil"/>
            </w:tcBorders>
            <w:shd w:val="clear" w:color="auto" w:fill="auto"/>
            <w:noWrap/>
            <w:vAlign w:val="center"/>
            <w:hideMark/>
          </w:tcPr>
          <w:p w14:paraId="72C7B2E5"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10,6</w:t>
            </w:r>
          </w:p>
        </w:tc>
        <w:tc>
          <w:tcPr>
            <w:tcW w:w="373" w:type="pct"/>
            <w:tcBorders>
              <w:top w:val="nil"/>
              <w:left w:val="nil"/>
              <w:bottom w:val="nil"/>
              <w:right w:val="nil"/>
            </w:tcBorders>
            <w:shd w:val="clear" w:color="auto" w:fill="auto"/>
            <w:noWrap/>
            <w:vAlign w:val="center"/>
            <w:hideMark/>
          </w:tcPr>
          <w:p w14:paraId="7226DFF8"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11,9</w:t>
            </w:r>
          </w:p>
        </w:tc>
        <w:tc>
          <w:tcPr>
            <w:tcW w:w="373" w:type="pct"/>
            <w:tcBorders>
              <w:top w:val="nil"/>
              <w:left w:val="nil"/>
              <w:bottom w:val="nil"/>
              <w:right w:val="nil"/>
            </w:tcBorders>
            <w:shd w:val="clear" w:color="auto" w:fill="auto"/>
            <w:noWrap/>
            <w:vAlign w:val="center"/>
            <w:hideMark/>
          </w:tcPr>
          <w:p w14:paraId="586B12C5"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11,8</w:t>
            </w:r>
          </w:p>
        </w:tc>
        <w:tc>
          <w:tcPr>
            <w:tcW w:w="368" w:type="pct"/>
            <w:tcBorders>
              <w:top w:val="nil"/>
              <w:left w:val="nil"/>
              <w:bottom w:val="nil"/>
              <w:right w:val="nil"/>
            </w:tcBorders>
            <w:shd w:val="clear" w:color="auto" w:fill="auto"/>
            <w:noWrap/>
            <w:vAlign w:val="center"/>
            <w:hideMark/>
          </w:tcPr>
          <w:p w14:paraId="1EBBFC2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11,7</w:t>
            </w:r>
          </w:p>
        </w:tc>
      </w:tr>
      <w:tr w:rsidR="003406B6" w:rsidRPr="006A7FED" w14:paraId="141605B0" w14:textId="77777777" w:rsidTr="00F43C9F">
        <w:trPr>
          <w:trHeight w:val="250"/>
        </w:trPr>
        <w:tc>
          <w:tcPr>
            <w:tcW w:w="1278" w:type="pct"/>
            <w:tcBorders>
              <w:top w:val="nil"/>
              <w:left w:val="nil"/>
              <w:bottom w:val="nil"/>
              <w:right w:val="nil"/>
            </w:tcBorders>
            <w:shd w:val="clear" w:color="auto" w:fill="auto"/>
            <w:noWrap/>
            <w:vAlign w:val="center"/>
            <w:hideMark/>
          </w:tcPr>
          <w:p w14:paraId="100C0033" w14:textId="77777777" w:rsidR="003406B6" w:rsidRPr="006A7FED" w:rsidRDefault="003406B6" w:rsidP="00F43C9F">
            <w:pPr>
              <w:spacing w:after="0" w:line="240" w:lineRule="auto"/>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lastRenderedPageBreak/>
              <w:t>Centros Locais</w:t>
            </w:r>
          </w:p>
        </w:tc>
        <w:tc>
          <w:tcPr>
            <w:tcW w:w="373" w:type="pct"/>
            <w:tcBorders>
              <w:top w:val="nil"/>
              <w:left w:val="nil"/>
              <w:bottom w:val="nil"/>
              <w:right w:val="nil"/>
            </w:tcBorders>
            <w:shd w:val="clear" w:color="auto" w:fill="auto"/>
            <w:noWrap/>
            <w:vAlign w:val="center"/>
            <w:hideMark/>
          </w:tcPr>
          <w:p w14:paraId="37705D53"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23,2</w:t>
            </w:r>
          </w:p>
        </w:tc>
        <w:tc>
          <w:tcPr>
            <w:tcW w:w="373" w:type="pct"/>
            <w:tcBorders>
              <w:top w:val="nil"/>
              <w:left w:val="nil"/>
              <w:bottom w:val="nil"/>
              <w:right w:val="nil"/>
            </w:tcBorders>
            <w:shd w:val="clear" w:color="auto" w:fill="auto"/>
            <w:noWrap/>
            <w:vAlign w:val="center"/>
            <w:hideMark/>
          </w:tcPr>
          <w:p w14:paraId="6CB906DA"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24,0</w:t>
            </w:r>
          </w:p>
        </w:tc>
        <w:tc>
          <w:tcPr>
            <w:tcW w:w="373" w:type="pct"/>
            <w:tcBorders>
              <w:top w:val="nil"/>
              <w:left w:val="nil"/>
              <w:bottom w:val="nil"/>
              <w:right w:val="nil"/>
            </w:tcBorders>
            <w:shd w:val="clear" w:color="auto" w:fill="auto"/>
            <w:noWrap/>
            <w:vAlign w:val="center"/>
            <w:hideMark/>
          </w:tcPr>
          <w:p w14:paraId="1148C0E6"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23,7</w:t>
            </w:r>
          </w:p>
        </w:tc>
        <w:tc>
          <w:tcPr>
            <w:tcW w:w="373" w:type="pct"/>
            <w:tcBorders>
              <w:top w:val="nil"/>
              <w:left w:val="nil"/>
              <w:bottom w:val="nil"/>
              <w:right w:val="nil"/>
            </w:tcBorders>
            <w:shd w:val="clear" w:color="auto" w:fill="auto"/>
            <w:noWrap/>
            <w:vAlign w:val="center"/>
            <w:hideMark/>
          </w:tcPr>
          <w:p w14:paraId="2F1CFA0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23,6</w:t>
            </w:r>
          </w:p>
        </w:tc>
        <w:tc>
          <w:tcPr>
            <w:tcW w:w="373" w:type="pct"/>
            <w:tcBorders>
              <w:top w:val="nil"/>
              <w:left w:val="nil"/>
              <w:bottom w:val="nil"/>
              <w:right w:val="nil"/>
            </w:tcBorders>
            <w:shd w:val="clear" w:color="auto" w:fill="auto"/>
            <w:noWrap/>
            <w:vAlign w:val="center"/>
            <w:hideMark/>
          </w:tcPr>
          <w:p w14:paraId="05B049B8"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23,6</w:t>
            </w:r>
          </w:p>
        </w:tc>
        <w:tc>
          <w:tcPr>
            <w:tcW w:w="373" w:type="pct"/>
            <w:tcBorders>
              <w:top w:val="nil"/>
              <w:left w:val="nil"/>
              <w:bottom w:val="nil"/>
              <w:right w:val="nil"/>
            </w:tcBorders>
            <w:shd w:val="clear" w:color="auto" w:fill="auto"/>
            <w:noWrap/>
            <w:vAlign w:val="center"/>
            <w:hideMark/>
          </w:tcPr>
          <w:p w14:paraId="5708B849"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24,6</w:t>
            </w:r>
          </w:p>
        </w:tc>
        <w:tc>
          <w:tcPr>
            <w:tcW w:w="373" w:type="pct"/>
            <w:tcBorders>
              <w:top w:val="nil"/>
              <w:left w:val="nil"/>
              <w:bottom w:val="nil"/>
              <w:right w:val="nil"/>
            </w:tcBorders>
            <w:shd w:val="clear" w:color="auto" w:fill="auto"/>
            <w:noWrap/>
            <w:vAlign w:val="center"/>
            <w:hideMark/>
          </w:tcPr>
          <w:p w14:paraId="0492BB50"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23,9</w:t>
            </w:r>
          </w:p>
        </w:tc>
        <w:tc>
          <w:tcPr>
            <w:tcW w:w="373" w:type="pct"/>
            <w:tcBorders>
              <w:top w:val="nil"/>
              <w:left w:val="nil"/>
              <w:bottom w:val="nil"/>
              <w:right w:val="nil"/>
            </w:tcBorders>
            <w:shd w:val="clear" w:color="auto" w:fill="auto"/>
            <w:noWrap/>
            <w:vAlign w:val="center"/>
            <w:hideMark/>
          </w:tcPr>
          <w:p w14:paraId="0C28AA08"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26,4</w:t>
            </w:r>
          </w:p>
        </w:tc>
        <w:tc>
          <w:tcPr>
            <w:tcW w:w="373" w:type="pct"/>
            <w:tcBorders>
              <w:top w:val="nil"/>
              <w:left w:val="nil"/>
              <w:bottom w:val="nil"/>
              <w:right w:val="nil"/>
            </w:tcBorders>
            <w:shd w:val="clear" w:color="auto" w:fill="auto"/>
            <w:noWrap/>
            <w:vAlign w:val="center"/>
            <w:hideMark/>
          </w:tcPr>
          <w:p w14:paraId="0F0FB0B4"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27,0</w:t>
            </w:r>
          </w:p>
        </w:tc>
        <w:tc>
          <w:tcPr>
            <w:tcW w:w="368" w:type="pct"/>
            <w:tcBorders>
              <w:top w:val="nil"/>
              <w:left w:val="nil"/>
              <w:bottom w:val="nil"/>
              <w:right w:val="nil"/>
            </w:tcBorders>
            <w:shd w:val="clear" w:color="auto" w:fill="auto"/>
            <w:noWrap/>
            <w:vAlign w:val="center"/>
            <w:hideMark/>
          </w:tcPr>
          <w:p w14:paraId="67FA9AEB" w14:textId="77777777" w:rsidR="003406B6" w:rsidRPr="006A7FED" w:rsidRDefault="003406B6" w:rsidP="00F43C9F">
            <w:pPr>
              <w:spacing w:after="0" w:line="240" w:lineRule="auto"/>
              <w:jc w:val="right"/>
              <w:rPr>
                <w:rFonts w:ascii="Times New Roman" w:eastAsia="Times New Roman" w:hAnsi="Times New Roman" w:cs="Times New Roman"/>
                <w:sz w:val="20"/>
                <w:szCs w:val="20"/>
                <w:lang w:eastAsia="pt-BR"/>
              </w:rPr>
            </w:pPr>
            <w:r w:rsidRPr="006A7FED">
              <w:rPr>
                <w:rFonts w:ascii="Times New Roman" w:eastAsia="Times New Roman" w:hAnsi="Times New Roman" w:cs="Times New Roman"/>
                <w:sz w:val="20"/>
                <w:szCs w:val="20"/>
                <w:lang w:eastAsia="pt-BR"/>
              </w:rPr>
              <w:t>26,6</w:t>
            </w:r>
          </w:p>
        </w:tc>
      </w:tr>
      <w:tr w:rsidR="003406B6" w:rsidRPr="006A7FED" w14:paraId="6147EB07" w14:textId="77777777" w:rsidTr="00F43C9F">
        <w:trPr>
          <w:trHeight w:val="260"/>
        </w:trPr>
        <w:tc>
          <w:tcPr>
            <w:tcW w:w="1278" w:type="pct"/>
            <w:tcBorders>
              <w:top w:val="nil"/>
              <w:left w:val="nil"/>
              <w:bottom w:val="single" w:sz="4" w:space="0" w:color="auto"/>
              <w:right w:val="nil"/>
            </w:tcBorders>
            <w:shd w:val="clear" w:color="auto" w:fill="auto"/>
            <w:noWrap/>
            <w:vAlign w:val="center"/>
            <w:hideMark/>
          </w:tcPr>
          <w:p w14:paraId="2BE4DC06" w14:textId="77777777" w:rsidR="003406B6" w:rsidRPr="006A7FED" w:rsidRDefault="003406B6" w:rsidP="00F43C9F">
            <w:pPr>
              <w:spacing w:after="0" w:line="240" w:lineRule="auto"/>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Total</w:t>
            </w:r>
          </w:p>
        </w:tc>
        <w:tc>
          <w:tcPr>
            <w:tcW w:w="373" w:type="pct"/>
            <w:tcBorders>
              <w:top w:val="nil"/>
              <w:left w:val="nil"/>
              <w:bottom w:val="single" w:sz="4" w:space="0" w:color="auto"/>
              <w:right w:val="nil"/>
            </w:tcBorders>
            <w:shd w:val="clear" w:color="auto" w:fill="auto"/>
            <w:noWrap/>
            <w:vAlign w:val="center"/>
            <w:hideMark/>
          </w:tcPr>
          <w:p w14:paraId="05D996AB"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0775D25A"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4E136AF6"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59FB35E8"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154FFD9E"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38C1654C"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6E57F8B6"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3FED51BB"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73" w:type="pct"/>
            <w:tcBorders>
              <w:top w:val="nil"/>
              <w:left w:val="nil"/>
              <w:bottom w:val="single" w:sz="4" w:space="0" w:color="auto"/>
              <w:right w:val="nil"/>
            </w:tcBorders>
            <w:shd w:val="clear" w:color="auto" w:fill="auto"/>
            <w:noWrap/>
            <w:vAlign w:val="center"/>
            <w:hideMark/>
          </w:tcPr>
          <w:p w14:paraId="0E655744"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c>
          <w:tcPr>
            <w:tcW w:w="368" w:type="pct"/>
            <w:tcBorders>
              <w:top w:val="nil"/>
              <w:left w:val="nil"/>
              <w:bottom w:val="single" w:sz="4" w:space="0" w:color="auto"/>
              <w:right w:val="nil"/>
            </w:tcBorders>
            <w:shd w:val="clear" w:color="auto" w:fill="auto"/>
            <w:noWrap/>
            <w:vAlign w:val="center"/>
            <w:hideMark/>
          </w:tcPr>
          <w:p w14:paraId="60D1877F" w14:textId="77777777" w:rsidR="003406B6" w:rsidRPr="006A7FED" w:rsidRDefault="003406B6" w:rsidP="00F43C9F">
            <w:pPr>
              <w:spacing w:after="0" w:line="240" w:lineRule="auto"/>
              <w:jc w:val="right"/>
              <w:rPr>
                <w:rFonts w:ascii="Times New Roman" w:eastAsia="Times New Roman" w:hAnsi="Times New Roman" w:cs="Times New Roman"/>
                <w:b/>
                <w:bCs/>
                <w:sz w:val="20"/>
                <w:szCs w:val="20"/>
                <w:lang w:eastAsia="pt-BR"/>
              </w:rPr>
            </w:pPr>
            <w:r w:rsidRPr="006A7FED">
              <w:rPr>
                <w:rFonts w:ascii="Times New Roman" w:eastAsia="Times New Roman" w:hAnsi="Times New Roman" w:cs="Times New Roman"/>
                <w:b/>
                <w:bCs/>
                <w:sz w:val="20"/>
                <w:szCs w:val="20"/>
                <w:lang w:eastAsia="pt-BR"/>
              </w:rPr>
              <w:t>100,0</w:t>
            </w:r>
          </w:p>
        </w:tc>
      </w:tr>
    </w:tbl>
    <w:p w14:paraId="1F1047DB" w14:textId="2D837F06" w:rsidR="003406B6" w:rsidRDefault="003406B6" w:rsidP="003406B6">
      <w:pPr>
        <w:spacing w:line="240" w:lineRule="auto"/>
        <w:jc w:val="both"/>
        <w:rPr>
          <w:rFonts w:ascii="Times New Roman" w:hAnsi="Times New Roman" w:cs="Times New Roman"/>
          <w:sz w:val="16"/>
          <w:szCs w:val="16"/>
        </w:rPr>
      </w:pPr>
      <w:r w:rsidRPr="006A7FED">
        <w:rPr>
          <w:rFonts w:ascii="Times New Roman" w:hAnsi="Times New Roman" w:cs="Times New Roman"/>
          <w:sz w:val="16"/>
          <w:szCs w:val="16"/>
        </w:rPr>
        <w:t>Fonte: IBGE- Produto Interno Bruto dos Municípios, ano de referência 2010, 2010-2019.</w:t>
      </w:r>
    </w:p>
    <w:p w14:paraId="28ACDE4D" w14:textId="77777777" w:rsidR="00BC20FF" w:rsidRPr="006A7FED" w:rsidRDefault="00BC20FF" w:rsidP="003406B6">
      <w:pPr>
        <w:spacing w:line="240" w:lineRule="auto"/>
        <w:jc w:val="both"/>
        <w:rPr>
          <w:rFonts w:ascii="Times New Roman" w:hAnsi="Times New Roman" w:cs="Times New Roman"/>
          <w:sz w:val="16"/>
          <w:szCs w:val="16"/>
        </w:rPr>
      </w:pPr>
    </w:p>
    <w:p w14:paraId="5C4F7D34" w14:textId="7B5EF6EC"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Pode-se observar na Tabela 5 que a principal modificação ocorrida entre os anos de 2010 e 2019 foi a perda de participação relativa da Capital Regional A na composição do PIB estadual. </w:t>
      </w:r>
      <w:r w:rsidR="00BC20FF">
        <w:rPr>
          <w:rFonts w:ascii="Times New Roman" w:hAnsi="Times New Roman" w:cs="Times New Roman"/>
          <w:sz w:val="24"/>
          <w:szCs w:val="24"/>
        </w:rPr>
        <w:t>A</w:t>
      </w:r>
      <w:r w:rsidRPr="006A7FED">
        <w:rPr>
          <w:rFonts w:ascii="Times New Roman" w:hAnsi="Times New Roman" w:cs="Times New Roman"/>
          <w:sz w:val="24"/>
          <w:szCs w:val="24"/>
        </w:rPr>
        <w:t xml:space="preserve"> CR-A respondia por metade (50%) do PIB estadual no ano de 2010, passando para 44,1% no ano de 2019. Essa redução de 5,9 pontos percentuais (</w:t>
      </w:r>
      <w:proofErr w:type="spellStart"/>
      <w:r w:rsidRPr="006A7FED">
        <w:rPr>
          <w:rFonts w:ascii="Times New Roman" w:hAnsi="Times New Roman" w:cs="Times New Roman"/>
          <w:sz w:val="24"/>
          <w:szCs w:val="24"/>
        </w:rPr>
        <w:t>p.p</w:t>
      </w:r>
      <w:proofErr w:type="spellEnd"/>
      <w:r w:rsidRPr="006A7FED">
        <w:rPr>
          <w:rFonts w:ascii="Times New Roman" w:hAnsi="Times New Roman" w:cs="Times New Roman"/>
          <w:sz w:val="24"/>
          <w:szCs w:val="24"/>
        </w:rPr>
        <w:t xml:space="preserve">.) </w:t>
      </w:r>
      <w:r w:rsidR="00EC6102">
        <w:rPr>
          <w:rFonts w:ascii="Times New Roman" w:hAnsi="Times New Roman" w:cs="Times New Roman"/>
          <w:sz w:val="24"/>
          <w:szCs w:val="24"/>
        </w:rPr>
        <w:t xml:space="preserve">sobre </w:t>
      </w:r>
      <w:r w:rsidRPr="006A7FED">
        <w:rPr>
          <w:rFonts w:ascii="Times New Roman" w:hAnsi="Times New Roman" w:cs="Times New Roman"/>
          <w:sz w:val="24"/>
          <w:szCs w:val="24"/>
        </w:rPr>
        <w:t xml:space="preserve">o PIB do Piauí ganhou força a partir do ano de 2015, quando a CR-A perdeu 2,1 </w:t>
      </w:r>
      <w:proofErr w:type="spellStart"/>
      <w:r w:rsidRPr="006A7FED">
        <w:rPr>
          <w:rFonts w:ascii="Times New Roman" w:hAnsi="Times New Roman" w:cs="Times New Roman"/>
          <w:sz w:val="24"/>
          <w:szCs w:val="24"/>
        </w:rPr>
        <w:t>p.p</w:t>
      </w:r>
      <w:proofErr w:type="spellEnd"/>
      <w:r w:rsidRPr="006A7FED">
        <w:rPr>
          <w:rFonts w:ascii="Times New Roman" w:hAnsi="Times New Roman" w:cs="Times New Roman"/>
          <w:sz w:val="24"/>
          <w:szCs w:val="24"/>
        </w:rPr>
        <w:t>. em relação a 2014, chegando a recuperar algo em 2016, mas voltando a reduzir nos anos seguintes.</w:t>
      </w:r>
    </w:p>
    <w:p w14:paraId="708324E1" w14:textId="79F7EC3B"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O período coincide, justamente, com a deflagração da crise econômica </w:t>
      </w:r>
      <w:r w:rsidR="00BC6941">
        <w:rPr>
          <w:rFonts w:ascii="Times New Roman" w:hAnsi="Times New Roman" w:cs="Times New Roman"/>
          <w:sz w:val="24"/>
          <w:szCs w:val="24"/>
        </w:rPr>
        <w:t>brasileira</w:t>
      </w:r>
      <w:r w:rsidRPr="006A7FED">
        <w:rPr>
          <w:rFonts w:ascii="Times New Roman" w:hAnsi="Times New Roman" w:cs="Times New Roman"/>
          <w:sz w:val="24"/>
          <w:szCs w:val="24"/>
        </w:rPr>
        <w:t xml:space="preserve">, o que reforça a influência do cenário econômico nacional sobre o PIB estadual. Mas, seus impactos sobre o território piauiense se deram conforme a estrutura econômica herdada. </w:t>
      </w:r>
      <w:r w:rsidR="00BC6941">
        <w:rPr>
          <w:rFonts w:ascii="Times New Roman" w:hAnsi="Times New Roman" w:cs="Times New Roman"/>
          <w:sz w:val="24"/>
          <w:szCs w:val="24"/>
        </w:rPr>
        <w:t xml:space="preserve">Ou seja, </w:t>
      </w:r>
      <w:r w:rsidRPr="006A7FED">
        <w:rPr>
          <w:rFonts w:ascii="Times New Roman" w:hAnsi="Times New Roman" w:cs="Times New Roman"/>
          <w:sz w:val="24"/>
          <w:szCs w:val="24"/>
        </w:rPr>
        <w:t xml:space="preserve">a CR-A </w:t>
      </w:r>
      <w:r w:rsidR="00BC6941">
        <w:rPr>
          <w:rFonts w:ascii="Times New Roman" w:hAnsi="Times New Roman" w:cs="Times New Roman"/>
          <w:sz w:val="24"/>
          <w:szCs w:val="24"/>
        </w:rPr>
        <w:t>foi a única</w:t>
      </w:r>
      <w:r w:rsidRPr="006A7FED">
        <w:rPr>
          <w:rFonts w:ascii="Times New Roman" w:hAnsi="Times New Roman" w:cs="Times New Roman"/>
          <w:sz w:val="24"/>
          <w:szCs w:val="24"/>
        </w:rPr>
        <w:t xml:space="preserve"> a perder participação relativa no total do PIB estadual durante o período investigado. Isso demonstra que a atividade econômica em Teresina esteve muito mais sujeita às oscilações conjunturais que outras partes do território estadual, o que se explica pela natureza do conjunto de atividades que, historicamente, foram se constituindo lá. </w:t>
      </w:r>
    </w:p>
    <w:p w14:paraId="6AA195D7" w14:textId="4F15A7BC" w:rsidR="00BC6941"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Em contrapartida, o ganho relativo no total do PIB verificado pelos CL, no mesmo período, pode ser explicado pelo papel do setor público, cujas atividades estão menos sujeitas às oscilações conjunturais. Com efeito, os CL passaram de 23,2% do PIB estadual em 2010 para 26,6% no ano de 2019. </w:t>
      </w:r>
      <w:r w:rsidR="00BC6941">
        <w:rPr>
          <w:rFonts w:ascii="Times New Roman" w:hAnsi="Times New Roman" w:cs="Times New Roman"/>
          <w:sz w:val="24"/>
          <w:szCs w:val="24"/>
        </w:rPr>
        <w:t>A</w:t>
      </w:r>
      <w:r w:rsidRPr="006A7FED">
        <w:rPr>
          <w:rFonts w:ascii="Times New Roman" w:hAnsi="Times New Roman" w:cs="Times New Roman"/>
          <w:sz w:val="24"/>
          <w:szCs w:val="24"/>
        </w:rPr>
        <w:t xml:space="preserve"> maior estabilidade </w:t>
      </w:r>
      <w:r w:rsidR="00BC6941">
        <w:rPr>
          <w:rFonts w:ascii="Times New Roman" w:hAnsi="Times New Roman" w:cs="Times New Roman"/>
          <w:sz w:val="24"/>
          <w:szCs w:val="24"/>
        </w:rPr>
        <w:t>da APU</w:t>
      </w:r>
      <w:r w:rsidRPr="006A7FED">
        <w:rPr>
          <w:rFonts w:ascii="Times New Roman" w:hAnsi="Times New Roman" w:cs="Times New Roman"/>
          <w:sz w:val="24"/>
          <w:szCs w:val="24"/>
        </w:rPr>
        <w:t xml:space="preserve"> garante um nível de atividade econômica que gera esse efeito estatístico de ganho relativ</w:t>
      </w:r>
      <w:r w:rsidR="005E04F4">
        <w:rPr>
          <w:rFonts w:ascii="Times New Roman" w:hAnsi="Times New Roman" w:cs="Times New Roman"/>
          <w:sz w:val="24"/>
          <w:szCs w:val="24"/>
        </w:rPr>
        <w:t>o</w:t>
      </w:r>
      <w:r w:rsidR="00BC6941">
        <w:rPr>
          <w:rFonts w:ascii="Times New Roman" w:hAnsi="Times New Roman" w:cs="Times New Roman"/>
          <w:sz w:val="24"/>
          <w:szCs w:val="24"/>
        </w:rPr>
        <w:t>, mas que poderá ser afetado pelo chamado “teto dos gastos”, que congela a elevação dos gastos públicos por até 20 anos</w:t>
      </w:r>
      <w:r w:rsidRPr="006A7FED">
        <w:rPr>
          <w:rFonts w:ascii="Times New Roman" w:hAnsi="Times New Roman" w:cs="Times New Roman"/>
          <w:sz w:val="24"/>
          <w:szCs w:val="24"/>
        </w:rPr>
        <w:t xml:space="preserve">. </w:t>
      </w:r>
    </w:p>
    <w:p w14:paraId="6E6033FC" w14:textId="2D90CA3C" w:rsidR="003406B6" w:rsidRPr="006A7FED" w:rsidRDefault="003406B6" w:rsidP="00D234CF">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 xml:space="preserve">Todavia, </w:t>
      </w:r>
      <w:r w:rsidR="00BC6941">
        <w:rPr>
          <w:rFonts w:ascii="Times New Roman" w:hAnsi="Times New Roman" w:cs="Times New Roman"/>
          <w:sz w:val="24"/>
          <w:szCs w:val="24"/>
        </w:rPr>
        <w:t>o desempenho dos CL não t</w:t>
      </w:r>
      <w:r w:rsidR="00F77FB1">
        <w:rPr>
          <w:rFonts w:ascii="Times New Roman" w:hAnsi="Times New Roman" w:cs="Times New Roman"/>
          <w:sz w:val="24"/>
          <w:szCs w:val="24"/>
        </w:rPr>
        <w:t>e</w:t>
      </w:r>
      <w:r w:rsidR="00BC6941">
        <w:rPr>
          <w:rFonts w:ascii="Times New Roman" w:hAnsi="Times New Roman" w:cs="Times New Roman"/>
          <w:sz w:val="24"/>
          <w:szCs w:val="24"/>
        </w:rPr>
        <w:t>m a</w:t>
      </w:r>
      <w:r w:rsidR="00F77FB1">
        <w:rPr>
          <w:rFonts w:ascii="Times New Roman" w:hAnsi="Times New Roman" w:cs="Times New Roman"/>
          <w:sz w:val="24"/>
          <w:szCs w:val="24"/>
        </w:rPr>
        <w:t xml:space="preserve"> APU como</w:t>
      </w:r>
      <w:r w:rsidRPr="006A7FED">
        <w:rPr>
          <w:rFonts w:ascii="Times New Roman" w:hAnsi="Times New Roman" w:cs="Times New Roman"/>
          <w:sz w:val="24"/>
          <w:szCs w:val="24"/>
        </w:rPr>
        <w:t xml:space="preserve"> única explicação. Já vimos que os CL são grandes responsáveis pelo setor Agropecuário, com enorme importância </w:t>
      </w:r>
      <w:r w:rsidR="00BB1DCF">
        <w:rPr>
          <w:rFonts w:ascii="Times New Roman" w:hAnsi="Times New Roman" w:cs="Times New Roman"/>
          <w:sz w:val="24"/>
          <w:szCs w:val="24"/>
        </w:rPr>
        <w:t>para o</w:t>
      </w:r>
      <w:r w:rsidRPr="006A7FED">
        <w:rPr>
          <w:rFonts w:ascii="Times New Roman" w:hAnsi="Times New Roman" w:cs="Times New Roman"/>
          <w:sz w:val="24"/>
          <w:szCs w:val="24"/>
        </w:rPr>
        <w:t xml:space="preserve"> Piauí. Esse setor sofreu menos com a crise econômica nacional, em função da demanda internacional de </w:t>
      </w:r>
      <w:r w:rsidRPr="006A7FED">
        <w:rPr>
          <w:rFonts w:ascii="Times New Roman" w:hAnsi="Times New Roman" w:cs="Times New Roman"/>
          <w:i/>
          <w:iCs/>
          <w:sz w:val="24"/>
          <w:szCs w:val="24"/>
        </w:rPr>
        <w:t>commodities</w:t>
      </w:r>
      <w:r w:rsidRPr="006A7FED">
        <w:rPr>
          <w:rFonts w:ascii="Times New Roman" w:hAnsi="Times New Roman" w:cs="Times New Roman"/>
          <w:sz w:val="24"/>
          <w:szCs w:val="24"/>
        </w:rPr>
        <w:t>, tendo impactos diretos sobre o agronegócio do Estado.</w:t>
      </w:r>
      <w:r w:rsidR="00F77FB1">
        <w:rPr>
          <w:rFonts w:ascii="Times New Roman" w:hAnsi="Times New Roman" w:cs="Times New Roman"/>
          <w:sz w:val="24"/>
          <w:szCs w:val="24"/>
        </w:rPr>
        <w:t xml:space="preserve"> </w:t>
      </w:r>
      <w:r w:rsidRPr="006A7FED">
        <w:rPr>
          <w:rFonts w:ascii="Times New Roman" w:hAnsi="Times New Roman" w:cs="Times New Roman"/>
          <w:sz w:val="24"/>
          <w:szCs w:val="24"/>
        </w:rPr>
        <w:t xml:space="preserve">Esse desempenho se evidencia quando observamos a distribuição espacial do PIB dos municípios do Piauí, para o ano de 2019, segundo os seus Territórios de Desenvolvimento (TD), conforme apresentado na Figura </w:t>
      </w:r>
      <w:r w:rsidR="00F77FB1">
        <w:rPr>
          <w:rFonts w:ascii="Times New Roman" w:hAnsi="Times New Roman" w:cs="Times New Roman"/>
          <w:sz w:val="24"/>
          <w:szCs w:val="24"/>
        </w:rPr>
        <w:t>2</w:t>
      </w:r>
      <w:r w:rsidRPr="006A7FED">
        <w:rPr>
          <w:rFonts w:ascii="Times New Roman" w:hAnsi="Times New Roman" w:cs="Times New Roman"/>
          <w:sz w:val="24"/>
          <w:szCs w:val="24"/>
        </w:rPr>
        <w:t xml:space="preserve">. Podemos observar, por um lado, a maior concentração econômica nos TD onde estão </w:t>
      </w:r>
      <w:r w:rsidRPr="006A7FED">
        <w:rPr>
          <w:rFonts w:ascii="Times New Roman" w:hAnsi="Times New Roman" w:cs="Times New Roman"/>
          <w:sz w:val="24"/>
          <w:szCs w:val="24"/>
        </w:rPr>
        <w:lastRenderedPageBreak/>
        <w:t xml:space="preserve">as principais aglomerações urbanas do Estado, em primeiro lugar, com o TD Entre Rios, e o segundo lugar com o TD Planície Litorânea. </w:t>
      </w:r>
    </w:p>
    <w:p w14:paraId="41260039" w14:textId="77777777" w:rsidR="003406B6" w:rsidRPr="006A7FED" w:rsidRDefault="003406B6" w:rsidP="006A7FED">
      <w:pPr>
        <w:spacing w:after="0" w:line="240" w:lineRule="auto"/>
        <w:ind w:firstLine="709"/>
        <w:jc w:val="center"/>
        <w:rPr>
          <w:rFonts w:ascii="Times New Roman" w:hAnsi="Times New Roman" w:cs="Times New Roman"/>
          <w:b/>
          <w:bCs/>
        </w:rPr>
      </w:pPr>
    </w:p>
    <w:p w14:paraId="69E35B41" w14:textId="364812E4" w:rsidR="003406B6" w:rsidRPr="006A7FED" w:rsidRDefault="003406B6" w:rsidP="006A7FED">
      <w:pPr>
        <w:spacing w:after="0" w:line="240" w:lineRule="auto"/>
        <w:ind w:left="1560" w:right="1558" w:firstLine="709"/>
        <w:jc w:val="center"/>
        <w:rPr>
          <w:rFonts w:ascii="Times New Roman" w:hAnsi="Times New Roman" w:cs="Times New Roman"/>
        </w:rPr>
      </w:pPr>
      <w:r w:rsidRPr="006A7FED">
        <w:rPr>
          <w:rFonts w:ascii="Times New Roman" w:hAnsi="Times New Roman" w:cs="Times New Roman"/>
          <w:b/>
          <w:bCs/>
        </w:rPr>
        <w:t xml:space="preserve">Figura </w:t>
      </w:r>
      <w:r w:rsidR="00F77FB1">
        <w:rPr>
          <w:rFonts w:ascii="Times New Roman" w:hAnsi="Times New Roman" w:cs="Times New Roman"/>
          <w:b/>
          <w:bCs/>
        </w:rPr>
        <w:t>2</w:t>
      </w:r>
      <w:r w:rsidRPr="006A7FED">
        <w:rPr>
          <w:rFonts w:ascii="Times New Roman" w:hAnsi="Times New Roman" w:cs="Times New Roman"/>
        </w:rPr>
        <w:t xml:space="preserve"> - Distribuição espacial do PIB dos municípios no Estado do Piauí, segundo seus Territórios de Desenvolvimento (TD), 2019</w:t>
      </w:r>
    </w:p>
    <w:p w14:paraId="5230B091" w14:textId="77777777" w:rsidR="003406B6" w:rsidRPr="006A7FED" w:rsidRDefault="003406B6" w:rsidP="006A7FED">
      <w:pPr>
        <w:spacing w:after="0" w:line="240" w:lineRule="auto"/>
        <w:ind w:firstLine="709"/>
        <w:jc w:val="center"/>
        <w:rPr>
          <w:rFonts w:ascii="Times New Roman" w:hAnsi="Times New Roman" w:cs="Times New Roman"/>
          <w:sz w:val="24"/>
          <w:szCs w:val="24"/>
        </w:rPr>
      </w:pPr>
      <w:r w:rsidRPr="006A7FED">
        <w:rPr>
          <w:rFonts w:ascii="Times New Roman" w:hAnsi="Times New Roman" w:cs="Times New Roman"/>
          <w:noProof/>
          <w:sz w:val="24"/>
          <w:szCs w:val="24"/>
        </w:rPr>
        <w:drawing>
          <wp:inline distT="0" distB="0" distL="0" distR="0" wp14:anchorId="2245F820" wp14:editId="7C470705">
            <wp:extent cx="2704323" cy="3253777"/>
            <wp:effectExtent l="19050" t="19050" r="20320" b="2286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1298" cy="3286233"/>
                    </a:xfrm>
                    <a:prstGeom prst="rect">
                      <a:avLst/>
                    </a:prstGeom>
                    <a:noFill/>
                    <a:ln>
                      <a:solidFill>
                        <a:schemeClr val="tx1"/>
                      </a:solidFill>
                    </a:ln>
                  </pic:spPr>
                </pic:pic>
              </a:graphicData>
            </a:graphic>
          </wp:inline>
        </w:drawing>
      </w:r>
    </w:p>
    <w:p w14:paraId="02A8EAA3" w14:textId="3175A53C" w:rsidR="0002591D" w:rsidRDefault="003406B6" w:rsidP="003406B6">
      <w:pPr>
        <w:spacing w:line="360" w:lineRule="auto"/>
        <w:jc w:val="center"/>
        <w:rPr>
          <w:rFonts w:ascii="Times New Roman" w:hAnsi="Times New Roman" w:cs="Times New Roman"/>
          <w:sz w:val="16"/>
          <w:szCs w:val="16"/>
        </w:rPr>
      </w:pPr>
      <w:r w:rsidRPr="0002591D">
        <w:rPr>
          <w:rFonts w:ascii="Times New Roman" w:hAnsi="Times New Roman" w:cs="Times New Roman"/>
          <w:sz w:val="16"/>
          <w:szCs w:val="16"/>
        </w:rPr>
        <w:t>Fonte: Extraído de SEPLAN (2022b, p. 7).</w:t>
      </w:r>
    </w:p>
    <w:p w14:paraId="13872696" w14:textId="77777777" w:rsidR="00F77FB1" w:rsidRDefault="00F77FB1" w:rsidP="00F77FB1">
      <w:pPr>
        <w:spacing w:after="0" w:line="360" w:lineRule="auto"/>
        <w:ind w:firstLine="709"/>
        <w:jc w:val="both"/>
        <w:rPr>
          <w:rFonts w:ascii="Times New Roman" w:hAnsi="Times New Roman" w:cs="Times New Roman"/>
          <w:sz w:val="24"/>
          <w:szCs w:val="24"/>
        </w:rPr>
      </w:pPr>
      <w:r w:rsidRPr="006A7FED">
        <w:rPr>
          <w:rFonts w:ascii="Times New Roman" w:hAnsi="Times New Roman" w:cs="Times New Roman"/>
          <w:sz w:val="24"/>
          <w:szCs w:val="24"/>
        </w:rPr>
        <w:t>Por outro lado, segue-se a maior participação relativa dos TD onde a atividade agropecuária tem grande relevância. Temos os TD Tabuleiros do Alto Parnaíba e o TD Chapada das Mangueiras com o 3º e 5º lugares, respectivamente, no PIB estadual do ano de 2019, que são as áreas onde mais cresce a produção de grãos para exportação do Estado. No 4º lugar, estava o TD Cocais, localizado entre os TD Entre Rios e Planície Litorânea, formando uma enorme área de importância econômica ao norte do Estado do Piauí.</w:t>
      </w:r>
    </w:p>
    <w:p w14:paraId="0B32FE0F" w14:textId="77777777" w:rsidR="003A667B" w:rsidRPr="006A7FED" w:rsidRDefault="003A667B" w:rsidP="00F77FB1">
      <w:pPr>
        <w:spacing w:after="0" w:line="360" w:lineRule="auto"/>
        <w:ind w:firstLine="709"/>
        <w:jc w:val="both"/>
        <w:rPr>
          <w:rFonts w:ascii="Times New Roman" w:hAnsi="Times New Roman" w:cs="Times New Roman"/>
          <w:sz w:val="24"/>
          <w:szCs w:val="24"/>
        </w:rPr>
      </w:pPr>
    </w:p>
    <w:p w14:paraId="28BD45B2" w14:textId="6FC731C6" w:rsidR="0002591D" w:rsidRDefault="00544A41" w:rsidP="003A667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5 CONCLUSÃO</w:t>
      </w:r>
    </w:p>
    <w:p w14:paraId="66D6C654" w14:textId="5B14A56A" w:rsidR="00D9774B" w:rsidRDefault="00B5246B" w:rsidP="00BA35A5">
      <w:pPr>
        <w:pStyle w:val="PargrafodaLista"/>
        <w:spacing w:after="0" w:line="36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 o</w:t>
      </w:r>
      <w:r w:rsidRPr="00B5246B">
        <w:rPr>
          <w:rFonts w:ascii="Times New Roman" w:hAnsi="Times New Roman" w:cs="Times New Roman"/>
          <w:color w:val="000000" w:themeColor="text1"/>
          <w:sz w:val="24"/>
          <w:szCs w:val="24"/>
        </w:rPr>
        <w:t xml:space="preserve"> objetivo </w:t>
      </w:r>
      <w:r>
        <w:rPr>
          <w:rFonts w:ascii="Times New Roman" w:hAnsi="Times New Roman" w:cs="Times New Roman"/>
          <w:color w:val="000000" w:themeColor="text1"/>
          <w:sz w:val="24"/>
          <w:szCs w:val="24"/>
        </w:rPr>
        <w:t>de</w:t>
      </w:r>
      <w:r w:rsidRPr="00B5246B">
        <w:rPr>
          <w:rFonts w:ascii="Times New Roman" w:hAnsi="Times New Roman" w:cs="Times New Roman"/>
          <w:color w:val="000000" w:themeColor="text1"/>
          <w:sz w:val="24"/>
          <w:szCs w:val="24"/>
        </w:rPr>
        <w:t xml:space="preserve"> discutir a dinâmica urbano-regional recente do Estado do Piauí, </w:t>
      </w:r>
      <w:r w:rsidR="00BA76CB">
        <w:rPr>
          <w:rFonts w:ascii="Times New Roman" w:hAnsi="Times New Roman" w:cs="Times New Roman"/>
          <w:color w:val="000000" w:themeColor="text1"/>
          <w:sz w:val="24"/>
          <w:szCs w:val="24"/>
        </w:rPr>
        <w:t xml:space="preserve">este texto buscou caracterizar </w:t>
      </w:r>
      <w:r w:rsidR="00A40FDD">
        <w:rPr>
          <w:rFonts w:ascii="Times New Roman" w:hAnsi="Times New Roman" w:cs="Times New Roman"/>
          <w:color w:val="000000" w:themeColor="text1"/>
          <w:sz w:val="24"/>
          <w:szCs w:val="24"/>
        </w:rPr>
        <w:t xml:space="preserve">a configuração atual </w:t>
      </w:r>
      <w:r w:rsidRPr="00B5246B">
        <w:rPr>
          <w:rFonts w:ascii="Times New Roman" w:hAnsi="Times New Roman" w:cs="Times New Roman"/>
          <w:color w:val="000000" w:themeColor="text1"/>
          <w:sz w:val="24"/>
          <w:szCs w:val="24"/>
        </w:rPr>
        <w:t xml:space="preserve">de suas redes de cidades. </w:t>
      </w:r>
      <w:r w:rsidR="00A40FDD">
        <w:rPr>
          <w:rFonts w:ascii="Times New Roman" w:hAnsi="Times New Roman" w:cs="Times New Roman"/>
          <w:color w:val="000000" w:themeColor="text1"/>
          <w:sz w:val="24"/>
          <w:szCs w:val="24"/>
        </w:rPr>
        <w:t>Para tanto, considerou</w:t>
      </w:r>
      <w:r w:rsidRPr="00B5246B">
        <w:rPr>
          <w:rFonts w:ascii="Times New Roman" w:hAnsi="Times New Roman" w:cs="Times New Roman"/>
          <w:color w:val="000000" w:themeColor="text1"/>
          <w:sz w:val="24"/>
          <w:szCs w:val="24"/>
        </w:rPr>
        <w:t xml:space="preserve"> </w:t>
      </w:r>
      <w:r w:rsidR="00A40FDD">
        <w:rPr>
          <w:rFonts w:ascii="Times New Roman" w:hAnsi="Times New Roman" w:cs="Times New Roman"/>
          <w:color w:val="000000" w:themeColor="text1"/>
          <w:sz w:val="24"/>
          <w:szCs w:val="24"/>
        </w:rPr>
        <w:t>a composição</w:t>
      </w:r>
      <w:r w:rsidRPr="00B5246B">
        <w:rPr>
          <w:rFonts w:ascii="Times New Roman" w:hAnsi="Times New Roman" w:cs="Times New Roman"/>
          <w:color w:val="000000" w:themeColor="text1"/>
          <w:sz w:val="24"/>
          <w:szCs w:val="24"/>
        </w:rPr>
        <w:t xml:space="preserve"> da região de influência de Teresina (RIT)</w:t>
      </w:r>
      <w:r w:rsidR="009702FA">
        <w:rPr>
          <w:rFonts w:ascii="Times New Roman" w:hAnsi="Times New Roman" w:cs="Times New Roman"/>
          <w:color w:val="000000" w:themeColor="text1"/>
          <w:sz w:val="24"/>
          <w:szCs w:val="24"/>
        </w:rPr>
        <w:t xml:space="preserve">, cuja extensão e níveis de hierarquia </w:t>
      </w:r>
      <w:r w:rsidR="009702FA">
        <w:rPr>
          <w:rFonts w:ascii="Times New Roman" w:hAnsi="Times New Roman" w:cs="Times New Roman"/>
          <w:color w:val="000000" w:themeColor="text1"/>
          <w:sz w:val="24"/>
          <w:szCs w:val="24"/>
        </w:rPr>
        <w:lastRenderedPageBreak/>
        <w:t xml:space="preserve">das cidades foi dada pela </w:t>
      </w:r>
      <w:r w:rsidRPr="00B5246B">
        <w:rPr>
          <w:rFonts w:ascii="Times New Roman" w:hAnsi="Times New Roman" w:cs="Times New Roman"/>
          <w:color w:val="000000" w:themeColor="text1"/>
          <w:sz w:val="24"/>
          <w:szCs w:val="24"/>
        </w:rPr>
        <w:t>REGIC-2018</w:t>
      </w:r>
      <w:r w:rsidR="009702FA">
        <w:rPr>
          <w:rFonts w:ascii="Times New Roman" w:hAnsi="Times New Roman" w:cs="Times New Roman"/>
          <w:color w:val="000000" w:themeColor="text1"/>
          <w:sz w:val="24"/>
          <w:szCs w:val="24"/>
        </w:rPr>
        <w:t xml:space="preserve"> (IBGE, </w:t>
      </w:r>
      <w:r w:rsidRPr="00B5246B">
        <w:rPr>
          <w:rFonts w:ascii="Times New Roman" w:hAnsi="Times New Roman" w:cs="Times New Roman"/>
          <w:color w:val="000000" w:themeColor="text1"/>
          <w:sz w:val="24"/>
          <w:szCs w:val="24"/>
        </w:rPr>
        <w:t xml:space="preserve">2020). </w:t>
      </w:r>
      <w:r w:rsidR="00D9774B">
        <w:rPr>
          <w:rFonts w:ascii="Times New Roman" w:hAnsi="Times New Roman" w:cs="Times New Roman"/>
          <w:color w:val="000000" w:themeColor="text1"/>
          <w:sz w:val="24"/>
          <w:szCs w:val="24"/>
        </w:rPr>
        <w:t>Nesse sentido, levou-se em consideração a forma como as cidades do Estado estão funcionalmente articuladas</w:t>
      </w:r>
      <w:r w:rsidR="000B4DB7">
        <w:rPr>
          <w:rFonts w:ascii="Times New Roman" w:hAnsi="Times New Roman" w:cs="Times New Roman"/>
          <w:color w:val="000000" w:themeColor="text1"/>
          <w:sz w:val="24"/>
          <w:szCs w:val="24"/>
        </w:rPr>
        <w:t xml:space="preserve"> e os níveis de hierarquia urbano-regional existente entre elas. Esses elementos consubstanciariam a maneira pela qual se manifestam</w:t>
      </w:r>
      <w:r w:rsidR="00FE22F5">
        <w:rPr>
          <w:rFonts w:ascii="Times New Roman" w:hAnsi="Times New Roman" w:cs="Times New Roman"/>
          <w:color w:val="000000" w:themeColor="text1"/>
          <w:sz w:val="24"/>
          <w:szCs w:val="24"/>
        </w:rPr>
        <w:t xml:space="preserve"> as características econômico-espaciais do Piauí.</w:t>
      </w:r>
    </w:p>
    <w:p w14:paraId="6FF1AF68" w14:textId="4604BF6A" w:rsidR="00544A41" w:rsidRDefault="00FE22F5" w:rsidP="00BA35A5">
      <w:pPr>
        <w:pStyle w:val="PargrafodaLista"/>
        <w:spacing w:after="0" w:line="36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 texto</w:t>
      </w:r>
      <w:r w:rsidR="00544A41" w:rsidRPr="0001165E">
        <w:rPr>
          <w:rFonts w:ascii="Times New Roman" w:hAnsi="Times New Roman" w:cs="Times New Roman"/>
          <w:color w:val="000000" w:themeColor="text1"/>
          <w:sz w:val="24"/>
          <w:szCs w:val="24"/>
        </w:rPr>
        <w:t xml:space="preserve"> demonstrou os níveis hierárquicos do conjunto de cidades </w:t>
      </w:r>
      <w:r>
        <w:rPr>
          <w:rFonts w:ascii="Times New Roman" w:hAnsi="Times New Roman" w:cs="Times New Roman"/>
          <w:color w:val="000000" w:themeColor="text1"/>
          <w:sz w:val="24"/>
          <w:szCs w:val="24"/>
        </w:rPr>
        <w:t>piauienses</w:t>
      </w:r>
      <w:r w:rsidR="00544A41" w:rsidRPr="0001165E">
        <w:rPr>
          <w:rFonts w:ascii="Times New Roman" w:hAnsi="Times New Roman" w:cs="Times New Roman"/>
          <w:color w:val="000000" w:themeColor="text1"/>
          <w:sz w:val="24"/>
          <w:szCs w:val="24"/>
        </w:rPr>
        <w:t xml:space="preserve">, </w:t>
      </w:r>
      <w:r w:rsidR="00426761">
        <w:rPr>
          <w:rFonts w:ascii="Times New Roman" w:hAnsi="Times New Roman" w:cs="Times New Roman"/>
          <w:color w:val="000000" w:themeColor="text1"/>
          <w:sz w:val="24"/>
          <w:szCs w:val="24"/>
        </w:rPr>
        <w:t>avaliando sua evolução em relação ao</w:t>
      </w:r>
      <w:r w:rsidR="00544A41" w:rsidRPr="0001165E">
        <w:rPr>
          <w:rFonts w:ascii="Times New Roman" w:hAnsi="Times New Roman" w:cs="Times New Roman"/>
          <w:color w:val="000000" w:themeColor="text1"/>
          <w:sz w:val="24"/>
          <w:szCs w:val="24"/>
        </w:rPr>
        <w:t xml:space="preserve"> levantamento </w:t>
      </w:r>
      <w:r w:rsidR="00426761">
        <w:rPr>
          <w:rFonts w:ascii="Times New Roman" w:hAnsi="Times New Roman" w:cs="Times New Roman"/>
          <w:color w:val="000000" w:themeColor="text1"/>
          <w:sz w:val="24"/>
          <w:szCs w:val="24"/>
        </w:rPr>
        <w:t>que o IBGE (</w:t>
      </w:r>
      <w:r w:rsidR="00544A41" w:rsidRPr="0001165E">
        <w:rPr>
          <w:rFonts w:ascii="Times New Roman" w:hAnsi="Times New Roman" w:cs="Times New Roman"/>
          <w:color w:val="000000" w:themeColor="text1"/>
          <w:sz w:val="24"/>
          <w:szCs w:val="24"/>
        </w:rPr>
        <w:t>2008)</w:t>
      </w:r>
      <w:r w:rsidR="00426761">
        <w:rPr>
          <w:rFonts w:ascii="Times New Roman" w:hAnsi="Times New Roman" w:cs="Times New Roman"/>
          <w:color w:val="000000" w:themeColor="text1"/>
          <w:sz w:val="24"/>
          <w:szCs w:val="24"/>
        </w:rPr>
        <w:t xml:space="preserve"> havia feito anteriormente</w:t>
      </w:r>
      <w:r w:rsidR="00544A41" w:rsidRPr="0001165E">
        <w:rPr>
          <w:rFonts w:ascii="Times New Roman" w:hAnsi="Times New Roman" w:cs="Times New Roman"/>
          <w:color w:val="000000" w:themeColor="text1"/>
          <w:sz w:val="24"/>
          <w:szCs w:val="24"/>
        </w:rPr>
        <w:t>. Essa hierarquia urbano-regional é estabelecida com base na capacidade que as cidades têm de exercerem gestão do território – ou melhor, que a gestão seja exercida a partir delas –, bem como pelas principais funções que as cidades desempenham. Assim, a classificação das cidades oriunda dessa hierarquização torna-se útil para sistematizar como elas estão distribuídas pelo Piauí, refletindo a forma como sua rede urbana está estruturada.</w:t>
      </w:r>
    </w:p>
    <w:p w14:paraId="1E3C7E0D" w14:textId="6E2C8F7B" w:rsidR="00BC5EFE" w:rsidRDefault="00E17498" w:rsidP="00BA35A5">
      <w:pPr>
        <w:pStyle w:val="PargrafodaLista"/>
        <w:spacing w:after="0" w:line="36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Para </w:t>
      </w:r>
      <w:r w:rsidR="00567B75">
        <w:rPr>
          <w:rFonts w:ascii="Times New Roman" w:hAnsi="Times New Roman" w:cs="Times New Roman"/>
          <w:color w:val="000000" w:themeColor="text1"/>
          <w:sz w:val="24"/>
          <w:szCs w:val="24"/>
        </w:rPr>
        <w:t xml:space="preserve">discutirmos </w:t>
      </w:r>
      <w:r>
        <w:rPr>
          <w:rFonts w:ascii="Times New Roman" w:hAnsi="Times New Roman" w:cs="Times New Roman"/>
          <w:color w:val="000000" w:themeColor="text1"/>
          <w:sz w:val="24"/>
          <w:szCs w:val="24"/>
        </w:rPr>
        <w:t>a dinâmica urbano-regional no Piauí</w:t>
      </w:r>
      <w:r w:rsidR="00567B75">
        <w:rPr>
          <w:rFonts w:ascii="Times New Roman" w:hAnsi="Times New Roman" w:cs="Times New Roman"/>
          <w:color w:val="000000" w:themeColor="text1"/>
          <w:sz w:val="24"/>
          <w:szCs w:val="24"/>
        </w:rPr>
        <w:t>, passamos a avaliar aspectos de sua dinâmica sociodemográfica e socioeconômica</w:t>
      </w:r>
      <w:r w:rsidR="00216336">
        <w:rPr>
          <w:rFonts w:ascii="Times New Roman" w:hAnsi="Times New Roman" w:cs="Times New Roman"/>
          <w:color w:val="000000" w:themeColor="text1"/>
          <w:sz w:val="24"/>
          <w:szCs w:val="24"/>
        </w:rPr>
        <w:t>, com base na sua distribuição segundo os diferentes níveis de hierarquia pelo território.</w:t>
      </w:r>
      <w:r w:rsidR="00415846">
        <w:rPr>
          <w:rFonts w:ascii="Times New Roman" w:hAnsi="Times New Roman" w:cs="Times New Roman"/>
          <w:color w:val="000000" w:themeColor="text1"/>
          <w:sz w:val="24"/>
          <w:szCs w:val="24"/>
        </w:rPr>
        <w:t xml:space="preserve"> Nossa investigação revelou</w:t>
      </w:r>
      <w:r w:rsidR="00BC5EFE">
        <w:rPr>
          <w:rFonts w:ascii="Times New Roman" w:hAnsi="Times New Roman" w:cs="Times New Roman"/>
          <w:color w:val="000000" w:themeColor="text1"/>
          <w:sz w:val="24"/>
          <w:szCs w:val="24"/>
        </w:rPr>
        <w:t xml:space="preserve"> um padrão caracterizado ao mesmo tempo por um caráter concentrado e disperso da dinâmica urbano-regional. A rede de cidades do Estado é capitaneada pelo AP de Teresina/PI</w:t>
      </w:r>
      <w:r w:rsidR="00BC5854">
        <w:rPr>
          <w:rFonts w:ascii="Times New Roman" w:hAnsi="Times New Roman" w:cs="Times New Roman"/>
          <w:color w:val="000000" w:themeColor="text1"/>
          <w:sz w:val="24"/>
          <w:szCs w:val="24"/>
        </w:rPr>
        <w:t>, mas está integrada à rede de cidades comandas pela metrópole de Fortaleza, CE.</w:t>
      </w:r>
    </w:p>
    <w:p w14:paraId="3E895932" w14:textId="2F54BF29" w:rsidR="00BC5854" w:rsidRDefault="00BC5854" w:rsidP="00BA35A5">
      <w:pPr>
        <w:pStyle w:val="PargrafodaLista"/>
        <w:spacing w:after="0" w:line="36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Embora a capital estadual,</w:t>
      </w:r>
      <w:r w:rsidR="003F6414">
        <w:rPr>
          <w:rFonts w:ascii="Times New Roman" w:hAnsi="Times New Roman" w:cs="Times New Roman"/>
          <w:color w:val="000000" w:themeColor="text1"/>
          <w:sz w:val="24"/>
          <w:szCs w:val="24"/>
        </w:rPr>
        <w:t xml:space="preserve"> na REGIC-2018 definida como Capital Regional A, concentre a maior parte dos fluxos socioeconômicos do Estado, verificou-se a relevância do segundo nível hierárquico de cidades</w:t>
      </w:r>
      <w:r w:rsidR="00A61614">
        <w:rPr>
          <w:rFonts w:ascii="Times New Roman" w:hAnsi="Times New Roman" w:cs="Times New Roman"/>
          <w:color w:val="000000" w:themeColor="text1"/>
          <w:sz w:val="24"/>
          <w:szCs w:val="24"/>
        </w:rPr>
        <w:t>, os Centros Sub-regionais A de Parnaíba, Floriano e Picos, cujas influências se manifestam em seus respectivos espaços sub-regionais.</w:t>
      </w:r>
      <w:r w:rsidR="0061122A">
        <w:rPr>
          <w:rFonts w:ascii="Times New Roman" w:hAnsi="Times New Roman" w:cs="Times New Roman"/>
          <w:color w:val="000000" w:themeColor="text1"/>
          <w:sz w:val="24"/>
          <w:szCs w:val="24"/>
        </w:rPr>
        <w:t xml:space="preserve"> Em conjunto com Teresina, </w:t>
      </w:r>
      <w:r w:rsidR="00351694">
        <w:rPr>
          <w:rFonts w:ascii="Times New Roman" w:hAnsi="Times New Roman" w:cs="Times New Roman"/>
          <w:color w:val="000000" w:themeColor="text1"/>
          <w:sz w:val="24"/>
          <w:szCs w:val="24"/>
        </w:rPr>
        <w:t>essas</w:t>
      </w:r>
      <w:r w:rsidR="0061122A">
        <w:rPr>
          <w:rFonts w:ascii="Times New Roman" w:hAnsi="Times New Roman" w:cs="Times New Roman"/>
          <w:color w:val="000000" w:themeColor="text1"/>
          <w:sz w:val="24"/>
          <w:szCs w:val="24"/>
        </w:rPr>
        <w:t xml:space="preserve"> cidades formaria o primeiro escalão da rede urbana do Estado, com influência sobre a quase totalidade daquele território</w:t>
      </w:r>
      <w:r w:rsidR="0060315E">
        <w:rPr>
          <w:rFonts w:ascii="Times New Roman" w:hAnsi="Times New Roman" w:cs="Times New Roman"/>
          <w:color w:val="000000" w:themeColor="text1"/>
          <w:sz w:val="24"/>
          <w:szCs w:val="24"/>
        </w:rPr>
        <w:t xml:space="preserve"> e maiores expressões demográfica e econômica.</w:t>
      </w:r>
    </w:p>
    <w:p w14:paraId="5CE086C8" w14:textId="145225C8" w:rsidR="0060315E" w:rsidRDefault="0060315E" w:rsidP="00BA35A5">
      <w:pPr>
        <w:pStyle w:val="PargrafodaLista"/>
        <w:spacing w:after="0" w:line="360"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Os Centros Sub-regionais B do Piauí parecem</w:t>
      </w:r>
      <w:r w:rsidR="00FB7389">
        <w:rPr>
          <w:rFonts w:ascii="Times New Roman" w:hAnsi="Times New Roman" w:cs="Times New Roman"/>
          <w:color w:val="000000" w:themeColor="text1"/>
          <w:sz w:val="24"/>
          <w:szCs w:val="24"/>
        </w:rPr>
        <w:t xml:space="preserve"> desempenhar um papel subsidiário na estruturação do espaço socioeconômico piauiense</w:t>
      </w:r>
      <w:r w:rsidR="00A93F7A">
        <w:rPr>
          <w:rFonts w:ascii="Times New Roman" w:hAnsi="Times New Roman" w:cs="Times New Roman"/>
          <w:color w:val="000000" w:themeColor="text1"/>
          <w:sz w:val="24"/>
          <w:szCs w:val="24"/>
        </w:rPr>
        <w:t>, atuando como centros intermediários, cuja maior dispersão</w:t>
      </w:r>
      <w:r w:rsidR="00D876AB">
        <w:rPr>
          <w:rFonts w:ascii="Times New Roman" w:hAnsi="Times New Roman" w:cs="Times New Roman"/>
          <w:color w:val="000000" w:themeColor="text1"/>
          <w:sz w:val="24"/>
          <w:szCs w:val="24"/>
        </w:rPr>
        <w:t xml:space="preserve"> pelo território conformam o que seria o segundo escalão desse sistema urbano. Por fim, os Centros de Zona e Centros Locais conformam o caráter disperso</w:t>
      </w:r>
      <w:r w:rsidR="00432FFC">
        <w:rPr>
          <w:rFonts w:ascii="Times New Roman" w:hAnsi="Times New Roman" w:cs="Times New Roman"/>
          <w:color w:val="000000" w:themeColor="text1"/>
          <w:sz w:val="24"/>
          <w:szCs w:val="24"/>
        </w:rPr>
        <w:t xml:space="preserve"> da dinâmica urbano-regional do Piauí, porém de relativa importância socioeconômica. É nesses dois grupos que se concentra mais de 90% da produção agropecuária do Estado</w:t>
      </w:r>
      <w:r w:rsidR="00A524AD">
        <w:rPr>
          <w:rFonts w:ascii="Times New Roman" w:hAnsi="Times New Roman" w:cs="Times New Roman"/>
          <w:color w:val="000000" w:themeColor="text1"/>
          <w:sz w:val="24"/>
          <w:szCs w:val="24"/>
        </w:rPr>
        <w:t xml:space="preserve">, fator que coaduna com sua </w:t>
      </w:r>
      <w:r w:rsidR="00A524AD">
        <w:rPr>
          <w:rFonts w:ascii="Times New Roman" w:hAnsi="Times New Roman" w:cs="Times New Roman"/>
          <w:color w:val="000000" w:themeColor="text1"/>
          <w:sz w:val="24"/>
          <w:szCs w:val="24"/>
        </w:rPr>
        <w:lastRenderedPageBreak/>
        <w:t>elevada participação da população vivendo na zona rural</w:t>
      </w:r>
      <w:r w:rsidR="00750011">
        <w:rPr>
          <w:rFonts w:ascii="Times New Roman" w:hAnsi="Times New Roman" w:cs="Times New Roman"/>
          <w:color w:val="000000" w:themeColor="text1"/>
          <w:sz w:val="24"/>
          <w:szCs w:val="24"/>
        </w:rPr>
        <w:t>, alta dependência das atividades desempenhadas pelo setor público e menores níveis de atividade econômica.</w:t>
      </w:r>
    </w:p>
    <w:p w14:paraId="384B60F1" w14:textId="77777777" w:rsidR="00F77FB1" w:rsidRDefault="00F77FB1" w:rsidP="00DF36B7">
      <w:pPr>
        <w:spacing w:after="0" w:line="240" w:lineRule="auto"/>
        <w:jc w:val="both"/>
        <w:rPr>
          <w:rFonts w:ascii="Times New Roman" w:hAnsi="Times New Roman" w:cs="Times New Roman"/>
          <w:b/>
          <w:bCs/>
          <w:sz w:val="24"/>
          <w:szCs w:val="24"/>
        </w:rPr>
      </w:pPr>
    </w:p>
    <w:p w14:paraId="0DDABA3F" w14:textId="060992A4" w:rsidR="00DF36B7" w:rsidRDefault="00DF36B7" w:rsidP="00DF36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08F4CCA9" w14:textId="77777777" w:rsidR="0002591D" w:rsidRDefault="0002591D" w:rsidP="006A7FED">
      <w:pPr>
        <w:pStyle w:val="paragraph"/>
        <w:spacing w:before="0" w:beforeAutospacing="0" w:after="0" w:afterAutospacing="0"/>
        <w:textAlignment w:val="baseline"/>
        <w:rPr>
          <w:rStyle w:val="normaltextrun"/>
          <w:color w:val="000000"/>
        </w:rPr>
      </w:pPr>
    </w:p>
    <w:p w14:paraId="19FC0CE0" w14:textId="77777777" w:rsidR="00A055E3" w:rsidRDefault="00A055E3" w:rsidP="00A055E3">
      <w:pPr>
        <w:pStyle w:val="paragraph"/>
        <w:spacing w:before="0" w:beforeAutospacing="0" w:after="0" w:afterAutospacing="0"/>
        <w:textAlignment w:val="baseline"/>
        <w:rPr>
          <w:rStyle w:val="normaltextrun"/>
          <w:color w:val="000000"/>
        </w:rPr>
      </w:pPr>
      <w:r w:rsidRPr="0025098E">
        <w:rPr>
          <w:rStyle w:val="normaltextrun"/>
          <w:color w:val="000000"/>
        </w:rPr>
        <w:t xml:space="preserve">BRAGA, </w:t>
      </w:r>
      <w:r>
        <w:rPr>
          <w:rStyle w:val="normaltextrun"/>
          <w:color w:val="000000"/>
        </w:rPr>
        <w:t>J. C.</w:t>
      </w:r>
      <w:r w:rsidRPr="0025098E">
        <w:rPr>
          <w:rStyle w:val="normaltextrun"/>
          <w:color w:val="000000"/>
        </w:rPr>
        <w:t xml:space="preserve"> et al. Por uma Economia Política da Financeirização: teoria e evidências. In: PALLUDETTO, A. W.; OLIVEIRA, G. C.; DEOS, S. (org.). </w:t>
      </w:r>
      <w:r w:rsidRPr="0025098E">
        <w:rPr>
          <w:rStyle w:val="normaltextrun"/>
          <w:b/>
          <w:bCs/>
          <w:color w:val="000000"/>
        </w:rPr>
        <w:t>Economia política do novo (a)normal do capitalismo</w:t>
      </w:r>
      <w:r w:rsidRPr="0025098E">
        <w:rPr>
          <w:rStyle w:val="normaltextrun"/>
          <w:color w:val="000000"/>
        </w:rPr>
        <w:t>: pandemia, incertezas e novos paradigmas. Curitiba, PR, CRV / Campinas, SP, IE/Unicamp, 2021.</w:t>
      </w:r>
    </w:p>
    <w:p w14:paraId="461C2581" w14:textId="77777777" w:rsidR="00A055E3" w:rsidRDefault="00A055E3" w:rsidP="006A7FED">
      <w:pPr>
        <w:pStyle w:val="paragraph"/>
        <w:spacing w:before="0" w:beforeAutospacing="0" w:after="0" w:afterAutospacing="0"/>
        <w:textAlignment w:val="baseline"/>
        <w:rPr>
          <w:rStyle w:val="normaltextrun"/>
          <w:color w:val="000000"/>
        </w:rPr>
      </w:pPr>
    </w:p>
    <w:p w14:paraId="7AEA377C" w14:textId="0847D0A6" w:rsidR="006A39E5" w:rsidRDefault="006A39E5" w:rsidP="006A7FED">
      <w:pPr>
        <w:pStyle w:val="paragraph"/>
        <w:spacing w:before="0" w:beforeAutospacing="0" w:after="0" w:afterAutospacing="0"/>
        <w:textAlignment w:val="baseline"/>
        <w:rPr>
          <w:rStyle w:val="normaltextrun"/>
          <w:color w:val="000000"/>
        </w:rPr>
      </w:pPr>
      <w:r>
        <w:rPr>
          <w:rStyle w:val="normaltextrun"/>
          <w:color w:val="000000"/>
        </w:rPr>
        <w:t xml:space="preserve">BRANDÃO, C. A. </w:t>
      </w:r>
      <w:r w:rsidRPr="006A39E5">
        <w:rPr>
          <w:rStyle w:val="normaltextrun"/>
          <w:color w:val="000000"/>
        </w:rPr>
        <w:t xml:space="preserve">Notas sobre a dimensão urbano-regional do desenvolvimento capitalista no Brasil. In: </w:t>
      </w:r>
      <w:r w:rsidRPr="006A39E5">
        <w:rPr>
          <w:rStyle w:val="normaltextrun"/>
          <w:b/>
          <w:bCs/>
          <w:color w:val="000000"/>
        </w:rPr>
        <w:t>Desenvolvimento Regional</w:t>
      </w:r>
      <w:r w:rsidRPr="006A39E5">
        <w:rPr>
          <w:rStyle w:val="normaltextrun"/>
          <w:color w:val="000000"/>
        </w:rPr>
        <w:t>: Análises do Nordeste e da Bahia. Salvador, v. 3, n. 30, p. 37-52, Superintendência de Estudos Econômicos e Sociais da Bahia (SEI), 2006.</w:t>
      </w:r>
    </w:p>
    <w:p w14:paraId="32A0F39E" w14:textId="77777777" w:rsidR="0025098E" w:rsidRDefault="0025098E" w:rsidP="006A7FED">
      <w:pPr>
        <w:pStyle w:val="paragraph"/>
        <w:spacing w:before="0" w:beforeAutospacing="0" w:after="0" w:afterAutospacing="0"/>
        <w:textAlignment w:val="baseline"/>
        <w:rPr>
          <w:rStyle w:val="normaltextrun"/>
          <w:color w:val="000000"/>
        </w:rPr>
      </w:pPr>
    </w:p>
    <w:p w14:paraId="0DC3F7A3" w14:textId="22D3CCEC" w:rsidR="005F3E40" w:rsidRDefault="005F3E40" w:rsidP="006A7FED">
      <w:pPr>
        <w:pStyle w:val="paragraph"/>
        <w:spacing w:before="0" w:beforeAutospacing="0" w:after="0" w:afterAutospacing="0"/>
        <w:textAlignment w:val="baseline"/>
        <w:rPr>
          <w:rStyle w:val="normaltextrun"/>
          <w:color w:val="000000"/>
        </w:rPr>
      </w:pPr>
      <w:r w:rsidRPr="005F3E40">
        <w:rPr>
          <w:rStyle w:val="normaltextrun"/>
          <w:color w:val="000000"/>
        </w:rPr>
        <w:t>BRITO, F</w:t>
      </w:r>
      <w:r w:rsidR="00576031">
        <w:rPr>
          <w:rStyle w:val="normaltextrun"/>
          <w:color w:val="000000"/>
        </w:rPr>
        <w:t>.</w:t>
      </w:r>
      <w:r w:rsidRPr="005F3E40">
        <w:rPr>
          <w:rStyle w:val="normaltextrun"/>
          <w:color w:val="000000"/>
        </w:rPr>
        <w:t>; PINHO, B</w:t>
      </w:r>
      <w:r w:rsidR="00576031">
        <w:rPr>
          <w:rStyle w:val="normaltextrun"/>
          <w:color w:val="000000"/>
        </w:rPr>
        <w:t xml:space="preserve">. </w:t>
      </w:r>
      <w:r w:rsidRPr="005F3E40">
        <w:rPr>
          <w:rStyle w:val="normaltextrun"/>
          <w:color w:val="000000"/>
        </w:rPr>
        <w:t xml:space="preserve">A. Distribuição espacial da população, urbanização e migrações internas no Brasil. </w:t>
      </w:r>
      <w:r w:rsidRPr="005F3E40">
        <w:rPr>
          <w:rStyle w:val="normaltextrun"/>
          <w:b/>
          <w:bCs/>
          <w:color w:val="000000"/>
        </w:rPr>
        <w:t>Textos para discussão (TD)</w:t>
      </w:r>
      <w:r w:rsidRPr="005F3E40">
        <w:rPr>
          <w:rStyle w:val="normaltextrun"/>
          <w:color w:val="000000"/>
        </w:rPr>
        <w:t xml:space="preserve">, n. 524, Belo </w:t>
      </w:r>
      <w:proofErr w:type="spellStart"/>
      <w:r w:rsidRPr="005F3E40">
        <w:rPr>
          <w:rStyle w:val="normaltextrun"/>
          <w:color w:val="000000"/>
        </w:rPr>
        <w:t>Horizonte-MG</w:t>
      </w:r>
      <w:proofErr w:type="spellEnd"/>
      <w:r w:rsidRPr="005F3E40">
        <w:rPr>
          <w:rStyle w:val="normaltextrun"/>
          <w:color w:val="000000"/>
        </w:rPr>
        <w:t xml:space="preserve">, </w:t>
      </w:r>
      <w:proofErr w:type="spellStart"/>
      <w:r w:rsidRPr="005F3E40">
        <w:rPr>
          <w:rStyle w:val="normaltextrun"/>
          <w:color w:val="000000"/>
        </w:rPr>
        <w:t>Cedeplar</w:t>
      </w:r>
      <w:proofErr w:type="spellEnd"/>
      <w:r w:rsidRPr="005F3E40">
        <w:rPr>
          <w:rStyle w:val="normaltextrun"/>
          <w:color w:val="000000"/>
        </w:rPr>
        <w:t>/UFMG, 2015.</w:t>
      </w:r>
    </w:p>
    <w:p w14:paraId="73790C2A" w14:textId="77777777" w:rsidR="005F3E40" w:rsidRDefault="005F3E40" w:rsidP="006A7FED">
      <w:pPr>
        <w:pStyle w:val="paragraph"/>
        <w:spacing w:before="0" w:beforeAutospacing="0" w:after="0" w:afterAutospacing="0"/>
        <w:textAlignment w:val="baseline"/>
        <w:rPr>
          <w:rStyle w:val="normaltextrun"/>
          <w:color w:val="000000"/>
        </w:rPr>
      </w:pPr>
    </w:p>
    <w:p w14:paraId="78DB4CD4" w14:textId="660F5F86"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CANO, W. Brasil – construção e desconstrução do desenvolvimento. </w:t>
      </w:r>
      <w:r w:rsidRPr="006A7FED">
        <w:rPr>
          <w:rFonts w:ascii="Times New Roman" w:hAnsi="Times New Roman" w:cs="Times New Roman"/>
          <w:b/>
          <w:bCs/>
          <w:sz w:val="24"/>
          <w:szCs w:val="24"/>
        </w:rPr>
        <w:t>Economia e Sociedade</w:t>
      </w:r>
      <w:r w:rsidRPr="006A7FED">
        <w:rPr>
          <w:rFonts w:ascii="Times New Roman" w:hAnsi="Times New Roman" w:cs="Times New Roman"/>
          <w:sz w:val="24"/>
          <w:szCs w:val="24"/>
        </w:rPr>
        <w:t xml:space="preserve">, Campinas, SP, v. 26, n. 2, p. 265–302, 2017. Disponível em: </w:t>
      </w:r>
      <w:hyperlink r:id="rId12" w:history="1">
        <w:r w:rsidRPr="006A7FED">
          <w:rPr>
            <w:rStyle w:val="Hyperlink"/>
            <w:rFonts w:ascii="Times New Roman" w:hAnsi="Times New Roman" w:cs="Times New Roman"/>
            <w:sz w:val="24"/>
            <w:szCs w:val="24"/>
          </w:rPr>
          <w:t>https://periodicos.sbu.unicamp.br/ojs/index.php/ecos/article/view/8650933</w:t>
        </w:r>
      </w:hyperlink>
      <w:r w:rsidRPr="006A7FED">
        <w:rPr>
          <w:rFonts w:ascii="Times New Roman" w:hAnsi="Times New Roman" w:cs="Times New Roman"/>
          <w:sz w:val="24"/>
          <w:szCs w:val="24"/>
        </w:rPr>
        <w:t>. Acesso em: 19 out. 2021.</w:t>
      </w:r>
    </w:p>
    <w:p w14:paraId="61792879" w14:textId="77777777" w:rsidR="006A7FED" w:rsidRDefault="006A7FED" w:rsidP="006A7FED">
      <w:pPr>
        <w:spacing w:after="0" w:line="240" w:lineRule="auto"/>
        <w:rPr>
          <w:rFonts w:ascii="Times New Roman" w:hAnsi="Times New Roman" w:cs="Times New Roman"/>
          <w:sz w:val="24"/>
          <w:szCs w:val="24"/>
        </w:rPr>
      </w:pPr>
    </w:p>
    <w:p w14:paraId="2F0F79A9" w14:textId="0561BF92"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EGLER, C. As escalas da economia: uma introdução à dimensão territorial da crise. </w:t>
      </w:r>
      <w:r w:rsidRPr="006A7FED">
        <w:rPr>
          <w:rFonts w:ascii="Times New Roman" w:hAnsi="Times New Roman" w:cs="Times New Roman"/>
          <w:b/>
          <w:bCs/>
          <w:sz w:val="24"/>
          <w:szCs w:val="24"/>
        </w:rPr>
        <w:t>Revista Brasileira de Geografia</w:t>
      </w:r>
      <w:r w:rsidRPr="006A7FED">
        <w:rPr>
          <w:rFonts w:ascii="Times New Roman" w:hAnsi="Times New Roman" w:cs="Times New Roman"/>
          <w:sz w:val="24"/>
          <w:szCs w:val="24"/>
        </w:rPr>
        <w:t>, Rio de Janeiro, v. 53, n. 3, pp. 229-245, jul./set., 1991.</w:t>
      </w:r>
    </w:p>
    <w:p w14:paraId="1F73CC46" w14:textId="77777777" w:rsidR="006A7FED" w:rsidRDefault="006A7FED" w:rsidP="006A7FED">
      <w:pPr>
        <w:spacing w:after="0" w:line="240" w:lineRule="auto"/>
        <w:rPr>
          <w:rFonts w:ascii="Times New Roman" w:hAnsi="Times New Roman" w:cs="Times New Roman"/>
          <w:sz w:val="24"/>
          <w:szCs w:val="24"/>
        </w:rPr>
      </w:pPr>
    </w:p>
    <w:p w14:paraId="47FAD688" w14:textId="6E404E73"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FURTADO, C. </w:t>
      </w:r>
      <w:r w:rsidRPr="006A7FED">
        <w:rPr>
          <w:rFonts w:ascii="Times New Roman" w:hAnsi="Times New Roman" w:cs="Times New Roman"/>
          <w:b/>
          <w:sz w:val="24"/>
          <w:szCs w:val="24"/>
        </w:rPr>
        <w:t>O capitalismo global</w:t>
      </w:r>
      <w:r w:rsidRPr="006A7FED">
        <w:rPr>
          <w:rFonts w:ascii="Times New Roman" w:hAnsi="Times New Roman" w:cs="Times New Roman"/>
          <w:sz w:val="24"/>
          <w:szCs w:val="24"/>
        </w:rPr>
        <w:t>. Paz e Terra, São Paulo, 1998.</w:t>
      </w:r>
    </w:p>
    <w:p w14:paraId="2F097352" w14:textId="77777777" w:rsidR="00F629B7" w:rsidRDefault="00F629B7" w:rsidP="006A7FED">
      <w:pPr>
        <w:spacing w:after="0" w:line="240" w:lineRule="auto"/>
        <w:rPr>
          <w:rFonts w:ascii="Times New Roman" w:hAnsi="Times New Roman" w:cs="Times New Roman"/>
          <w:sz w:val="24"/>
          <w:szCs w:val="24"/>
        </w:rPr>
      </w:pPr>
    </w:p>
    <w:p w14:paraId="1D8A06EE" w14:textId="5C319363" w:rsidR="007F0FC6" w:rsidRDefault="007F0FC6" w:rsidP="006A7FED">
      <w:pPr>
        <w:spacing w:after="0" w:line="240" w:lineRule="auto"/>
        <w:rPr>
          <w:rFonts w:ascii="Times New Roman" w:hAnsi="Times New Roman" w:cs="Times New Roman"/>
          <w:sz w:val="24"/>
          <w:szCs w:val="24"/>
        </w:rPr>
      </w:pPr>
      <w:r w:rsidRPr="007F0FC6">
        <w:rPr>
          <w:rFonts w:ascii="Times New Roman" w:hAnsi="Times New Roman" w:cs="Times New Roman"/>
          <w:sz w:val="24"/>
          <w:szCs w:val="24"/>
        </w:rPr>
        <w:t>GONÇALVES, R</w:t>
      </w:r>
      <w:r>
        <w:rPr>
          <w:rFonts w:ascii="Times New Roman" w:hAnsi="Times New Roman" w:cs="Times New Roman"/>
          <w:sz w:val="24"/>
          <w:szCs w:val="24"/>
        </w:rPr>
        <w:t xml:space="preserve">. </w:t>
      </w:r>
      <w:r w:rsidRPr="007F0FC6">
        <w:rPr>
          <w:rFonts w:ascii="Times New Roman" w:hAnsi="Times New Roman" w:cs="Times New Roman"/>
          <w:sz w:val="24"/>
          <w:szCs w:val="24"/>
        </w:rPr>
        <w:t xml:space="preserve">et al. </w:t>
      </w:r>
      <w:r w:rsidRPr="007F0FC6">
        <w:rPr>
          <w:rFonts w:ascii="Times New Roman" w:hAnsi="Times New Roman" w:cs="Times New Roman"/>
          <w:b/>
          <w:bCs/>
          <w:sz w:val="24"/>
          <w:szCs w:val="24"/>
        </w:rPr>
        <w:t>A nova Economia Internacional</w:t>
      </w:r>
      <w:r w:rsidRPr="007F0FC6">
        <w:rPr>
          <w:rFonts w:ascii="Times New Roman" w:hAnsi="Times New Roman" w:cs="Times New Roman"/>
          <w:sz w:val="24"/>
          <w:szCs w:val="24"/>
        </w:rPr>
        <w:t>: uma perspectiva brasileira. Rio de Janeiro, RJ, Campus, 1998.</w:t>
      </w:r>
    </w:p>
    <w:p w14:paraId="6842EB30" w14:textId="77777777" w:rsidR="007F0FC6" w:rsidRDefault="007F0FC6" w:rsidP="006A7FED">
      <w:pPr>
        <w:spacing w:after="0" w:line="240" w:lineRule="auto"/>
        <w:rPr>
          <w:rFonts w:ascii="Times New Roman" w:hAnsi="Times New Roman" w:cs="Times New Roman"/>
          <w:sz w:val="24"/>
          <w:szCs w:val="24"/>
        </w:rPr>
      </w:pPr>
    </w:p>
    <w:p w14:paraId="0932D74F" w14:textId="460A8B2D"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INSTITUTO BRASILEIRO DE GEOGRAFIA E ESTATÍSTICA (IBGE). </w:t>
      </w:r>
      <w:r w:rsidRPr="006A7FED">
        <w:rPr>
          <w:rFonts w:ascii="Times New Roman" w:hAnsi="Times New Roman" w:cs="Times New Roman"/>
          <w:b/>
          <w:bCs/>
          <w:sz w:val="24"/>
          <w:szCs w:val="24"/>
        </w:rPr>
        <w:t>Regiões de influência das cidades: 2018</w:t>
      </w:r>
      <w:r w:rsidRPr="006A7FED">
        <w:rPr>
          <w:rFonts w:ascii="Times New Roman" w:hAnsi="Times New Roman" w:cs="Times New Roman"/>
          <w:sz w:val="24"/>
          <w:szCs w:val="24"/>
        </w:rPr>
        <w:t>. Rio de Janeiro, IBGE, 2020.</w:t>
      </w:r>
    </w:p>
    <w:p w14:paraId="6BF765E2" w14:textId="77777777" w:rsidR="006A7FED" w:rsidRDefault="006A7FED" w:rsidP="006A7FED">
      <w:pPr>
        <w:spacing w:after="0" w:line="240" w:lineRule="auto"/>
        <w:rPr>
          <w:rFonts w:ascii="Times New Roman" w:hAnsi="Times New Roman" w:cs="Times New Roman"/>
          <w:sz w:val="24"/>
          <w:szCs w:val="24"/>
        </w:rPr>
      </w:pPr>
    </w:p>
    <w:p w14:paraId="7E7AA133" w14:textId="051AB0A5"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INSTITUTO BRASILEIRO DE GEOGRAFIA E ESTATÍSTICA (IBGE). </w:t>
      </w:r>
      <w:r w:rsidRPr="006A7FED">
        <w:rPr>
          <w:rFonts w:ascii="Times New Roman" w:hAnsi="Times New Roman" w:cs="Times New Roman"/>
          <w:b/>
          <w:bCs/>
          <w:sz w:val="24"/>
          <w:szCs w:val="24"/>
        </w:rPr>
        <w:t>Regiões de influência das cidades: 2007.</w:t>
      </w:r>
      <w:r w:rsidRPr="006A7FED">
        <w:rPr>
          <w:rFonts w:ascii="Times New Roman" w:hAnsi="Times New Roman" w:cs="Times New Roman"/>
          <w:sz w:val="24"/>
          <w:szCs w:val="24"/>
        </w:rPr>
        <w:t xml:space="preserve"> Rio de Janeiro, IBGE, 2008.</w:t>
      </w:r>
    </w:p>
    <w:p w14:paraId="31EEA29B" w14:textId="77777777" w:rsidR="006A7FED" w:rsidRDefault="006A7FED" w:rsidP="006A7FED">
      <w:pPr>
        <w:spacing w:after="0" w:line="240" w:lineRule="auto"/>
        <w:rPr>
          <w:rFonts w:ascii="Times New Roman" w:hAnsi="Times New Roman" w:cs="Times New Roman"/>
          <w:sz w:val="24"/>
          <w:szCs w:val="24"/>
        </w:rPr>
      </w:pPr>
    </w:p>
    <w:p w14:paraId="418727E0" w14:textId="0D0C74EF"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INSTITUTO DE PESQUISA ECONÔMICA APLICADA (IPEA); INSTITUTO BRASILEIRO DE GEOGRAFIA E ESTATÍSTICA (IBGE); UNIVERSIDADE ESTADUAL DE CAMPINAS (UNICAMP). </w:t>
      </w:r>
      <w:r w:rsidRPr="006A7FED">
        <w:rPr>
          <w:rFonts w:ascii="Times New Roman" w:hAnsi="Times New Roman" w:cs="Times New Roman"/>
          <w:b/>
          <w:bCs/>
          <w:sz w:val="24"/>
          <w:szCs w:val="24"/>
        </w:rPr>
        <w:t>Redes urbanas regionais</w:t>
      </w:r>
      <w:r w:rsidRPr="006A7FED">
        <w:rPr>
          <w:rFonts w:ascii="Times New Roman" w:hAnsi="Times New Roman" w:cs="Times New Roman"/>
          <w:sz w:val="24"/>
          <w:szCs w:val="24"/>
        </w:rPr>
        <w:t>: Norte, Nordeste e Centro-Oeste. Brasília, IPEA, 2001. 263p. (Caracterização e tendências da rede urbana do Brasil, 4)</w:t>
      </w:r>
    </w:p>
    <w:p w14:paraId="4D545C37" w14:textId="77777777" w:rsidR="00DF36B7" w:rsidRDefault="00DF36B7" w:rsidP="006A7FED">
      <w:pPr>
        <w:spacing w:after="0" w:line="240" w:lineRule="auto"/>
        <w:rPr>
          <w:rFonts w:ascii="Times New Roman" w:hAnsi="Times New Roman" w:cs="Times New Roman"/>
          <w:sz w:val="24"/>
          <w:szCs w:val="24"/>
        </w:rPr>
      </w:pPr>
    </w:p>
    <w:p w14:paraId="79118A13" w14:textId="57017A23"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lastRenderedPageBreak/>
        <w:t>MACEDO, F</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C. </w:t>
      </w:r>
      <w:r w:rsidRPr="006A7FED">
        <w:rPr>
          <w:rFonts w:ascii="Times New Roman" w:hAnsi="Times New Roman" w:cs="Times New Roman"/>
          <w:b/>
          <w:bCs/>
          <w:sz w:val="24"/>
          <w:szCs w:val="24"/>
        </w:rPr>
        <w:t xml:space="preserve">Inserção externa e território: </w:t>
      </w:r>
      <w:r w:rsidRPr="006A7FED">
        <w:rPr>
          <w:rFonts w:ascii="Times New Roman" w:hAnsi="Times New Roman" w:cs="Times New Roman"/>
          <w:sz w:val="24"/>
          <w:szCs w:val="24"/>
        </w:rPr>
        <w:t>impactos do comércio exterior na dinâmica regional e urbana no Brasil (1989-2008). 2010. 302f. Tese de Livre Docência, Campinas-SP, Instituto de Economia/Unicamp, 2010.</w:t>
      </w:r>
    </w:p>
    <w:p w14:paraId="36C0FCF4" w14:textId="77777777" w:rsidR="00DF36B7" w:rsidRDefault="00DF36B7" w:rsidP="006A7FED">
      <w:pPr>
        <w:spacing w:after="0" w:line="240" w:lineRule="auto"/>
        <w:rPr>
          <w:rFonts w:ascii="Times New Roman" w:hAnsi="Times New Roman" w:cs="Times New Roman"/>
          <w:sz w:val="24"/>
          <w:szCs w:val="24"/>
        </w:rPr>
      </w:pPr>
    </w:p>
    <w:p w14:paraId="3E0416C5" w14:textId="6CBE5FA3"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MIRANDA, H</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GOMES JR. E. Urbanização reflexa: a emergência de arranjos urbanos intermediários no Brasil pós-1990. </w:t>
      </w:r>
      <w:r w:rsidRPr="006A7FED">
        <w:rPr>
          <w:rFonts w:ascii="Times New Roman" w:hAnsi="Times New Roman" w:cs="Times New Roman"/>
          <w:b/>
          <w:bCs/>
          <w:sz w:val="24"/>
          <w:szCs w:val="24"/>
        </w:rPr>
        <w:t>EURE</w:t>
      </w:r>
      <w:r w:rsidRPr="006A7FED">
        <w:rPr>
          <w:rFonts w:ascii="Times New Roman" w:hAnsi="Times New Roman" w:cs="Times New Roman"/>
          <w:sz w:val="24"/>
          <w:szCs w:val="24"/>
        </w:rPr>
        <w:t>, Santiago de Chile, v. 43, n. 130, pp. 207-234, set./2017.</w:t>
      </w:r>
    </w:p>
    <w:p w14:paraId="187C5085" w14:textId="77777777" w:rsidR="00DF36B7" w:rsidRDefault="00DF36B7" w:rsidP="006A7FED">
      <w:pPr>
        <w:spacing w:after="0" w:line="240" w:lineRule="auto"/>
        <w:rPr>
          <w:rFonts w:ascii="Times New Roman" w:hAnsi="Times New Roman" w:cs="Times New Roman"/>
          <w:sz w:val="24"/>
          <w:szCs w:val="24"/>
        </w:rPr>
      </w:pPr>
    </w:p>
    <w:p w14:paraId="3B0A57B3" w14:textId="2D1F14DE" w:rsidR="002127C0" w:rsidRDefault="002127C0" w:rsidP="006A7FED">
      <w:pPr>
        <w:spacing w:after="0" w:line="240" w:lineRule="auto"/>
        <w:rPr>
          <w:rFonts w:ascii="Times New Roman" w:hAnsi="Times New Roman" w:cs="Times New Roman"/>
          <w:sz w:val="24"/>
          <w:szCs w:val="24"/>
        </w:rPr>
      </w:pPr>
      <w:r w:rsidRPr="002127C0">
        <w:rPr>
          <w:rFonts w:ascii="Times New Roman" w:hAnsi="Times New Roman" w:cs="Times New Roman"/>
          <w:sz w:val="24"/>
          <w:szCs w:val="24"/>
        </w:rPr>
        <w:t xml:space="preserve">PORTO, </w:t>
      </w:r>
      <w:r w:rsidR="0087149D">
        <w:rPr>
          <w:rFonts w:ascii="Times New Roman" w:hAnsi="Times New Roman" w:cs="Times New Roman"/>
          <w:sz w:val="24"/>
          <w:szCs w:val="24"/>
        </w:rPr>
        <w:t>L.</w:t>
      </w:r>
      <w:r w:rsidRPr="002127C0">
        <w:rPr>
          <w:rFonts w:ascii="Times New Roman" w:hAnsi="Times New Roman" w:cs="Times New Roman"/>
          <w:sz w:val="24"/>
          <w:szCs w:val="24"/>
        </w:rPr>
        <w:t xml:space="preserve">; MACEDO, </w:t>
      </w:r>
      <w:r w:rsidR="0087149D">
        <w:rPr>
          <w:rFonts w:ascii="Times New Roman" w:hAnsi="Times New Roman" w:cs="Times New Roman"/>
          <w:sz w:val="24"/>
          <w:szCs w:val="24"/>
        </w:rPr>
        <w:t>F. C.</w:t>
      </w:r>
      <w:r w:rsidRPr="002127C0">
        <w:rPr>
          <w:rFonts w:ascii="Times New Roman" w:hAnsi="Times New Roman" w:cs="Times New Roman"/>
          <w:sz w:val="24"/>
          <w:szCs w:val="24"/>
        </w:rPr>
        <w:t xml:space="preserve"> </w:t>
      </w:r>
      <w:proofErr w:type="spellStart"/>
      <w:r w:rsidRPr="002127C0">
        <w:rPr>
          <w:rFonts w:ascii="Times New Roman" w:hAnsi="Times New Roman" w:cs="Times New Roman"/>
          <w:sz w:val="24"/>
          <w:szCs w:val="24"/>
        </w:rPr>
        <w:t>Desempeño</w:t>
      </w:r>
      <w:proofErr w:type="spellEnd"/>
      <w:r w:rsidRPr="002127C0">
        <w:rPr>
          <w:rFonts w:ascii="Times New Roman" w:hAnsi="Times New Roman" w:cs="Times New Roman"/>
          <w:sz w:val="24"/>
          <w:szCs w:val="24"/>
        </w:rPr>
        <w:t xml:space="preserve"> regional </w:t>
      </w:r>
      <w:proofErr w:type="spellStart"/>
      <w:r w:rsidRPr="002127C0">
        <w:rPr>
          <w:rFonts w:ascii="Times New Roman" w:hAnsi="Times New Roman" w:cs="Times New Roman"/>
          <w:sz w:val="24"/>
          <w:szCs w:val="24"/>
        </w:rPr>
        <w:t>del</w:t>
      </w:r>
      <w:proofErr w:type="spellEnd"/>
      <w:r w:rsidRPr="002127C0">
        <w:rPr>
          <w:rFonts w:ascii="Times New Roman" w:hAnsi="Times New Roman" w:cs="Times New Roman"/>
          <w:sz w:val="24"/>
          <w:szCs w:val="24"/>
        </w:rPr>
        <w:t xml:space="preserve"> mercado de </w:t>
      </w:r>
      <w:proofErr w:type="spellStart"/>
      <w:r w:rsidRPr="002127C0">
        <w:rPr>
          <w:rFonts w:ascii="Times New Roman" w:hAnsi="Times New Roman" w:cs="Times New Roman"/>
          <w:sz w:val="24"/>
          <w:szCs w:val="24"/>
        </w:rPr>
        <w:t>trabajo</w:t>
      </w:r>
      <w:proofErr w:type="spellEnd"/>
      <w:r w:rsidRPr="002127C0">
        <w:rPr>
          <w:rFonts w:ascii="Times New Roman" w:hAnsi="Times New Roman" w:cs="Times New Roman"/>
          <w:sz w:val="24"/>
          <w:szCs w:val="24"/>
        </w:rPr>
        <w:t xml:space="preserve"> formal </w:t>
      </w:r>
      <w:proofErr w:type="spellStart"/>
      <w:r w:rsidRPr="002127C0">
        <w:rPr>
          <w:rFonts w:ascii="Times New Roman" w:hAnsi="Times New Roman" w:cs="Times New Roman"/>
          <w:sz w:val="24"/>
          <w:szCs w:val="24"/>
        </w:rPr>
        <w:t>en</w:t>
      </w:r>
      <w:proofErr w:type="spellEnd"/>
      <w:r w:rsidRPr="002127C0">
        <w:rPr>
          <w:rFonts w:ascii="Times New Roman" w:hAnsi="Times New Roman" w:cs="Times New Roman"/>
          <w:sz w:val="24"/>
          <w:szCs w:val="24"/>
        </w:rPr>
        <w:t xml:space="preserve"> Brasil (2002-2018). </w:t>
      </w:r>
      <w:r w:rsidRPr="002127C0">
        <w:rPr>
          <w:rFonts w:ascii="Times New Roman" w:hAnsi="Times New Roman" w:cs="Times New Roman"/>
          <w:b/>
          <w:bCs/>
          <w:sz w:val="24"/>
          <w:szCs w:val="24"/>
        </w:rPr>
        <w:t>Semestre Económico</w:t>
      </w:r>
      <w:r w:rsidRPr="002127C0">
        <w:rPr>
          <w:rFonts w:ascii="Times New Roman" w:hAnsi="Times New Roman" w:cs="Times New Roman"/>
          <w:sz w:val="24"/>
          <w:szCs w:val="24"/>
        </w:rPr>
        <w:t>, n. 24, v. 56, pp. 299-323, jan./jun., 2021.</w:t>
      </w:r>
    </w:p>
    <w:p w14:paraId="3F820376" w14:textId="77777777" w:rsidR="002127C0" w:rsidRDefault="002127C0" w:rsidP="006A7FED">
      <w:pPr>
        <w:spacing w:after="0" w:line="240" w:lineRule="auto"/>
        <w:rPr>
          <w:rFonts w:ascii="Times New Roman" w:hAnsi="Times New Roman" w:cs="Times New Roman"/>
          <w:sz w:val="24"/>
          <w:szCs w:val="24"/>
        </w:rPr>
      </w:pPr>
    </w:p>
    <w:p w14:paraId="602E39C4" w14:textId="16D33417"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PORTO, L</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R</w:t>
      </w:r>
      <w:r w:rsidR="00D77D26">
        <w:rPr>
          <w:rFonts w:ascii="Times New Roman" w:hAnsi="Times New Roman" w:cs="Times New Roman"/>
          <w:sz w:val="24"/>
          <w:szCs w:val="24"/>
        </w:rPr>
        <w:t>.</w:t>
      </w:r>
      <w:r w:rsidRPr="006A7FED">
        <w:rPr>
          <w:rFonts w:ascii="Times New Roman" w:hAnsi="Times New Roman" w:cs="Times New Roman"/>
          <w:sz w:val="24"/>
          <w:szCs w:val="24"/>
        </w:rPr>
        <w:t>; MIRANDA, H</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w:t>
      </w:r>
      <w:r w:rsidRPr="0087149D">
        <w:rPr>
          <w:rFonts w:ascii="Times New Roman" w:hAnsi="Times New Roman" w:cs="Times New Roman"/>
          <w:sz w:val="24"/>
          <w:szCs w:val="24"/>
        </w:rPr>
        <w:t>Novo padrão de crescimento e a hierarquia urbano-regional do Nordeste, Brasil, pós 1990.</w:t>
      </w:r>
      <w:r w:rsidRPr="006A7FED">
        <w:rPr>
          <w:rFonts w:ascii="Times New Roman" w:hAnsi="Times New Roman" w:cs="Times New Roman"/>
          <w:sz w:val="24"/>
          <w:szCs w:val="24"/>
        </w:rPr>
        <w:t xml:space="preserve"> </w:t>
      </w:r>
      <w:r w:rsidRPr="0087149D">
        <w:rPr>
          <w:rFonts w:ascii="Times New Roman" w:hAnsi="Times New Roman" w:cs="Times New Roman"/>
          <w:b/>
          <w:bCs/>
          <w:sz w:val="24"/>
          <w:szCs w:val="24"/>
        </w:rPr>
        <w:t>Anais XVIII ENANPUR 2019</w:t>
      </w:r>
      <w:r w:rsidRPr="006A7FED">
        <w:rPr>
          <w:rFonts w:ascii="Times New Roman" w:hAnsi="Times New Roman" w:cs="Times New Roman"/>
          <w:sz w:val="24"/>
          <w:szCs w:val="24"/>
        </w:rPr>
        <w:t xml:space="preserve">, Natal-RN, 2019. 26p. Disponível em: </w:t>
      </w:r>
      <w:hyperlink r:id="rId13" w:history="1">
        <w:r w:rsidRPr="006A7FED">
          <w:rPr>
            <w:rStyle w:val="Hyperlink"/>
            <w:rFonts w:ascii="Times New Roman" w:hAnsi="Times New Roman" w:cs="Times New Roman"/>
            <w:sz w:val="24"/>
            <w:szCs w:val="24"/>
          </w:rPr>
          <w:t>http://anpur.org.br/xviiienanpur/anais-sts</w:t>
        </w:r>
      </w:hyperlink>
      <w:r w:rsidRPr="006A7FED">
        <w:rPr>
          <w:rFonts w:ascii="Times New Roman" w:hAnsi="Times New Roman" w:cs="Times New Roman"/>
          <w:sz w:val="24"/>
          <w:szCs w:val="24"/>
        </w:rPr>
        <w:t>.</w:t>
      </w:r>
    </w:p>
    <w:p w14:paraId="73AD0919" w14:textId="77777777" w:rsidR="00DF36B7" w:rsidRDefault="00DF36B7" w:rsidP="006A7FED">
      <w:pPr>
        <w:spacing w:after="0" w:line="240" w:lineRule="auto"/>
        <w:rPr>
          <w:rFonts w:ascii="Times New Roman" w:hAnsi="Times New Roman" w:cs="Times New Roman"/>
          <w:sz w:val="24"/>
          <w:szCs w:val="24"/>
        </w:rPr>
      </w:pPr>
    </w:p>
    <w:p w14:paraId="686AF083" w14:textId="60F4AAFF"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PORTO, L</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R</w:t>
      </w:r>
      <w:r w:rsidR="00D77D26">
        <w:rPr>
          <w:rFonts w:ascii="Times New Roman" w:hAnsi="Times New Roman" w:cs="Times New Roman"/>
          <w:sz w:val="24"/>
          <w:szCs w:val="24"/>
        </w:rPr>
        <w:t>.</w:t>
      </w:r>
      <w:r w:rsidRPr="006A7FED">
        <w:rPr>
          <w:rFonts w:ascii="Times New Roman" w:hAnsi="Times New Roman" w:cs="Times New Roman"/>
          <w:sz w:val="24"/>
          <w:szCs w:val="24"/>
        </w:rPr>
        <w:t xml:space="preserve"> Considerações sobre a dinâmica urbano-regional brasileira após 1990: entre a teoria, o método e a análise. </w:t>
      </w:r>
      <w:r w:rsidRPr="006A7FED">
        <w:rPr>
          <w:rFonts w:ascii="Times New Roman" w:hAnsi="Times New Roman" w:cs="Times New Roman"/>
          <w:b/>
          <w:bCs/>
          <w:sz w:val="24"/>
          <w:szCs w:val="24"/>
        </w:rPr>
        <w:t>Anais</w:t>
      </w:r>
      <w:r w:rsidR="00D77D26">
        <w:rPr>
          <w:rFonts w:ascii="Times New Roman" w:hAnsi="Times New Roman" w:cs="Times New Roman"/>
          <w:b/>
          <w:bCs/>
          <w:sz w:val="24"/>
          <w:szCs w:val="24"/>
        </w:rPr>
        <w:t xml:space="preserve"> </w:t>
      </w:r>
      <w:r w:rsidRPr="006A7FED">
        <w:rPr>
          <w:rFonts w:ascii="Times New Roman" w:hAnsi="Times New Roman" w:cs="Times New Roman"/>
          <w:b/>
          <w:bCs/>
          <w:sz w:val="24"/>
          <w:szCs w:val="24"/>
        </w:rPr>
        <w:t xml:space="preserve">XIX ENANPUR. </w:t>
      </w:r>
      <w:r w:rsidRPr="006A7FED">
        <w:rPr>
          <w:rFonts w:ascii="Times New Roman" w:hAnsi="Times New Roman" w:cs="Times New Roman"/>
          <w:sz w:val="24"/>
          <w:szCs w:val="24"/>
        </w:rPr>
        <w:t xml:space="preserve">Blumenau, SC, </w:t>
      </w:r>
      <w:r w:rsidR="00DB2D41">
        <w:rPr>
          <w:rFonts w:ascii="Times New Roman" w:hAnsi="Times New Roman" w:cs="Times New Roman"/>
          <w:sz w:val="24"/>
          <w:szCs w:val="24"/>
        </w:rPr>
        <w:t>P</w:t>
      </w:r>
      <w:r w:rsidRPr="006A7FED">
        <w:rPr>
          <w:rFonts w:ascii="Times New Roman" w:hAnsi="Times New Roman" w:cs="Times New Roman"/>
          <w:sz w:val="24"/>
          <w:szCs w:val="24"/>
        </w:rPr>
        <w:t>P</w:t>
      </w:r>
      <w:r w:rsidR="00246A47">
        <w:rPr>
          <w:rFonts w:ascii="Times New Roman" w:hAnsi="Times New Roman" w:cs="Times New Roman"/>
          <w:sz w:val="24"/>
          <w:szCs w:val="24"/>
        </w:rPr>
        <w:t>G</w:t>
      </w:r>
      <w:r w:rsidRPr="006A7FED">
        <w:rPr>
          <w:rFonts w:ascii="Times New Roman" w:hAnsi="Times New Roman" w:cs="Times New Roman"/>
          <w:sz w:val="24"/>
          <w:szCs w:val="24"/>
        </w:rPr>
        <w:t>DR/FURB,</w:t>
      </w:r>
      <w:r w:rsidRPr="006A7FED">
        <w:rPr>
          <w:rFonts w:ascii="Times New Roman" w:hAnsi="Times New Roman" w:cs="Times New Roman"/>
          <w:b/>
          <w:bCs/>
          <w:sz w:val="24"/>
          <w:szCs w:val="24"/>
        </w:rPr>
        <w:t xml:space="preserve"> </w:t>
      </w:r>
      <w:r w:rsidRPr="006A7FED">
        <w:rPr>
          <w:rFonts w:ascii="Times New Roman" w:hAnsi="Times New Roman" w:cs="Times New Roman"/>
          <w:sz w:val="24"/>
          <w:szCs w:val="24"/>
        </w:rPr>
        <w:t xml:space="preserve">2022. Disponível em: </w:t>
      </w:r>
      <w:hyperlink r:id="rId14" w:history="1">
        <w:r w:rsidRPr="006A7FED">
          <w:rPr>
            <w:rStyle w:val="Hyperlink"/>
            <w:rFonts w:ascii="Times New Roman" w:hAnsi="Times New Roman" w:cs="Times New Roman"/>
            <w:sz w:val="24"/>
            <w:szCs w:val="24"/>
          </w:rPr>
          <w:t>https://www.sisgeenco.com.br/anais/enanpur/2022/arquivos/GT11_SEM_333_597_20211207152119.pdf</w:t>
        </w:r>
      </w:hyperlink>
      <w:r w:rsidRPr="006A7FED">
        <w:rPr>
          <w:rFonts w:ascii="Times New Roman" w:hAnsi="Times New Roman" w:cs="Times New Roman"/>
          <w:sz w:val="24"/>
          <w:szCs w:val="24"/>
        </w:rPr>
        <w:t xml:space="preserve">. Último acesso em: 17 </w:t>
      </w:r>
      <w:proofErr w:type="spellStart"/>
      <w:r w:rsidRPr="006A7FED">
        <w:rPr>
          <w:rFonts w:ascii="Times New Roman" w:hAnsi="Times New Roman" w:cs="Times New Roman"/>
          <w:sz w:val="24"/>
          <w:szCs w:val="24"/>
        </w:rPr>
        <w:t>jun</w:t>
      </w:r>
      <w:proofErr w:type="spellEnd"/>
      <w:r w:rsidRPr="006A7FED">
        <w:rPr>
          <w:rFonts w:ascii="Times New Roman" w:hAnsi="Times New Roman" w:cs="Times New Roman"/>
          <w:sz w:val="24"/>
          <w:szCs w:val="24"/>
        </w:rPr>
        <w:t xml:space="preserve"> 2022.</w:t>
      </w:r>
    </w:p>
    <w:p w14:paraId="356FDD32" w14:textId="77777777" w:rsidR="00DF36B7" w:rsidRDefault="00DF36B7" w:rsidP="006A7FED">
      <w:pPr>
        <w:spacing w:after="0" w:line="240" w:lineRule="auto"/>
        <w:rPr>
          <w:rFonts w:ascii="Times New Roman" w:hAnsi="Times New Roman" w:cs="Times New Roman"/>
          <w:sz w:val="24"/>
          <w:szCs w:val="24"/>
        </w:rPr>
      </w:pPr>
    </w:p>
    <w:p w14:paraId="4BD038E7" w14:textId="1F85A2BB"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SEPLAN - SECRETARIA DE ESTADO DO PLANEJAMENTO DO PIAUÍ. </w:t>
      </w:r>
      <w:r w:rsidRPr="006A7FED">
        <w:rPr>
          <w:rFonts w:ascii="Times New Roman" w:hAnsi="Times New Roman" w:cs="Times New Roman"/>
          <w:b/>
          <w:bCs/>
          <w:sz w:val="24"/>
          <w:szCs w:val="24"/>
        </w:rPr>
        <w:t xml:space="preserve">Parecer técnico: Região Metropolitana de Parnaíba. </w:t>
      </w:r>
      <w:r w:rsidRPr="006A7FED">
        <w:rPr>
          <w:rFonts w:ascii="Times New Roman" w:hAnsi="Times New Roman" w:cs="Times New Roman"/>
          <w:sz w:val="24"/>
          <w:szCs w:val="24"/>
        </w:rPr>
        <w:t>Teresina, PI, SEPLAN/PI, 2022a.</w:t>
      </w:r>
    </w:p>
    <w:p w14:paraId="65405D48" w14:textId="77777777" w:rsidR="00DF36B7" w:rsidRDefault="00DF36B7" w:rsidP="006A7FED">
      <w:pPr>
        <w:spacing w:after="0" w:line="240" w:lineRule="auto"/>
        <w:rPr>
          <w:rFonts w:ascii="Times New Roman" w:hAnsi="Times New Roman" w:cs="Times New Roman"/>
          <w:sz w:val="24"/>
          <w:szCs w:val="24"/>
        </w:rPr>
      </w:pPr>
    </w:p>
    <w:p w14:paraId="0E23D082" w14:textId="4AB03725" w:rsidR="003406B6" w:rsidRPr="006A7FED"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SEPLAN - SECRETARIA DE ESTADO DO PLANEJAMENTO DO PIAUÍ. </w:t>
      </w:r>
      <w:r w:rsidRPr="006A7FED">
        <w:rPr>
          <w:rFonts w:ascii="Times New Roman" w:hAnsi="Times New Roman" w:cs="Times New Roman"/>
          <w:b/>
          <w:bCs/>
          <w:sz w:val="24"/>
          <w:szCs w:val="24"/>
        </w:rPr>
        <w:t>Produto Interno Bruto dos Territórios do Piauí no ano de 2019.</w:t>
      </w:r>
      <w:r w:rsidRPr="006A7FED">
        <w:rPr>
          <w:rFonts w:ascii="Times New Roman" w:hAnsi="Times New Roman" w:cs="Times New Roman"/>
          <w:sz w:val="24"/>
          <w:szCs w:val="24"/>
        </w:rPr>
        <w:t xml:space="preserve"> Teresina, PI, SEPLAN/PI, 2022b.</w:t>
      </w:r>
    </w:p>
    <w:p w14:paraId="5F2CC1C7" w14:textId="77777777" w:rsidR="00DF36B7" w:rsidRDefault="00DF36B7" w:rsidP="006A7FED">
      <w:pPr>
        <w:spacing w:after="0" w:line="240" w:lineRule="auto"/>
        <w:rPr>
          <w:rFonts w:ascii="Times New Roman" w:hAnsi="Times New Roman" w:cs="Times New Roman"/>
          <w:sz w:val="24"/>
          <w:szCs w:val="24"/>
        </w:rPr>
      </w:pPr>
    </w:p>
    <w:p w14:paraId="0F02D5DC" w14:textId="71478100" w:rsidR="003406B6" w:rsidRDefault="003406B6" w:rsidP="006A7FED">
      <w:pPr>
        <w:spacing w:after="0" w:line="240" w:lineRule="auto"/>
        <w:rPr>
          <w:rFonts w:ascii="Times New Roman" w:hAnsi="Times New Roman" w:cs="Times New Roman"/>
          <w:sz w:val="24"/>
          <w:szCs w:val="24"/>
        </w:rPr>
      </w:pPr>
      <w:r w:rsidRPr="006A7FED">
        <w:rPr>
          <w:rFonts w:ascii="Times New Roman" w:hAnsi="Times New Roman" w:cs="Times New Roman"/>
          <w:sz w:val="24"/>
          <w:szCs w:val="24"/>
        </w:rPr>
        <w:t xml:space="preserve">SEPLAN - SECRETARIA DE ESTADO DO PLANEJAMENTO DO PIAUÍ; CEPRO – SUPERINTENDÊNCIA DE ESTUDOS ECONÔMICOS E SOCIAIS. </w:t>
      </w:r>
      <w:r w:rsidRPr="006A7FED">
        <w:rPr>
          <w:rFonts w:ascii="Times New Roman" w:hAnsi="Times New Roman" w:cs="Times New Roman"/>
          <w:b/>
          <w:bCs/>
          <w:sz w:val="24"/>
          <w:szCs w:val="24"/>
        </w:rPr>
        <w:t xml:space="preserve">Plano de Desenvolvimento Econômico Sustentável do Piauí (Piauí 2050). </w:t>
      </w:r>
      <w:r w:rsidRPr="006A7FED">
        <w:rPr>
          <w:rFonts w:ascii="Times New Roman" w:hAnsi="Times New Roman" w:cs="Times New Roman"/>
          <w:sz w:val="24"/>
          <w:szCs w:val="24"/>
        </w:rPr>
        <w:t>Teresina, PI, SEPLAN/PI, 2013.</w:t>
      </w:r>
    </w:p>
    <w:p w14:paraId="06178BEB" w14:textId="77777777" w:rsidR="00DE7367" w:rsidRDefault="00DE7367" w:rsidP="006A7FED">
      <w:pPr>
        <w:spacing w:after="0" w:line="240" w:lineRule="auto"/>
        <w:rPr>
          <w:rFonts w:ascii="Times New Roman" w:hAnsi="Times New Roman" w:cs="Times New Roman"/>
          <w:sz w:val="24"/>
          <w:szCs w:val="24"/>
        </w:rPr>
      </w:pPr>
    </w:p>
    <w:p w14:paraId="77BA1802" w14:textId="310A4B05" w:rsidR="00DE7367" w:rsidRDefault="00DE7367" w:rsidP="006A7FED">
      <w:pPr>
        <w:spacing w:after="0" w:line="240" w:lineRule="auto"/>
        <w:rPr>
          <w:rFonts w:ascii="Times New Roman" w:hAnsi="Times New Roman" w:cs="Times New Roman"/>
          <w:sz w:val="24"/>
          <w:szCs w:val="24"/>
        </w:rPr>
      </w:pPr>
      <w:r w:rsidRPr="00DE7367">
        <w:rPr>
          <w:rFonts w:ascii="Times New Roman" w:hAnsi="Times New Roman" w:cs="Times New Roman"/>
          <w:sz w:val="24"/>
          <w:szCs w:val="24"/>
        </w:rPr>
        <w:t xml:space="preserve">SERFATI, C. Transnacional </w:t>
      </w:r>
      <w:proofErr w:type="spellStart"/>
      <w:r w:rsidRPr="00DE7367">
        <w:rPr>
          <w:rFonts w:ascii="Times New Roman" w:hAnsi="Times New Roman" w:cs="Times New Roman"/>
          <w:sz w:val="24"/>
          <w:szCs w:val="24"/>
        </w:rPr>
        <w:t>corporations</w:t>
      </w:r>
      <w:proofErr w:type="spellEnd"/>
      <w:r w:rsidRPr="00DE7367">
        <w:rPr>
          <w:rFonts w:ascii="Times New Roman" w:hAnsi="Times New Roman" w:cs="Times New Roman"/>
          <w:sz w:val="24"/>
          <w:szCs w:val="24"/>
        </w:rPr>
        <w:t xml:space="preserve"> as financial </w:t>
      </w:r>
      <w:proofErr w:type="spellStart"/>
      <w:r w:rsidRPr="00DE7367">
        <w:rPr>
          <w:rFonts w:ascii="Times New Roman" w:hAnsi="Times New Roman" w:cs="Times New Roman"/>
          <w:sz w:val="24"/>
          <w:szCs w:val="24"/>
        </w:rPr>
        <w:t>groups</w:t>
      </w:r>
      <w:proofErr w:type="spellEnd"/>
      <w:r w:rsidRPr="00DE7367">
        <w:rPr>
          <w:rFonts w:ascii="Times New Roman" w:hAnsi="Times New Roman" w:cs="Times New Roman"/>
          <w:sz w:val="24"/>
          <w:szCs w:val="24"/>
        </w:rPr>
        <w:t xml:space="preserve">. </w:t>
      </w:r>
      <w:proofErr w:type="spellStart"/>
      <w:r w:rsidRPr="00DE7367">
        <w:rPr>
          <w:rFonts w:ascii="Times New Roman" w:hAnsi="Times New Roman" w:cs="Times New Roman"/>
          <w:sz w:val="24"/>
          <w:szCs w:val="24"/>
        </w:rPr>
        <w:t>Work</w:t>
      </w:r>
      <w:proofErr w:type="spellEnd"/>
      <w:r w:rsidRPr="00DE7367">
        <w:rPr>
          <w:rFonts w:ascii="Times New Roman" w:hAnsi="Times New Roman" w:cs="Times New Roman"/>
          <w:sz w:val="24"/>
          <w:szCs w:val="24"/>
        </w:rPr>
        <w:t xml:space="preserve"> </w:t>
      </w:r>
      <w:proofErr w:type="spellStart"/>
      <w:r w:rsidRPr="00DE7367">
        <w:rPr>
          <w:rFonts w:ascii="Times New Roman" w:hAnsi="Times New Roman" w:cs="Times New Roman"/>
          <w:sz w:val="24"/>
          <w:szCs w:val="24"/>
        </w:rPr>
        <w:t>Organisation</w:t>
      </w:r>
      <w:proofErr w:type="spellEnd"/>
      <w:r w:rsidRPr="00DE7367">
        <w:rPr>
          <w:rFonts w:ascii="Times New Roman" w:hAnsi="Times New Roman" w:cs="Times New Roman"/>
          <w:sz w:val="24"/>
          <w:szCs w:val="24"/>
        </w:rPr>
        <w:t xml:space="preserve">, </w:t>
      </w:r>
      <w:r w:rsidRPr="00DE7367">
        <w:rPr>
          <w:rFonts w:ascii="Times New Roman" w:hAnsi="Times New Roman" w:cs="Times New Roman"/>
          <w:b/>
          <w:bCs/>
          <w:sz w:val="24"/>
          <w:szCs w:val="24"/>
        </w:rPr>
        <w:t xml:space="preserve">Labour </w:t>
      </w:r>
      <w:proofErr w:type="spellStart"/>
      <w:r w:rsidRPr="00DE7367">
        <w:rPr>
          <w:rFonts w:ascii="Times New Roman" w:hAnsi="Times New Roman" w:cs="Times New Roman"/>
          <w:b/>
          <w:bCs/>
          <w:sz w:val="24"/>
          <w:szCs w:val="24"/>
        </w:rPr>
        <w:t>Organisation</w:t>
      </w:r>
      <w:proofErr w:type="spellEnd"/>
      <w:r w:rsidRPr="00DE7367">
        <w:rPr>
          <w:rFonts w:ascii="Times New Roman" w:hAnsi="Times New Roman" w:cs="Times New Roman"/>
          <w:sz w:val="24"/>
          <w:szCs w:val="24"/>
        </w:rPr>
        <w:t>, v. 5, n. 1, p. 10-38, 2011.</w:t>
      </w:r>
    </w:p>
    <w:p w14:paraId="6B0496AE" w14:textId="77777777" w:rsidR="00CD6436" w:rsidRDefault="00CD6436" w:rsidP="006A7FED">
      <w:pPr>
        <w:spacing w:after="0" w:line="240" w:lineRule="auto"/>
        <w:rPr>
          <w:rFonts w:ascii="Times New Roman" w:hAnsi="Times New Roman" w:cs="Times New Roman"/>
          <w:sz w:val="24"/>
          <w:szCs w:val="24"/>
        </w:rPr>
      </w:pPr>
    </w:p>
    <w:p w14:paraId="14DDAAD9" w14:textId="2C29AC6D" w:rsidR="00CD6436" w:rsidRPr="006A7FED" w:rsidRDefault="00CD6436" w:rsidP="006A7FED">
      <w:pPr>
        <w:spacing w:after="0" w:line="240" w:lineRule="auto"/>
        <w:rPr>
          <w:rFonts w:ascii="Times New Roman" w:hAnsi="Times New Roman" w:cs="Times New Roman"/>
          <w:sz w:val="24"/>
          <w:szCs w:val="24"/>
        </w:rPr>
      </w:pPr>
      <w:r w:rsidRPr="00CD6436">
        <w:rPr>
          <w:rFonts w:ascii="Times New Roman" w:hAnsi="Times New Roman" w:cs="Times New Roman"/>
          <w:sz w:val="24"/>
          <w:szCs w:val="24"/>
        </w:rPr>
        <w:t xml:space="preserve">WERNER, Deborah. Rodadas de neoliberalização, provisão de infraestrutura e “efeito-China” no Brasil pós-1990. </w:t>
      </w:r>
      <w:r w:rsidRPr="00CD6436">
        <w:rPr>
          <w:rFonts w:ascii="Times New Roman" w:hAnsi="Times New Roman" w:cs="Times New Roman"/>
          <w:b/>
          <w:bCs/>
          <w:sz w:val="24"/>
          <w:szCs w:val="24"/>
        </w:rPr>
        <w:t>EURE (Santiago)</w:t>
      </w:r>
      <w:r w:rsidRPr="00CD6436">
        <w:rPr>
          <w:rFonts w:ascii="Times New Roman" w:hAnsi="Times New Roman" w:cs="Times New Roman"/>
          <w:sz w:val="24"/>
          <w:szCs w:val="24"/>
        </w:rPr>
        <w:t>, v. 46, n. 139, p. 143-162, 2020.</w:t>
      </w:r>
    </w:p>
    <w:sectPr w:rsidR="00CD6436" w:rsidRPr="006A7FED">
      <w:headerReference w:type="default" r:id="rId15"/>
      <w:footerReference w:type="default" r:id="rId16"/>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5EFBA" w14:textId="77777777" w:rsidR="0015225A" w:rsidRDefault="0015225A">
      <w:pPr>
        <w:spacing w:line="240" w:lineRule="auto"/>
      </w:pPr>
      <w:r>
        <w:separator/>
      </w:r>
    </w:p>
  </w:endnote>
  <w:endnote w:type="continuationSeparator" w:id="0">
    <w:p w14:paraId="4DCBA1CC" w14:textId="77777777" w:rsidR="0015225A" w:rsidRDefault="0015225A">
      <w:pPr>
        <w:spacing w:line="240" w:lineRule="auto"/>
      </w:pPr>
      <w:r>
        <w:continuationSeparator/>
      </w:r>
    </w:p>
  </w:endnote>
  <w:endnote w:type="continuationNotice" w:id="1">
    <w:p w14:paraId="777A6E38" w14:textId="77777777" w:rsidR="0015225A" w:rsidRDefault="001522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0A5E" w14:textId="77777777" w:rsidR="004E666D" w:rsidRDefault="00D65EDA">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1" allowOverlap="1" wp14:anchorId="32C3DD9B" wp14:editId="1F19537C">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7992688D" w14:textId="77777777" w:rsidR="004E666D" w:rsidRDefault="004E666D">
    <w:pPr>
      <w:pStyle w:val="Rodap"/>
      <w:jc w:val="both"/>
      <w:rPr>
        <w:rFonts w:ascii="Times New Roman" w:hAnsi="Times New Roman" w:cs="Times New Roman"/>
        <w:sz w:val="20"/>
        <w:szCs w:val="20"/>
      </w:rPr>
    </w:pPr>
  </w:p>
  <w:p w14:paraId="00C1D01A" w14:textId="77777777" w:rsidR="004E666D" w:rsidRDefault="00D65EDA">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659380F" w14:textId="77777777" w:rsidR="004E666D" w:rsidRDefault="004E666D">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3596E" w14:textId="77777777" w:rsidR="0015225A" w:rsidRDefault="0015225A">
      <w:pPr>
        <w:spacing w:after="0"/>
      </w:pPr>
      <w:r>
        <w:separator/>
      </w:r>
    </w:p>
  </w:footnote>
  <w:footnote w:type="continuationSeparator" w:id="0">
    <w:p w14:paraId="0524A15A" w14:textId="77777777" w:rsidR="0015225A" w:rsidRDefault="0015225A">
      <w:pPr>
        <w:spacing w:after="0"/>
      </w:pPr>
      <w:r>
        <w:continuationSeparator/>
      </w:r>
    </w:p>
  </w:footnote>
  <w:footnote w:type="continuationNotice" w:id="1">
    <w:p w14:paraId="0C3C0CCE" w14:textId="77777777" w:rsidR="0015225A" w:rsidRDefault="0015225A">
      <w:pPr>
        <w:spacing w:after="0" w:line="240" w:lineRule="auto"/>
      </w:pPr>
    </w:p>
  </w:footnote>
  <w:footnote w:id="2">
    <w:p w14:paraId="255E4ED0" w14:textId="77777777" w:rsidR="003406B6" w:rsidRPr="00B55AC5" w:rsidRDefault="003406B6" w:rsidP="003406B6">
      <w:pPr>
        <w:pStyle w:val="Textodenotaderodap"/>
        <w:jc w:val="both"/>
        <w:rPr>
          <w:rFonts w:ascii="Times New Roman" w:hAnsi="Times New Roman" w:cs="Times New Roman"/>
        </w:rPr>
      </w:pPr>
      <w:r w:rsidRPr="00B55AC5">
        <w:rPr>
          <w:rStyle w:val="Refdenotaderodap"/>
          <w:rFonts w:ascii="Times New Roman" w:hAnsi="Times New Roman" w:cs="Times New Roman"/>
        </w:rPr>
        <w:footnoteRef/>
      </w:r>
      <w:r w:rsidRPr="00B55AC5">
        <w:rPr>
          <w:rFonts w:ascii="Times New Roman" w:hAnsi="Times New Roman" w:cs="Times New Roman"/>
        </w:rPr>
        <w:t xml:space="preserve"> Os arranjos urbano-intermediários caracterizam-se não apenas pela dinâmica interna mais intensa de um, dois ou mais municípios integrados, mas pela relativa capacidade que têm de articular áreas de influência extensas em seus respectivos espaços regionais. É, portanto, um conceito mais complexo do que o dos arranjos populacionais.</w:t>
      </w:r>
    </w:p>
  </w:footnote>
  <w:footnote w:id="3">
    <w:p w14:paraId="3A964B02" w14:textId="449F13D7" w:rsidR="008123B1" w:rsidRPr="008123B1" w:rsidRDefault="008123B1" w:rsidP="008123B1">
      <w:pPr>
        <w:pStyle w:val="Textodenotaderodap"/>
        <w:jc w:val="both"/>
        <w:rPr>
          <w:rFonts w:ascii="Times New Roman" w:hAnsi="Times New Roman" w:cs="Times New Roman"/>
        </w:rPr>
      </w:pPr>
      <w:r w:rsidRPr="008123B1">
        <w:rPr>
          <w:rStyle w:val="Refdenotaderodap"/>
          <w:rFonts w:ascii="Times New Roman" w:hAnsi="Times New Roman" w:cs="Times New Roman"/>
        </w:rPr>
        <w:footnoteRef/>
      </w:r>
      <w:r w:rsidRPr="008123B1">
        <w:rPr>
          <w:rFonts w:ascii="Times New Roman" w:hAnsi="Times New Roman" w:cs="Times New Roman"/>
        </w:rPr>
        <w:t xml:space="preserve"> Essa condição é bastante típica das centralidades isoladas que caracterizam a forma como as principais cidades do interior do Nordeste exercem a sua hierarquia urbano-regional, conforme tem sido observado por diversos pesquisadores (IPEA, IBGE e UNICAMP, 2001; PORTO e MIRANDA, 2019; IBGE, 2020; 2008).</w:t>
      </w:r>
    </w:p>
  </w:footnote>
  <w:footnote w:id="4">
    <w:p w14:paraId="6D6410D0" w14:textId="02236344" w:rsidR="00963EC6" w:rsidRPr="00963EC6" w:rsidRDefault="00963EC6" w:rsidP="008123B1">
      <w:pPr>
        <w:pStyle w:val="Textodenotaderodap"/>
        <w:jc w:val="both"/>
        <w:rPr>
          <w:rFonts w:ascii="Times New Roman" w:hAnsi="Times New Roman" w:cs="Times New Roman"/>
        </w:rPr>
      </w:pPr>
      <w:r w:rsidRPr="008123B1">
        <w:rPr>
          <w:rStyle w:val="Refdenotaderodap"/>
          <w:rFonts w:ascii="Times New Roman" w:hAnsi="Times New Roman" w:cs="Times New Roman"/>
        </w:rPr>
        <w:footnoteRef/>
      </w:r>
      <w:r w:rsidRPr="008123B1">
        <w:rPr>
          <w:rFonts w:ascii="Times New Roman" w:hAnsi="Times New Roman" w:cs="Times New Roman"/>
        </w:rPr>
        <w:t xml:space="preserve"> </w:t>
      </w:r>
      <w:r w:rsidR="00E7275D">
        <w:rPr>
          <w:rFonts w:ascii="Times New Roman" w:hAnsi="Times New Roman" w:cs="Times New Roman"/>
        </w:rPr>
        <w:t>Isso se reforça com</w:t>
      </w:r>
      <w:r w:rsidRPr="008123B1">
        <w:rPr>
          <w:rFonts w:ascii="Times New Roman" w:hAnsi="Times New Roman" w:cs="Times New Roman"/>
        </w:rPr>
        <w:t xml:space="preserve"> a instituição da Região Metropolitana de Parnaíba (RMP) pela Lei Complementar nº 264/2022, que também criou o Conselho de Desenvolvimento da RMP. </w:t>
      </w:r>
      <w:r w:rsidR="00E7275D">
        <w:rPr>
          <w:rFonts w:ascii="Times New Roman" w:hAnsi="Times New Roman" w:cs="Times New Roman"/>
        </w:rPr>
        <w:t>Com intuito de ser</w:t>
      </w:r>
      <w:r w:rsidRPr="008123B1">
        <w:rPr>
          <w:rFonts w:ascii="Times New Roman" w:hAnsi="Times New Roman" w:cs="Times New Roman"/>
        </w:rPr>
        <w:t xml:space="preserve"> um importante componente do planejamento e para o desenvolvimento regional, a região metropolitana é composta pelos municípios piauienses de Cajueiro da Praia, Ilha Grande, Luís Correia </w:t>
      </w:r>
      <w:r w:rsidRPr="008123B1">
        <w:rPr>
          <w:rFonts w:ascii="Times New Roman" w:hAnsi="Times New Roman" w:cs="Times New Roman"/>
        </w:rPr>
        <w:t>e Parnaíba</w:t>
      </w:r>
      <w:r w:rsidR="00232200">
        <w:rPr>
          <w:rFonts w:ascii="Times New Roman" w:hAnsi="Times New Roman" w:cs="Times New Roman"/>
        </w:rPr>
        <w:t xml:space="preserve"> (SEPLAN, 2022a)</w:t>
      </w:r>
      <w:r w:rsidRPr="008123B1">
        <w:rPr>
          <w:rFonts w:ascii="Times New Roman" w:hAnsi="Times New Roman" w:cs="Times New Roman"/>
        </w:rPr>
        <w:t>.</w:t>
      </w:r>
    </w:p>
  </w:footnote>
  <w:footnote w:id="5">
    <w:p w14:paraId="2E024E84" w14:textId="77777777" w:rsidR="003406B6" w:rsidRPr="00B55AC5" w:rsidRDefault="003406B6" w:rsidP="003406B6">
      <w:pPr>
        <w:pStyle w:val="Textodenotaderodap"/>
        <w:jc w:val="both"/>
        <w:rPr>
          <w:rFonts w:ascii="Times New Roman" w:hAnsi="Times New Roman" w:cs="Times New Roman"/>
        </w:rPr>
      </w:pPr>
      <w:r w:rsidRPr="00B55AC5">
        <w:rPr>
          <w:rStyle w:val="Refdenotaderodap"/>
          <w:rFonts w:ascii="Times New Roman" w:hAnsi="Times New Roman" w:cs="Times New Roman"/>
        </w:rPr>
        <w:footnoteRef/>
      </w:r>
      <w:r w:rsidRPr="00B55AC5">
        <w:rPr>
          <w:rFonts w:ascii="Times New Roman" w:hAnsi="Times New Roman" w:cs="Times New Roman"/>
        </w:rPr>
        <w:t xml:space="preserve"> Convém recordar que a CR-A incorpora a população do município de Timon, pertencente ao Estado do Maranhão e da capital Teresina, no Estado do Piauí.</w:t>
      </w:r>
    </w:p>
  </w:footnote>
  <w:footnote w:id="6">
    <w:p w14:paraId="6D515FF8" w14:textId="77777777" w:rsidR="00BD325B" w:rsidRPr="00B55AC5" w:rsidRDefault="00BD325B" w:rsidP="00BD325B">
      <w:pPr>
        <w:pStyle w:val="Textodenotaderodap"/>
        <w:jc w:val="both"/>
        <w:rPr>
          <w:rFonts w:ascii="Times New Roman" w:hAnsi="Times New Roman" w:cs="Times New Roman"/>
        </w:rPr>
      </w:pPr>
      <w:r w:rsidRPr="00B55AC5">
        <w:rPr>
          <w:rStyle w:val="Refdenotaderodap"/>
          <w:rFonts w:ascii="Times New Roman" w:hAnsi="Times New Roman" w:cs="Times New Roman"/>
        </w:rPr>
        <w:footnoteRef/>
      </w:r>
      <w:r w:rsidRPr="00B55AC5">
        <w:rPr>
          <w:rFonts w:ascii="Times New Roman" w:hAnsi="Times New Roman" w:cs="Times New Roman"/>
        </w:rPr>
        <w:t xml:space="preserve"> Destacamos aqui a diferença conceitual entre Valor Adicionado Bruto (VAB) e Produto Interno Bruto (PIB). O primeiro refere-se à contribuição de cada setor à economia, correspondendo ao PIB a custos de fatores. Já o segundo, além dessa contribuição, leva-se em conta o valor dos impostos pagos na cadeia produtiva, equivalente ao PIB a preços de mercado.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A460" w14:textId="77777777" w:rsidR="004E666D" w:rsidRDefault="00D65EDA">
    <w:pPr>
      <w:pStyle w:val="Cabealho"/>
      <w:jc w:val="center"/>
    </w:pPr>
    <w:r>
      <w:rPr>
        <w:noProof/>
      </w:rPr>
      <mc:AlternateContent>
        <mc:Choice Requires="wps">
          <w:drawing>
            <wp:anchor distT="0" distB="0" distL="114300" distR="114300" simplePos="0" relativeHeight="251658240" behindDoc="1" locked="0" layoutInCell="1" allowOverlap="1" wp14:anchorId="2457ED5B" wp14:editId="5C398A35">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2677FE67" wp14:editId="64678584">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7279F975" wp14:editId="4C63FBE8">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AD4C029" w14:textId="77777777" w:rsidR="004E666D" w:rsidRDefault="004E666D">
    <w:pPr>
      <w:pStyle w:val="Cabealho"/>
      <w:jc w:val="center"/>
    </w:pPr>
  </w:p>
  <w:p w14:paraId="1EDC8ABC" w14:textId="77777777" w:rsidR="004E666D" w:rsidRDefault="004E666D">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87410F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23EB1D0D"/>
    <w:multiLevelType w:val="hybridMultilevel"/>
    <w:tmpl w:val="D7206E88"/>
    <w:lvl w:ilvl="0" w:tplc="041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2B65F0D"/>
    <w:multiLevelType w:val="hybridMultilevel"/>
    <w:tmpl w:val="F1C6E06C"/>
    <w:lvl w:ilvl="0" w:tplc="028C05B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325677C"/>
    <w:multiLevelType w:val="multilevel"/>
    <w:tmpl w:val="02D4F5D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DA4295E"/>
    <w:multiLevelType w:val="hybridMultilevel"/>
    <w:tmpl w:val="AFACFB12"/>
    <w:lvl w:ilvl="0" w:tplc="CE08A45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9F225E5"/>
    <w:multiLevelType w:val="hybridMultilevel"/>
    <w:tmpl w:val="0F708B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71A930D9"/>
    <w:multiLevelType w:val="hybridMultilevel"/>
    <w:tmpl w:val="8A16FB32"/>
    <w:lvl w:ilvl="0" w:tplc="A3C08E6E">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7511E96"/>
    <w:multiLevelType w:val="hybridMultilevel"/>
    <w:tmpl w:val="B87AA2F6"/>
    <w:lvl w:ilvl="0" w:tplc="AC2A331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DF57410"/>
    <w:multiLevelType w:val="hybridMultilevel"/>
    <w:tmpl w:val="F1C6E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9683976">
    <w:abstractNumId w:val="7"/>
  </w:num>
  <w:num w:numId="2" w16cid:durableId="1281300390">
    <w:abstractNumId w:val="4"/>
  </w:num>
  <w:num w:numId="3" w16cid:durableId="1617639990">
    <w:abstractNumId w:val="5"/>
  </w:num>
  <w:num w:numId="4" w16cid:durableId="1558321788">
    <w:abstractNumId w:val="1"/>
  </w:num>
  <w:num w:numId="5" w16cid:durableId="1307856862">
    <w:abstractNumId w:val="2"/>
  </w:num>
  <w:num w:numId="6" w16cid:durableId="986781493">
    <w:abstractNumId w:val="8"/>
  </w:num>
  <w:num w:numId="7" w16cid:durableId="2007127951">
    <w:abstractNumId w:val="3"/>
  </w:num>
  <w:num w:numId="8" w16cid:durableId="1207837768">
    <w:abstractNumId w:val="0"/>
  </w:num>
  <w:num w:numId="9" w16cid:durableId="74206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64BC"/>
    <w:rsid w:val="0001165E"/>
    <w:rsid w:val="00013491"/>
    <w:rsid w:val="0001640A"/>
    <w:rsid w:val="0002591D"/>
    <w:rsid w:val="00036C01"/>
    <w:rsid w:val="00041248"/>
    <w:rsid w:val="000452FB"/>
    <w:rsid w:val="000607CA"/>
    <w:rsid w:val="00062143"/>
    <w:rsid w:val="000626B6"/>
    <w:rsid w:val="000661B9"/>
    <w:rsid w:val="0006639D"/>
    <w:rsid w:val="00095AA7"/>
    <w:rsid w:val="00097260"/>
    <w:rsid w:val="000A271F"/>
    <w:rsid w:val="000B1AB4"/>
    <w:rsid w:val="000B4DB7"/>
    <w:rsid w:val="000C743F"/>
    <w:rsid w:val="000D339B"/>
    <w:rsid w:val="000D6889"/>
    <w:rsid w:val="000E62AE"/>
    <w:rsid w:val="000F2C33"/>
    <w:rsid w:val="000F2F58"/>
    <w:rsid w:val="000F537D"/>
    <w:rsid w:val="001157F7"/>
    <w:rsid w:val="00117DE1"/>
    <w:rsid w:val="00126F78"/>
    <w:rsid w:val="00127D3C"/>
    <w:rsid w:val="001313F7"/>
    <w:rsid w:val="00131517"/>
    <w:rsid w:val="00131DA3"/>
    <w:rsid w:val="00146BC7"/>
    <w:rsid w:val="0015225A"/>
    <w:rsid w:val="00171189"/>
    <w:rsid w:val="0017578A"/>
    <w:rsid w:val="0017619A"/>
    <w:rsid w:val="001915AF"/>
    <w:rsid w:val="00193F3F"/>
    <w:rsid w:val="001A5A42"/>
    <w:rsid w:val="001B27E8"/>
    <w:rsid w:val="001B310E"/>
    <w:rsid w:val="001C4A82"/>
    <w:rsid w:val="001D1D4A"/>
    <w:rsid w:val="001D7E40"/>
    <w:rsid w:val="001E5F0F"/>
    <w:rsid w:val="001F473C"/>
    <w:rsid w:val="00205C3F"/>
    <w:rsid w:val="00206A92"/>
    <w:rsid w:val="002070D5"/>
    <w:rsid w:val="002127C0"/>
    <w:rsid w:val="00216336"/>
    <w:rsid w:val="00216CA7"/>
    <w:rsid w:val="00232200"/>
    <w:rsid w:val="002372F5"/>
    <w:rsid w:val="00241841"/>
    <w:rsid w:val="00246A47"/>
    <w:rsid w:val="0025098E"/>
    <w:rsid w:val="00253D3D"/>
    <w:rsid w:val="00255C43"/>
    <w:rsid w:val="00262234"/>
    <w:rsid w:val="00281CF3"/>
    <w:rsid w:val="00282F7D"/>
    <w:rsid w:val="0028461E"/>
    <w:rsid w:val="002927BE"/>
    <w:rsid w:val="0029284E"/>
    <w:rsid w:val="002C253B"/>
    <w:rsid w:val="002D1E26"/>
    <w:rsid w:val="002E24DF"/>
    <w:rsid w:val="002E5E80"/>
    <w:rsid w:val="00300C0D"/>
    <w:rsid w:val="00305D67"/>
    <w:rsid w:val="0031123A"/>
    <w:rsid w:val="0031292D"/>
    <w:rsid w:val="00314720"/>
    <w:rsid w:val="00317FC3"/>
    <w:rsid w:val="00322040"/>
    <w:rsid w:val="00335421"/>
    <w:rsid w:val="003406B6"/>
    <w:rsid w:val="00351694"/>
    <w:rsid w:val="00355331"/>
    <w:rsid w:val="00372E44"/>
    <w:rsid w:val="0037413C"/>
    <w:rsid w:val="0039499A"/>
    <w:rsid w:val="00396143"/>
    <w:rsid w:val="003A46FC"/>
    <w:rsid w:val="003A667B"/>
    <w:rsid w:val="003B57D1"/>
    <w:rsid w:val="003D2E6C"/>
    <w:rsid w:val="003E74EE"/>
    <w:rsid w:val="003E7FB0"/>
    <w:rsid w:val="003F6414"/>
    <w:rsid w:val="00404163"/>
    <w:rsid w:val="00415846"/>
    <w:rsid w:val="004230C0"/>
    <w:rsid w:val="00426761"/>
    <w:rsid w:val="00431FEA"/>
    <w:rsid w:val="00432FFC"/>
    <w:rsid w:val="00436165"/>
    <w:rsid w:val="00465C27"/>
    <w:rsid w:val="004660CA"/>
    <w:rsid w:val="0047364A"/>
    <w:rsid w:val="00484FE9"/>
    <w:rsid w:val="00492CC1"/>
    <w:rsid w:val="004956FA"/>
    <w:rsid w:val="004A2278"/>
    <w:rsid w:val="004A7D61"/>
    <w:rsid w:val="004B6392"/>
    <w:rsid w:val="004B7D3C"/>
    <w:rsid w:val="004C459F"/>
    <w:rsid w:val="004C519B"/>
    <w:rsid w:val="004D292A"/>
    <w:rsid w:val="004D3EA5"/>
    <w:rsid w:val="004E074A"/>
    <w:rsid w:val="004E666D"/>
    <w:rsid w:val="00507277"/>
    <w:rsid w:val="00507F7E"/>
    <w:rsid w:val="00510174"/>
    <w:rsid w:val="00510F45"/>
    <w:rsid w:val="00523AC4"/>
    <w:rsid w:val="005401AA"/>
    <w:rsid w:val="00544A41"/>
    <w:rsid w:val="00547559"/>
    <w:rsid w:val="00550909"/>
    <w:rsid w:val="005550B1"/>
    <w:rsid w:val="0055578F"/>
    <w:rsid w:val="00566769"/>
    <w:rsid w:val="00567B75"/>
    <w:rsid w:val="00574744"/>
    <w:rsid w:val="00576031"/>
    <w:rsid w:val="00581F75"/>
    <w:rsid w:val="00583CB2"/>
    <w:rsid w:val="005A6FC9"/>
    <w:rsid w:val="005B035D"/>
    <w:rsid w:val="005B740F"/>
    <w:rsid w:val="005E04F4"/>
    <w:rsid w:val="005F3E40"/>
    <w:rsid w:val="0060315E"/>
    <w:rsid w:val="0061122A"/>
    <w:rsid w:val="00614894"/>
    <w:rsid w:val="00623867"/>
    <w:rsid w:val="00663246"/>
    <w:rsid w:val="00666412"/>
    <w:rsid w:val="00667ECC"/>
    <w:rsid w:val="00673494"/>
    <w:rsid w:val="00687012"/>
    <w:rsid w:val="006931FF"/>
    <w:rsid w:val="006A39E5"/>
    <w:rsid w:val="006A7FED"/>
    <w:rsid w:val="006B4252"/>
    <w:rsid w:val="006B65FB"/>
    <w:rsid w:val="006E338A"/>
    <w:rsid w:val="00704079"/>
    <w:rsid w:val="007062E9"/>
    <w:rsid w:val="00712D8B"/>
    <w:rsid w:val="00717B85"/>
    <w:rsid w:val="007224DA"/>
    <w:rsid w:val="007229EB"/>
    <w:rsid w:val="007230EF"/>
    <w:rsid w:val="00730840"/>
    <w:rsid w:val="00742E94"/>
    <w:rsid w:val="00745310"/>
    <w:rsid w:val="00750011"/>
    <w:rsid w:val="00751294"/>
    <w:rsid w:val="00753496"/>
    <w:rsid w:val="00760075"/>
    <w:rsid w:val="00766217"/>
    <w:rsid w:val="0079062F"/>
    <w:rsid w:val="0079621B"/>
    <w:rsid w:val="007A3A8D"/>
    <w:rsid w:val="007B7B00"/>
    <w:rsid w:val="007C3EAC"/>
    <w:rsid w:val="007E1ABD"/>
    <w:rsid w:val="007E5E6F"/>
    <w:rsid w:val="007F00F4"/>
    <w:rsid w:val="007F0FC6"/>
    <w:rsid w:val="00807B53"/>
    <w:rsid w:val="0081138B"/>
    <w:rsid w:val="0081213B"/>
    <w:rsid w:val="008123B1"/>
    <w:rsid w:val="008309A0"/>
    <w:rsid w:val="00841FAF"/>
    <w:rsid w:val="00842C97"/>
    <w:rsid w:val="008452F1"/>
    <w:rsid w:val="00850CFF"/>
    <w:rsid w:val="00851169"/>
    <w:rsid w:val="0085799B"/>
    <w:rsid w:val="00862B9D"/>
    <w:rsid w:val="0087149D"/>
    <w:rsid w:val="00874ADC"/>
    <w:rsid w:val="008815F1"/>
    <w:rsid w:val="00881A23"/>
    <w:rsid w:val="008B3374"/>
    <w:rsid w:val="008B345D"/>
    <w:rsid w:val="008B5C06"/>
    <w:rsid w:val="008C45E0"/>
    <w:rsid w:val="008C50C2"/>
    <w:rsid w:val="008D5051"/>
    <w:rsid w:val="008E1FAB"/>
    <w:rsid w:val="008E4ABC"/>
    <w:rsid w:val="008F2849"/>
    <w:rsid w:val="009177D2"/>
    <w:rsid w:val="00935834"/>
    <w:rsid w:val="00937827"/>
    <w:rsid w:val="00941BD5"/>
    <w:rsid w:val="00944FC2"/>
    <w:rsid w:val="009469F0"/>
    <w:rsid w:val="00961141"/>
    <w:rsid w:val="00962B7C"/>
    <w:rsid w:val="00963EC6"/>
    <w:rsid w:val="00964DC4"/>
    <w:rsid w:val="009702FA"/>
    <w:rsid w:val="00985972"/>
    <w:rsid w:val="00997CF3"/>
    <w:rsid w:val="009A6570"/>
    <w:rsid w:val="009B0A99"/>
    <w:rsid w:val="009B3558"/>
    <w:rsid w:val="009B7558"/>
    <w:rsid w:val="009E245D"/>
    <w:rsid w:val="009F167A"/>
    <w:rsid w:val="009F1E06"/>
    <w:rsid w:val="009F6515"/>
    <w:rsid w:val="009F7D42"/>
    <w:rsid w:val="00A055E3"/>
    <w:rsid w:val="00A06FF7"/>
    <w:rsid w:val="00A12BDF"/>
    <w:rsid w:val="00A150AB"/>
    <w:rsid w:val="00A20184"/>
    <w:rsid w:val="00A2414E"/>
    <w:rsid w:val="00A33657"/>
    <w:rsid w:val="00A3510B"/>
    <w:rsid w:val="00A363CF"/>
    <w:rsid w:val="00A40FDD"/>
    <w:rsid w:val="00A500FD"/>
    <w:rsid w:val="00A524AD"/>
    <w:rsid w:val="00A57784"/>
    <w:rsid w:val="00A6074E"/>
    <w:rsid w:val="00A61614"/>
    <w:rsid w:val="00A66A0B"/>
    <w:rsid w:val="00A734E4"/>
    <w:rsid w:val="00A73C65"/>
    <w:rsid w:val="00A76E13"/>
    <w:rsid w:val="00A93F7A"/>
    <w:rsid w:val="00A975E3"/>
    <w:rsid w:val="00AE27FC"/>
    <w:rsid w:val="00AE41C2"/>
    <w:rsid w:val="00AF7C95"/>
    <w:rsid w:val="00B17C25"/>
    <w:rsid w:val="00B22FF9"/>
    <w:rsid w:val="00B3360A"/>
    <w:rsid w:val="00B37407"/>
    <w:rsid w:val="00B41EE1"/>
    <w:rsid w:val="00B5246B"/>
    <w:rsid w:val="00B55AC5"/>
    <w:rsid w:val="00B615B1"/>
    <w:rsid w:val="00B8081F"/>
    <w:rsid w:val="00B865C5"/>
    <w:rsid w:val="00B97BDB"/>
    <w:rsid w:val="00BA35A5"/>
    <w:rsid w:val="00BA76CB"/>
    <w:rsid w:val="00BB1DCF"/>
    <w:rsid w:val="00BB671E"/>
    <w:rsid w:val="00BC20FF"/>
    <w:rsid w:val="00BC5288"/>
    <w:rsid w:val="00BC5854"/>
    <w:rsid w:val="00BC5EFE"/>
    <w:rsid w:val="00BC65AB"/>
    <w:rsid w:val="00BC6941"/>
    <w:rsid w:val="00BC6D50"/>
    <w:rsid w:val="00BD325B"/>
    <w:rsid w:val="00BD5FAB"/>
    <w:rsid w:val="00BE6E0A"/>
    <w:rsid w:val="00BF1303"/>
    <w:rsid w:val="00C35303"/>
    <w:rsid w:val="00C42BFA"/>
    <w:rsid w:val="00C5080A"/>
    <w:rsid w:val="00C70F91"/>
    <w:rsid w:val="00C73871"/>
    <w:rsid w:val="00C80FF0"/>
    <w:rsid w:val="00C83638"/>
    <w:rsid w:val="00C866B9"/>
    <w:rsid w:val="00C87F92"/>
    <w:rsid w:val="00C931DA"/>
    <w:rsid w:val="00C9456A"/>
    <w:rsid w:val="00C9738E"/>
    <w:rsid w:val="00CB7A84"/>
    <w:rsid w:val="00CC0434"/>
    <w:rsid w:val="00CD2554"/>
    <w:rsid w:val="00CD4D95"/>
    <w:rsid w:val="00CD6436"/>
    <w:rsid w:val="00CD6E85"/>
    <w:rsid w:val="00CF4459"/>
    <w:rsid w:val="00D03A7E"/>
    <w:rsid w:val="00D06AD3"/>
    <w:rsid w:val="00D234CF"/>
    <w:rsid w:val="00D3175B"/>
    <w:rsid w:val="00D320E2"/>
    <w:rsid w:val="00D368C5"/>
    <w:rsid w:val="00D42743"/>
    <w:rsid w:val="00D45963"/>
    <w:rsid w:val="00D55421"/>
    <w:rsid w:val="00D65EDA"/>
    <w:rsid w:val="00D67A24"/>
    <w:rsid w:val="00D77D26"/>
    <w:rsid w:val="00D876AB"/>
    <w:rsid w:val="00D9095E"/>
    <w:rsid w:val="00D93E0C"/>
    <w:rsid w:val="00D94A3D"/>
    <w:rsid w:val="00D9774B"/>
    <w:rsid w:val="00DA12CB"/>
    <w:rsid w:val="00DA2014"/>
    <w:rsid w:val="00DB2D41"/>
    <w:rsid w:val="00DC1070"/>
    <w:rsid w:val="00DC2ED1"/>
    <w:rsid w:val="00DD1B75"/>
    <w:rsid w:val="00DD246B"/>
    <w:rsid w:val="00DD302D"/>
    <w:rsid w:val="00DD690D"/>
    <w:rsid w:val="00DE64DD"/>
    <w:rsid w:val="00DE7367"/>
    <w:rsid w:val="00DF36B7"/>
    <w:rsid w:val="00DF745D"/>
    <w:rsid w:val="00E0306D"/>
    <w:rsid w:val="00E058A9"/>
    <w:rsid w:val="00E061BE"/>
    <w:rsid w:val="00E10E20"/>
    <w:rsid w:val="00E17498"/>
    <w:rsid w:val="00E27607"/>
    <w:rsid w:val="00E3081A"/>
    <w:rsid w:val="00E342A9"/>
    <w:rsid w:val="00E41675"/>
    <w:rsid w:val="00E41A87"/>
    <w:rsid w:val="00E42AE0"/>
    <w:rsid w:val="00E50039"/>
    <w:rsid w:val="00E56D2D"/>
    <w:rsid w:val="00E5796A"/>
    <w:rsid w:val="00E703B7"/>
    <w:rsid w:val="00E7258C"/>
    <w:rsid w:val="00E7275D"/>
    <w:rsid w:val="00E80CAE"/>
    <w:rsid w:val="00EC6102"/>
    <w:rsid w:val="00EE1731"/>
    <w:rsid w:val="00EF1491"/>
    <w:rsid w:val="00F14AEC"/>
    <w:rsid w:val="00F22EFF"/>
    <w:rsid w:val="00F40168"/>
    <w:rsid w:val="00F518F9"/>
    <w:rsid w:val="00F52EE7"/>
    <w:rsid w:val="00F56577"/>
    <w:rsid w:val="00F629B7"/>
    <w:rsid w:val="00F63D48"/>
    <w:rsid w:val="00F73F63"/>
    <w:rsid w:val="00F77FB1"/>
    <w:rsid w:val="00F959FD"/>
    <w:rsid w:val="00F967F9"/>
    <w:rsid w:val="00FA0C95"/>
    <w:rsid w:val="00FA3412"/>
    <w:rsid w:val="00FB444F"/>
    <w:rsid w:val="00FB4E77"/>
    <w:rsid w:val="00FB7389"/>
    <w:rsid w:val="00FC0EC9"/>
    <w:rsid w:val="00FC4F7E"/>
    <w:rsid w:val="00FC5B00"/>
    <w:rsid w:val="00FC7B17"/>
    <w:rsid w:val="00FD282C"/>
    <w:rsid w:val="00FE02D6"/>
    <w:rsid w:val="00FE22F5"/>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61D1"/>
  <w15:docId w15:val="{377C2421-DCFF-423A-A73C-0B4A99B7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39"/>
    <w:rsid w:val="003406B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3406B6"/>
    <w:pPr>
      <w:ind w:left="720"/>
      <w:contextualSpacing/>
    </w:pPr>
  </w:style>
  <w:style w:type="paragraph" w:styleId="Textodenotaderodap">
    <w:name w:val="footnote text"/>
    <w:basedOn w:val="Normal"/>
    <w:link w:val="TextodenotaderodapChar"/>
    <w:uiPriority w:val="99"/>
    <w:unhideWhenUsed/>
    <w:qFormat/>
    <w:rsid w:val="003406B6"/>
    <w:pPr>
      <w:spacing w:after="0" w:line="240" w:lineRule="auto"/>
    </w:pPr>
    <w:rPr>
      <w:sz w:val="20"/>
      <w:szCs w:val="20"/>
    </w:rPr>
  </w:style>
  <w:style w:type="character" w:customStyle="1" w:styleId="TextodenotaderodapChar">
    <w:name w:val="Texto de nota de rodapé Char"/>
    <w:basedOn w:val="Fontepargpadro"/>
    <w:link w:val="Textodenotaderodap"/>
    <w:uiPriority w:val="99"/>
    <w:qFormat/>
    <w:rsid w:val="003406B6"/>
    <w:rPr>
      <w:lang w:eastAsia="en-US"/>
    </w:rPr>
  </w:style>
  <w:style w:type="character" w:styleId="Refdenotaderodap">
    <w:name w:val="footnote reference"/>
    <w:basedOn w:val="Fontepargpadro"/>
    <w:uiPriority w:val="99"/>
    <w:semiHidden/>
    <w:unhideWhenUsed/>
    <w:qFormat/>
    <w:rsid w:val="003406B6"/>
    <w:rPr>
      <w:vertAlign w:val="superscript"/>
    </w:rPr>
  </w:style>
  <w:style w:type="paragraph" w:styleId="NormalWeb">
    <w:name w:val="Normal (Web)"/>
    <w:basedOn w:val="Normal"/>
    <w:uiPriority w:val="99"/>
    <w:unhideWhenUsed/>
    <w:rsid w:val="003406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3406B6"/>
    <w:rPr>
      <w:color w:val="0563C1" w:themeColor="hyperlink"/>
      <w:u w:val="single"/>
    </w:rPr>
  </w:style>
  <w:style w:type="paragraph" w:customStyle="1" w:styleId="paragraph">
    <w:name w:val="paragraph"/>
    <w:basedOn w:val="Normal"/>
    <w:rsid w:val="003406B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3406B6"/>
  </w:style>
  <w:style w:type="character" w:styleId="HiperlinkVisitado">
    <w:name w:val="FollowedHyperlink"/>
    <w:basedOn w:val="Fontepargpadro"/>
    <w:uiPriority w:val="99"/>
    <w:semiHidden/>
    <w:unhideWhenUsed/>
    <w:rsid w:val="003406B6"/>
    <w:rPr>
      <w:color w:val="954F72"/>
      <w:u w:val="single"/>
    </w:rPr>
  </w:style>
  <w:style w:type="paragraph" w:customStyle="1" w:styleId="msonormal0">
    <w:name w:val="msonormal"/>
    <w:basedOn w:val="Normal"/>
    <w:rsid w:val="003406B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3406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64">
    <w:name w:val="xl64"/>
    <w:basedOn w:val="Normal"/>
    <w:rsid w:val="003406B6"/>
    <w:pPr>
      <w:spacing w:before="100" w:beforeAutospacing="1" w:after="100" w:afterAutospacing="1" w:line="240" w:lineRule="auto"/>
      <w:textAlignment w:val="center"/>
    </w:pPr>
    <w:rPr>
      <w:rFonts w:ascii="Times New Roman" w:eastAsia="Times New Roman" w:hAnsi="Times New Roman" w:cs="Times New Roman"/>
      <w:sz w:val="24"/>
      <w:szCs w:val="24"/>
      <w:lang w:eastAsia="pt-BR"/>
    </w:rPr>
  </w:style>
  <w:style w:type="paragraph" w:customStyle="1" w:styleId="xl65">
    <w:name w:val="xl65"/>
    <w:basedOn w:val="Normal"/>
    <w:rsid w:val="003406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6">
    <w:name w:val="xl66"/>
    <w:basedOn w:val="Normal"/>
    <w:rsid w:val="003406B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7">
    <w:name w:val="xl67"/>
    <w:basedOn w:val="Normal"/>
    <w:rsid w:val="003406B6"/>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8">
    <w:name w:val="xl68"/>
    <w:basedOn w:val="Normal"/>
    <w:rsid w:val="003406B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9">
    <w:name w:val="xl69"/>
    <w:basedOn w:val="Normal"/>
    <w:rsid w:val="003406B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0">
    <w:name w:val="xl70"/>
    <w:basedOn w:val="Normal"/>
    <w:rsid w:val="003406B6"/>
    <w:pPr>
      <w:pBdr>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3406B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character" w:styleId="MenoPendente">
    <w:name w:val="Unresolved Mention"/>
    <w:basedOn w:val="Fontepargpadro"/>
    <w:uiPriority w:val="99"/>
    <w:semiHidden/>
    <w:unhideWhenUsed/>
    <w:rsid w:val="003406B6"/>
    <w:rPr>
      <w:color w:val="605E5C"/>
      <w:shd w:val="clear" w:color="auto" w:fill="E1DFDD"/>
    </w:rPr>
  </w:style>
  <w:style w:type="paragraph" w:styleId="Commarcadores">
    <w:name w:val="List Bullet"/>
    <w:basedOn w:val="Normal"/>
    <w:uiPriority w:val="99"/>
    <w:unhideWhenUsed/>
    <w:rsid w:val="003406B6"/>
    <w:pPr>
      <w:numPr>
        <w:numId w:val="8"/>
      </w:numPr>
      <w:contextualSpacing/>
    </w:pPr>
  </w:style>
  <w:style w:type="paragraph" w:styleId="Reviso">
    <w:name w:val="Revision"/>
    <w:hidden/>
    <w:uiPriority w:val="99"/>
    <w:semiHidden/>
    <w:rsid w:val="00F4016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22514">
      <w:bodyDiv w:val="1"/>
      <w:marLeft w:val="0"/>
      <w:marRight w:val="0"/>
      <w:marTop w:val="0"/>
      <w:marBottom w:val="0"/>
      <w:divBdr>
        <w:top w:val="none" w:sz="0" w:space="0" w:color="auto"/>
        <w:left w:val="none" w:sz="0" w:space="0" w:color="auto"/>
        <w:bottom w:val="none" w:sz="0" w:space="0" w:color="auto"/>
        <w:right w:val="none" w:sz="0" w:space="0" w:color="auto"/>
      </w:divBdr>
    </w:div>
    <w:div w:id="474951786">
      <w:bodyDiv w:val="1"/>
      <w:marLeft w:val="0"/>
      <w:marRight w:val="0"/>
      <w:marTop w:val="0"/>
      <w:marBottom w:val="0"/>
      <w:divBdr>
        <w:top w:val="none" w:sz="0" w:space="0" w:color="auto"/>
        <w:left w:val="none" w:sz="0" w:space="0" w:color="auto"/>
        <w:bottom w:val="none" w:sz="0" w:space="0" w:color="auto"/>
        <w:right w:val="none" w:sz="0" w:space="0" w:color="auto"/>
      </w:divBdr>
    </w:div>
    <w:div w:id="497188281">
      <w:bodyDiv w:val="1"/>
      <w:marLeft w:val="0"/>
      <w:marRight w:val="0"/>
      <w:marTop w:val="0"/>
      <w:marBottom w:val="0"/>
      <w:divBdr>
        <w:top w:val="none" w:sz="0" w:space="0" w:color="auto"/>
        <w:left w:val="none" w:sz="0" w:space="0" w:color="auto"/>
        <w:bottom w:val="none" w:sz="0" w:space="0" w:color="auto"/>
        <w:right w:val="none" w:sz="0" w:space="0" w:color="auto"/>
      </w:divBdr>
    </w:div>
    <w:div w:id="738746780">
      <w:bodyDiv w:val="1"/>
      <w:marLeft w:val="0"/>
      <w:marRight w:val="0"/>
      <w:marTop w:val="0"/>
      <w:marBottom w:val="0"/>
      <w:divBdr>
        <w:top w:val="none" w:sz="0" w:space="0" w:color="auto"/>
        <w:left w:val="none" w:sz="0" w:space="0" w:color="auto"/>
        <w:bottom w:val="none" w:sz="0" w:space="0" w:color="auto"/>
        <w:right w:val="none" w:sz="0" w:space="0" w:color="auto"/>
      </w:divBdr>
    </w:div>
    <w:div w:id="1465460815">
      <w:bodyDiv w:val="1"/>
      <w:marLeft w:val="0"/>
      <w:marRight w:val="0"/>
      <w:marTop w:val="0"/>
      <w:marBottom w:val="0"/>
      <w:divBdr>
        <w:top w:val="none" w:sz="0" w:space="0" w:color="auto"/>
        <w:left w:val="none" w:sz="0" w:space="0" w:color="auto"/>
        <w:bottom w:val="none" w:sz="0" w:space="0" w:color="auto"/>
        <w:right w:val="none" w:sz="0" w:space="0" w:color="auto"/>
      </w:divBdr>
    </w:div>
    <w:div w:id="1798640406">
      <w:bodyDiv w:val="1"/>
      <w:marLeft w:val="0"/>
      <w:marRight w:val="0"/>
      <w:marTop w:val="0"/>
      <w:marBottom w:val="0"/>
      <w:divBdr>
        <w:top w:val="none" w:sz="0" w:space="0" w:color="auto"/>
        <w:left w:val="none" w:sz="0" w:space="0" w:color="auto"/>
        <w:bottom w:val="none" w:sz="0" w:space="0" w:color="auto"/>
        <w:right w:val="none" w:sz="0" w:space="0" w:color="auto"/>
      </w:divBdr>
    </w:div>
    <w:div w:id="1897626581">
      <w:bodyDiv w:val="1"/>
      <w:marLeft w:val="0"/>
      <w:marRight w:val="0"/>
      <w:marTop w:val="0"/>
      <w:marBottom w:val="0"/>
      <w:divBdr>
        <w:top w:val="none" w:sz="0" w:space="0" w:color="auto"/>
        <w:left w:val="none" w:sz="0" w:space="0" w:color="auto"/>
        <w:bottom w:val="none" w:sz="0" w:space="0" w:color="auto"/>
        <w:right w:val="none" w:sz="0" w:space="0" w:color="auto"/>
      </w:divBdr>
    </w:div>
    <w:div w:id="2009088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npur.org.br/xviiienanpur/anais-st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periodicos.sbu.unicamp.br/ojs/index.php/ecos/article/view/865093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yperlink" Target="https://www.sisgeenco.com.br/anais/enanpur/2022/arquivos/GT11_SEM_333_597_202112071521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cbe39f74c13ffec5/&#193;rea%20de%20Trabalho/ZPE%20Parna&#237;ba%20Piau&#237;/Rela&#231;&#227;o%20de%20tabelas%20graficos%20e%20figura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'[Relação de tabelas graficos e figuras.xlsx]Gráfico 1'!$R$2:$U$2</c:f>
              <c:strCache>
                <c:ptCount val="4"/>
                <c:pt idx="0">
                  <c:v>Incremento Pop tot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'[Relação de tabelas graficos e figuras.xlsx]Gráfico 1'!$V$3:$Y$3</c:f>
              <c:strCache>
                <c:ptCount val="4"/>
                <c:pt idx="0">
                  <c:v>1970/80</c:v>
                </c:pt>
                <c:pt idx="1">
                  <c:v>1980/91</c:v>
                </c:pt>
                <c:pt idx="2">
                  <c:v>1991/00</c:v>
                </c:pt>
                <c:pt idx="3">
                  <c:v>2000/10</c:v>
                </c:pt>
              </c:strCache>
            </c:strRef>
          </c:cat>
          <c:val>
            <c:numRef>
              <c:f>'[Relação de tabelas graficos e figuras.xlsx]Gráfico 1'!$R$6:$U$6</c:f>
              <c:numCache>
                <c:formatCode>###0</c:formatCode>
                <c:ptCount val="4"/>
                <c:pt idx="0">
                  <c:v>458623</c:v>
                </c:pt>
                <c:pt idx="1">
                  <c:v>442941</c:v>
                </c:pt>
                <c:pt idx="2">
                  <c:v>261291</c:v>
                </c:pt>
                <c:pt idx="3">
                  <c:v>274932</c:v>
                </c:pt>
              </c:numCache>
            </c:numRef>
          </c:val>
          <c:smooth val="0"/>
          <c:extLst>
            <c:ext xmlns:c16="http://schemas.microsoft.com/office/drawing/2014/chart" uri="{C3380CC4-5D6E-409C-BE32-E72D297353CC}">
              <c16:uniqueId val="{00000000-9D2A-48D4-8B01-2F05C0BB38F7}"/>
            </c:ext>
          </c:extLst>
        </c:ser>
        <c:ser>
          <c:idx val="1"/>
          <c:order val="1"/>
          <c:tx>
            <c:strRef>
              <c:f>'[Relação de tabelas graficos e figuras.xlsx]Gráfico 1'!$V$2:$Y$2</c:f>
              <c:strCache>
                <c:ptCount val="4"/>
                <c:pt idx="0">
                  <c:v>Incremento Pop urb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'[Relação de tabelas graficos e figuras.xlsx]Gráfico 1'!$V$3:$Y$3</c:f>
              <c:strCache>
                <c:ptCount val="4"/>
                <c:pt idx="0">
                  <c:v>1970/80</c:v>
                </c:pt>
                <c:pt idx="1">
                  <c:v>1980/91</c:v>
                </c:pt>
                <c:pt idx="2">
                  <c:v>1991/00</c:v>
                </c:pt>
                <c:pt idx="3">
                  <c:v>2000/10</c:v>
                </c:pt>
              </c:strCache>
            </c:strRef>
          </c:cat>
          <c:val>
            <c:numRef>
              <c:f>'[Relação de tabelas graficos e figuras.xlsx]Gráfico 1'!$V$6:$Y$6</c:f>
              <c:numCache>
                <c:formatCode>###0</c:formatCode>
                <c:ptCount val="4"/>
                <c:pt idx="0">
                  <c:v>360302</c:v>
                </c:pt>
                <c:pt idx="1">
                  <c:v>469372</c:v>
                </c:pt>
                <c:pt idx="2">
                  <c:v>421146</c:v>
                </c:pt>
                <c:pt idx="3">
                  <c:v>262744</c:v>
                </c:pt>
              </c:numCache>
            </c:numRef>
          </c:val>
          <c:smooth val="0"/>
          <c:extLst>
            <c:ext xmlns:c16="http://schemas.microsoft.com/office/drawing/2014/chart" uri="{C3380CC4-5D6E-409C-BE32-E72D297353CC}">
              <c16:uniqueId val="{00000001-9D2A-48D4-8B01-2F05C0BB38F7}"/>
            </c:ext>
          </c:extLst>
        </c:ser>
        <c:ser>
          <c:idx val="2"/>
          <c:order val="2"/>
          <c:tx>
            <c:strRef>
              <c:f>'[Relação de tabelas graficos e figuras.xlsx]Gráfico 1'!$Z$2:$AC$2</c:f>
              <c:strCache>
                <c:ptCount val="4"/>
                <c:pt idx="0">
                  <c:v>Incremento Pop rural</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'[Relação de tabelas graficos e figuras.xlsx]Gráfico 1'!$V$3:$Y$3</c:f>
              <c:strCache>
                <c:ptCount val="4"/>
                <c:pt idx="0">
                  <c:v>1970/80</c:v>
                </c:pt>
                <c:pt idx="1">
                  <c:v>1980/91</c:v>
                </c:pt>
                <c:pt idx="2">
                  <c:v>1991/00</c:v>
                </c:pt>
                <c:pt idx="3">
                  <c:v>2000/10</c:v>
                </c:pt>
              </c:strCache>
            </c:strRef>
          </c:cat>
          <c:val>
            <c:numRef>
              <c:f>'[Relação de tabelas graficos e figuras.xlsx]Gráfico 1'!$Z$6:$AC$6</c:f>
              <c:numCache>
                <c:formatCode>###0</c:formatCode>
                <c:ptCount val="4"/>
                <c:pt idx="0">
                  <c:v>98321</c:v>
                </c:pt>
                <c:pt idx="1">
                  <c:v>-26431</c:v>
                </c:pt>
                <c:pt idx="2">
                  <c:v>-159855</c:v>
                </c:pt>
                <c:pt idx="3">
                  <c:v>12188</c:v>
                </c:pt>
              </c:numCache>
            </c:numRef>
          </c:val>
          <c:smooth val="0"/>
          <c:extLst>
            <c:ext xmlns:c16="http://schemas.microsoft.com/office/drawing/2014/chart" uri="{C3380CC4-5D6E-409C-BE32-E72D297353CC}">
              <c16:uniqueId val="{00000002-9D2A-48D4-8B01-2F05C0BB38F7}"/>
            </c:ext>
          </c:extLst>
        </c:ser>
        <c:dLbls>
          <c:showLegendKey val="0"/>
          <c:showVal val="0"/>
          <c:showCatName val="0"/>
          <c:showSerName val="0"/>
          <c:showPercent val="0"/>
          <c:showBubbleSize val="0"/>
        </c:dLbls>
        <c:marker val="1"/>
        <c:smooth val="0"/>
        <c:axId val="648179696"/>
        <c:axId val="648172624"/>
      </c:lineChart>
      <c:catAx>
        <c:axId val="64817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t" anchorCtr="0"/>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648172624"/>
        <c:crosses val="autoZero"/>
        <c:auto val="1"/>
        <c:lblAlgn val="ctr"/>
        <c:lblOffset val="100"/>
        <c:noMultiLvlLbl val="0"/>
      </c:catAx>
      <c:valAx>
        <c:axId val="648172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6481796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25</Pages>
  <Words>8680</Words>
  <Characters>46878</Characters>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2022-07-09T15:02:00Z</dcterms:created>
  <dcterms:modified xsi:type="dcterms:W3CDTF">2022-07-10T12:52:00Z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