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B1C22" w14:textId="77777777" w:rsidR="00C66543" w:rsidRDefault="00C66543">
      <w:pPr>
        <w:spacing w:after="0" w:line="360" w:lineRule="auto"/>
        <w:jc w:val="center"/>
        <w:rPr>
          <w:rFonts w:ascii="Times New Roman" w:hAnsi="Times New Roman" w:cs="Times New Roman"/>
          <w:sz w:val="28"/>
          <w:szCs w:val="28"/>
        </w:rPr>
      </w:pPr>
    </w:p>
    <w:p w14:paraId="78432E99" w14:textId="132E3C79" w:rsidR="00C66543" w:rsidRDefault="00617127" w:rsidP="00617127">
      <w:pPr>
        <w:pStyle w:val="Corpodetexto3"/>
        <w:spacing w:line="360" w:lineRule="auto"/>
        <w:rPr>
          <w:szCs w:val="28"/>
        </w:rPr>
      </w:pPr>
      <w:r w:rsidRPr="00617127">
        <w:rPr>
          <w:szCs w:val="28"/>
        </w:rPr>
        <w:t>CRESCIMENTO ECONÔMICO E COMPETITIVIDADE ESPÚRIA NA AMAZÔNIA:</w:t>
      </w:r>
      <w:r>
        <w:rPr>
          <w:szCs w:val="28"/>
        </w:rPr>
        <w:t xml:space="preserve"> </w:t>
      </w:r>
      <w:r w:rsidRPr="00617127">
        <w:rPr>
          <w:szCs w:val="28"/>
        </w:rPr>
        <w:t xml:space="preserve">o caso da região de </w:t>
      </w:r>
      <w:r>
        <w:rPr>
          <w:szCs w:val="28"/>
        </w:rPr>
        <w:t>C</w:t>
      </w:r>
      <w:r w:rsidRPr="00617127">
        <w:rPr>
          <w:szCs w:val="28"/>
        </w:rPr>
        <w:t>arajás</w:t>
      </w:r>
    </w:p>
    <w:p w14:paraId="445F9326" w14:textId="77777777" w:rsidR="00C66543" w:rsidRDefault="00C66543">
      <w:pPr>
        <w:spacing w:after="0" w:line="360" w:lineRule="auto"/>
        <w:jc w:val="center"/>
        <w:rPr>
          <w:rFonts w:ascii="Times New Roman" w:hAnsi="Times New Roman" w:cs="Times New Roman"/>
          <w:sz w:val="28"/>
          <w:szCs w:val="28"/>
        </w:rPr>
      </w:pPr>
    </w:p>
    <w:p w14:paraId="219D047B" w14:textId="77777777" w:rsidR="00C66543" w:rsidRPr="005F519D" w:rsidRDefault="00C93029">
      <w:pPr>
        <w:pStyle w:val="Ttulo"/>
        <w:jc w:val="both"/>
        <w:rPr>
          <w:rFonts w:ascii="Times New Roman" w:hAnsi="Times New Roman"/>
          <w:sz w:val="24"/>
          <w:lang w:val="pt-BR"/>
        </w:rPr>
      </w:pPr>
      <w:r w:rsidRPr="005F519D">
        <w:rPr>
          <w:rFonts w:ascii="Times New Roman" w:hAnsi="Times New Roman"/>
          <w:sz w:val="24"/>
          <w:lang w:val="pt-BR"/>
        </w:rPr>
        <w:t>RESUMO</w:t>
      </w:r>
    </w:p>
    <w:p w14:paraId="1FC196D6" w14:textId="0F9799D4" w:rsidR="00C66543" w:rsidRDefault="005F519D">
      <w:pPr>
        <w:spacing w:after="0" w:line="240" w:lineRule="auto"/>
        <w:jc w:val="both"/>
        <w:rPr>
          <w:rFonts w:ascii="Times New Roman" w:hAnsi="Times New Roman" w:cs="Times New Roman"/>
          <w:sz w:val="24"/>
          <w:szCs w:val="24"/>
        </w:rPr>
      </w:pPr>
      <w:r w:rsidRPr="005F519D">
        <w:rPr>
          <w:rFonts w:ascii="Times New Roman" w:hAnsi="Times New Roman" w:cs="Times New Roman"/>
          <w:sz w:val="24"/>
        </w:rPr>
        <w:t>O artigo analisa os fundamentos de o crescimento do PIB per capita da região amazônica de Carajás situar-se</w:t>
      </w:r>
      <w:r w:rsidR="004646B9" w:rsidRPr="005F519D">
        <w:rPr>
          <w:rFonts w:ascii="Times New Roman" w:hAnsi="Times New Roman" w:cs="Times New Roman"/>
          <w:sz w:val="24"/>
        </w:rPr>
        <w:t>, durante as primeiras décadas do século XXI</w:t>
      </w:r>
      <w:r w:rsidR="004646B9">
        <w:rPr>
          <w:rFonts w:ascii="Times New Roman" w:hAnsi="Times New Roman" w:cs="Times New Roman"/>
          <w:sz w:val="24"/>
        </w:rPr>
        <w:t>,</w:t>
      </w:r>
      <w:r w:rsidRPr="005F519D">
        <w:rPr>
          <w:rFonts w:ascii="Times New Roman" w:hAnsi="Times New Roman" w:cs="Times New Roman"/>
          <w:sz w:val="24"/>
        </w:rPr>
        <w:t xml:space="preserve"> muito acima da média nacional. Para tanto, são delineados padrões que expressam a combinação de capacidades e fontes de inovação</w:t>
      </w:r>
      <w:r w:rsidR="00A97C3D" w:rsidRPr="00A97C3D">
        <w:rPr>
          <w:rFonts w:ascii="Times New Roman" w:hAnsi="Times New Roman" w:cs="Times New Roman"/>
          <w:sz w:val="24"/>
        </w:rPr>
        <w:t xml:space="preserve"> </w:t>
      </w:r>
      <w:r w:rsidR="00A97C3D" w:rsidRPr="005F519D">
        <w:rPr>
          <w:rFonts w:ascii="Times New Roman" w:hAnsi="Times New Roman" w:cs="Times New Roman"/>
          <w:sz w:val="24"/>
        </w:rPr>
        <w:t>e</w:t>
      </w:r>
      <w:r w:rsidRPr="005F519D">
        <w:rPr>
          <w:rFonts w:ascii="Times New Roman" w:hAnsi="Times New Roman" w:cs="Times New Roman"/>
          <w:sz w:val="24"/>
        </w:rPr>
        <w:t xml:space="preserve"> aprendizagem em escala subnacional e indicadas trajetórias tecnológicas dos agentes econômicos mais relevantes na região e como eles interatuam no escopo de tal configuração espacial. </w:t>
      </w:r>
      <w:r w:rsidR="00A97C3D">
        <w:rPr>
          <w:rFonts w:ascii="Times New Roman" w:hAnsi="Times New Roman" w:cs="Times New Roman"/>
          <w:sz w:val="24"/>
        </w:rPr>
        <w:t>D</w:t>
      </w:r>
      <w:r w:rsidRPr="005F519D">
        <w:rPr>
          <w:rFonts w:ascii="Times New Roman" w:hAnsi="Times New Roman" w:cs="Times New Roman"/>
          <w:sz w:val="24"/>
        </w:rPr>
        <w:t>emonstra</w:t>
      </w:r>
      <w:r w:rsidR="00A97C3D">
        <w:rPr>
          <w:rFonts w:ascii="Times New Roman" w:hAnsi="Times New Roman" w:cs="Times New Roman"/>
          <w:sz w:val="24"/>
        </w:rPr>
        <w:t>ndo</w:t>
      </w:r>
      <w:r w:rsidRPr="005F519D">
        <w:rPr>
          <w:rFonts w:ascii="Times New Roman" w:hAnsi="Times New Roman" w:cs="Times New Roman"/>
          <w:sz w:val="24"/>
        </w:rPr>
        <w:t xml:space="preserve"> que a dinâmica de crescimento econômico regional se dirige em direção oposta à alternativa otimista de desenvolvimento inspirada na abordagem evolucionária da mudança econômica já que se assenta em acréscimos espúrios de competitividade que sustentam a reprodução dos mais relevantes agentes econômicos da região cujas trajetórias tecnológicas posições paradigmáticas que resultam em degradação social e ambiental e no constrangimento à edificação de alternativas ao desenvolvimento regional em bases sustentáveis.</w:t>
      </w:r>
    </w:p>
    <w:p w14:paraId="60C45367" w14:textId="5369F24C" w:rsidR="00C66543" w:rsidRDefault="00C93029">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617127" w:rsidRPr="00617127">
        <w:rPr>
          <w:rFonts w:ascii="Times New Roman" w:hAnsi="Times New Roman" w:cs="Times New Roman"/>
          <w:sz w:val="24"/>
          <w:szCs w:val="24"/>
        </w:rPr>
        <w:t>Amazônia</w:t>
      </w:r>
      <w:r w:rsidR="00617127">
        <w:rPr>
          <w:rFonts w:ascii="Times New Roman" w:hAnsi="Times New Roman" w:cs="Times New Roman"/>
          <w:sz w:val="24"/>
          <w:szCs w:val="24"/>
        </w:rPr>
        <w:t>;</w:t>
      </w:r>
      <w:r w:rsidR="00617127" w:rsidRPr="00617127">
        <w:rPr>
          <w:rFonts w:ascii="Times New Roman" w:hAnsi="Times New Roman" w:cs="Times New Roman"/>
          <w:sz w:val="24"/>
          <w:szCs w:val="24"/>
        </w:rPr>
        <w:t xml:space="preserve"> Crescimento econômico</w:t>
      </w:r>
      <w:r w:rsidR="00617127">
        <w:rPr>
          <w:rFonts w:ascii="Times New Roman" w:hAnsi="Times New Roman" w:cs="Times New Roman"/>
          <w:sz w:val="24"/>
          <w:szCs w:val="24"/>
        </w:rPr>
        <w:t>;</w:t>
      </w:r>
      <w:r w:rsidR="00617127" w:rsidRPr="00617127">
        <w:rPr>
          <w:rFonts w:ascii="Times New Roman" w:hAnsi="Times New Roman" w:cs="Times New Roman"/>
          <w:sz w:val="24"/>
          <w:szCs w:val="24"/>
        </w:rPr>
        <w:t xml:space="preserve"> Inovação</w:t>
      </w:r>
      <w:r w:rsidR="00617127">
        <w:rPr>
          <w:rFonts w:ascii="Times New Roman" w:hAnsi="Times New Roman" w:cs="Times New Roman"/>
          <w:sz w:val="24"/>
          <w:szCs w:val="24"/>
        </w:rPr>
        <w:t>;</w:t>
      </w:r>
      <w:r w:rsidR="00617127" w:rsidRPr="00617127">
        <w:rPr>
          <w:rFonts w:ascii="Times New Roman" w:hAnsi="Times New Roman" w:cs="Times New Roman"/>
          <w:sz w:val="24"/>
          <w:szCs w:val="24"/>
        </w:rPr>
        <w:t xml:space="preserve"> Competividade espúria</w:t>
      </w:r>
      <w:r w:rsidR="00617127">
        <w:rPr>
          <w:rFonts w:ascii="Times New Roman" w:hAnsi="Times New Roman" w:cs="Times New Roman"/>
          <w:sz w:val="24"/>
          <w:szCs w:val="24"/>
        </w:rPr>
        <w:t>;</w:t>
      </w:r>
      <w:r w:rsidR="00617127" w:rsidRPr="00617127">
        <w:rPr>
          <w:rFonts w:ascii="Times New Roman" w:hAnsi="Times New Roman" w:cs="Times New Roman"/>
          <w:sz w:val="24"/>
          <w:szCs w:val="24"/>
        </w:rPr>
        <w:t xml:space="preserve"> Carajás</w:t>
      </w:r>
      <w:r>
        <w:rPr>
          <w:rFonts w:ascii="Times New Roman" w:hAnsi="Times New Roman" w:cs="Times New Roman"/>
          <w:sz w:val="24"/>
          <w:szCs w:val="24"/>
        </w:rPr>
        <w:t>.</w:t>
      </w:r>
    </w:p>
    <w:p w14:paraId="66C07114" w14:textId="77777777" w:rsidR="00C66543" w:rsidRDefault="00C66543">
      <w:pPr>
        <w:spacing w:after="0" w:line="360" w:lineRule="auto"/>
        <w:jc w:val="both"/>
        <w:rPr>
          <w:rFonts w:ascii="Times New Roman" w:hAnsi="Times New Roman" w:cs="Times New Roman"/>
          <w:sz w:val="24"/>
          <w:szCs w:val="24"/>
        </w:rPr>
      </w:pPr>
    </w:p>
    <w:p w14:paraId="7FBF0439" w14:textId="67729D6A" w:rsidR="00C66543" w:rsidRPr="005551F4" w:rsidRDefault="00C93029">
      <w:pPr>
        <w:spacing w:after="0" w:line="360" w:lineRule="auto"/>
        <w:jc w:val="both"/>
        <w:rPr>
          <w:rFonts w:ascii="Times New Roman" w:hAnsi="Times New Roman" w:cs="Times New Roman"/>
          <w:b/>
          <w:bCs/>
          <w:sz w:val="24"/>
          <w:szCs w:val="24"/>
        </w:rPr>
      </w:pPr>
      <w:r w:rsidRPr="005551F4">
        <w:rPr>
          <w:rFonts w:ascii="Times New Roman" w:hAnsi="Times New Roman" w:cs="Times New Roman"/>
          <w:b/>
          <w:bCs/>
          <w:sz w:val="24"/>
          <w:szCs w:val="24"/>
        </w:rPr>
        <w:t xml:space="preserve">GT No </w:t>
      </w:r>
      <w:r w:rsidR="005551F4">
        <w:rPr>
          <w:rFonts w:ascii="Times New Roman" w:hAnsi="Times New Roman" w:cs="Times New Roman"/>
          <w:b/>
          <w:bCs/>
          <w:sz w:val="24"/>
          <w:szCs w:val="24"/>
        </w:rPr>
        <w:t>03</w:t>
      </w:r>
      <w:r w:rsidRPr="005551F4">
        <w:rPr>
          <w:rFonts w:ascii="Times New Roman" w:hAnsi="Times New Roman" w:cs="Times New Roman"/>
          <w:b/>
          <w:bCs/>
          <w:sz w:val="24"/>
          <w:szCs w:val="24"/>
        </w:rPr>
        <w:t xml:space="preserve">: </w:t>
      </w:r>
      <w:r w:rsidR="005551F4" w:rsidRPr="005551F4">
        <w:rPr>
          <w:rFonts w:ascii="Times New Roman" w:hAnsi="Times New Roman" w:cs="Times New Roman"/>
          <w:b/>
          <w:bCs/>
          <w:color w:val="212529"/>
          <w:sz w:val="24"/>
          <w:szCs w:val="24"/>
          <w:shd w:val="clear" w:color="auto" w:fill="FFFFFF"/>
        </w:rPr>
        <w:t>Dinâmicas socioeconômicas do Território</w:t>
      </w:r>
    </w:p>
    <w:p w14:paraId="5E11F77D" w14:textId="77777777" w:rsidR="00C66543" w:rsidRDefault="00C66543">
      <w:pPr>
        <w:spacing w:after="0" w:line="360" w:lineRule="auto"/>
        <w:jc w:val="both"/>
        <w:rPr>
          <w:rFonts w:ascii="Times New Roman" w:hAnsi="Times New Roman" w:cs="Times New Roman"/>
          <w:sz w:val="24"/>
          <w:szCs w:val="24"/>
        </w:rPr>
      </w:pPr>
    </w:p>
    <w:p w14:paraId="72506F1E" w14:textId="77777777" w:rsidR="00C66543" w:rsidRDefault="00C93029">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0DC2F22F" w14:textId="77777777" w:rsidR="00617127" w:rsidRPr="008740CF" w:rsidRDefault="00617127"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 xml:space="preserve">A interpretação dos processos de desenvolvimento econômico na perspectiva da economia evolucionária </w:t>
      </w:r>
      <w:bookmarkStart w:id="0" w:name="_Hlk97229353"/>
      <w:r w:rsidRPr="008740CF">
        <w:rPr>
          <w:rFonts w:ascii="Times New Roman" w:hAnsi="Times New Roman" w:cs="Times New Roman"/>
          <w:sz w:val="24"/>
          <w:szCs w:val="24"/>
        </w:rPr>
        <w:t>(</w:t>
      </w:r>
      <w:bookmarkStart w:id="1" w:name="_Hlk97228804"/>
      <w:r w:rsidRPr="008740CF">
        <w:rPr>
          <w:rFonts w:ascii="Times New Roman" w:hAnsi="Times New Roman" w:cs="Times New Roman"/>
          <w:sz w:val="24"/>
          <w:szCs w:val="24"/>
        </w:rPr>
        <w:t>NELSON, WINTER, 1982</w:t>
      </w:r>
      <w:bookmarkEnd w:id="1"/>
      <w:r w:rsidRPr="008740CF">
        <w:rPr>
          <w:rFonts w:ascii="Times New Roman" w:hAnsi="Times New Roman" w:cs="Times New Roman"/>
          <w:sz w:val="24"/>
          <w:szCs w:val="24"/>
        </w:rPr>
        <w:t xml:space="preserve">; NELSON, 2008) </w:t>
      </w:r>
      <w:bookmarkEnd w:id="0"/>
      <w:r w:rsidRPr="008740CF">
        <w:rPr>
          <w:rFonts w:ascii="Times New Roman" w:hAnsi="Times New Roman" w:cs="Times New Roman"/>
          <w:sz w:val="24"/>
          <w:szCs w:val="24"/>
        </w:rPr>
        <w:t>aponta que o estabelecimento e a manutenção de estruturas econômicas competitivas duradouras ocorrem mediante a incorporação dinâmica do progresso técnico mediada por um ambiente institucional e infraestrutural que propicie continuada articulação produtiva, promovendo tanto a inserção internacional quanto a interação criativa entre atores públicos e privados. Em função desse caráter peculiar e cumulativo dos processos de desenvolvimento, eles são marcados pelas condições institucionais prevalecentes em configurações territoriais, de forma que empresas, regiões e países desfrutam de condições de "acumulação técnica" e "aprendizagem institucional" diferenciadas.</w:t>
      </w:r>
    </w:p>
    <w:p w14:paraId="0AD1A33C" w14:textId="77777777" w:rsidR="00617127" w:rsidRPr="008740CF" w:rsidRDefault="00617127"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lastRenderedPageBreak/>
        <w:t>Com base nesses fundamentos, são deduzidos os traços alicerçadores do que seria uma estratégia de desenvolvimento que envolveria transformação produtiva com equidade social e que requereria a consolidação de dinâmicas sociais mediante as quais agentes econômicos estabelecem vínculos sinérgicos com o sistema educacional, com a infraestrutura tecnológica, energética e de transporte, com o aparato institucional público e privado e com o sistema financeiro, ou seja, encontram-se integrados a todo um sistema socioeconômico (CEPAL, 1990, p. 14), processos dos quais seriam derivados “incrementos autênticos de competitividade” (</w:t>
      </w:r>
      <w:proofErr w:type="spellStart"/>
      <w:r w:rsidRPr="008740CF">
        <w:rPr>
          <w:rFonts w:ascii="Times New Roman" w:hAnsi="Times New Roman" w:cs="Times New Roman"/>
          <w:sz w:val="24"/>
          <w:szCs w:val="24"/>
        </w:rPr>
        <w:t>FAJNZYLBER</w:t>
      </w:r>
      <w:proofErr w:type="spellEnd"/>
      <w:r w:rsidRPr="008740CF">
        <w:rPr>
          <w:rFonts w:ascii="Times New Roman" w:hAnsi="Times New Roman" w:cs="Times New Roman"/>
          <w:sz w:val="24"/>
          <w:szCs w:val="24"/>
        </w:rPr>
        <w:t>, 1988, p. 13).</w:t>
      </w:r>
    </w:p>
    <w:p w14:paraId="276FE414" w14:textId="77777777" w:rsidR="00617127" w:rsidRPr="008740CF" w:rsidRDefault="00617127"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Tais fundamentos também apontam, de modo inverso, para a possibilidade de que o padrão, a densidade e a qualidade de interações, de proximidade espacial e cultural entre empresas, entre elas, instituições e aqueles que desenvolvem as inovações, podem bloquear o progresso em países, empresas e regiões, uma vez que se arriscam a ficar para trás na corrida frenética por inovações, já que se encontram sujeitas a círculos viciosos acumulativos e que lacunas relativas a diferenciações entre padrões territoriais que articulam capacidades e fontes atinentes à inovação continuam a crescer; contexto no qual empresas, agentes econômicos outros, regiões e países que obtiveram sucesso econômico pretérito tendo por base aumentos espúrios de competitividade (</w:t>
      </w:r>
      <w:proofErr w:type="spellStart"/>
      <w:r w:rsidRPr="008740CF">
        <w:rPr>
          <w:rFonts w:ascii="Times New Roman" w:hAnsi="Times New Roman" w:cs="Times New Roman"/>
          <w:sz w:val="24"/>
          <w:szCs w:val="24"/>
        </w:rPr>
        <w:t>FAJNZYLBER</w:t>
      </w:r>
      <w:proofErr w:type="spellEnd"/>
      <w:r w:rsidRPr="008740CF">
        <w:rPr>
          <w:rFonts w:ascii="Times New Roman" w:hAnsi="Times New Roman" w:cs="Times New Roman"/>
          <w:sz w:val="24"/>
          <w:szCs w:val="24"/>
        </w:rPr>
        <w:t>, 1988, p. 13) replicam estratégias que não ensejam interações criativas regionais, uma vez que se encontram em situação fortemente vinculados a paradigmas tecnológicos cujos componentes primordiais e  bases de conhecimentos específicas, arranjos institucionais e estruturas organizacionais se tornaram obstáculo para a introdução de um novo paradigma produtivo (OCDE, 1992, p. 38), do que resulta o aprofundado de dinâmicas produtivas marcadas pela dependência a nichos de mercados, ao pagamento de baixos salários e à utilização de matérias-primas baratas.</w:t>
      </w:r>
    </w:p>
    <w:p w14:paraId="0A8D9E59" w14:textId="77777777" w:rsidR="00617127" w:rsidRPr="008740CF" w:rsidRDefault="00617127"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 xml:space="preserve">Esta possibilidade é a que melhor caracteriza o que ocorre em regiões brasileiras que, durante as primeiras décadas do século XXI, têm mantido taxas de crescimento muito elevadas, dentre elas a região de Carajás (MONTEIRO e SILVA, 2021), a qual, entre 2002 e 2017, registrou taxa de crescimento médio do PIB </w:t>
      </w:r>
      <w:r w:rsidRPr="008740CF">
        <w:rPr>
          <w:rFonts w:ascii="Times New Roman" w:hAnsi="Times New Roman" w:cs="Times New Roman"/>
          <w:i/>
          <w:iCs/>
          <w:sz w:val="24"/>
          <w:szCs w:val="24"/>
        </w:rPr>
        <w:t>per capita</w:t>
      </w:r>
      <w:r w:rsidRPr="008740CF">
        <w:rPr>
          <w:rFonts w:ascii="Times New Roman" w:hAnsi="Times New Roman" w:cs="Times New Roman"/>
          <w:sz w:val="24"/>
          <w:szCs w:val="24"/>
        </w:rPr>
        <w:t xml:space="preserve"> de 6,77 % a.a., a terceira maior dentre as regiões brasileiras e muito superior à do Brasil, que no período alcançou 2,9% a.a. Nessa </w:t>
      </w:r>
      <w:r w:rsidRPr="008740CF">
        <w:rPr>
          <w:rFonts w:ascii="Times New Roman" w:hAnsi="Times New Roman" w:cs="Times New Roman"/>
          <w:sz w:val="24"/>
          <w:szCs w:val="24"/>
        </w:rPr>
        <w:lastRenderedPageBreak/>
        <w:t>região, o elevado crescimento econômico se amolda à realidade desconforme da ampliação do produto social derivada dos citados “incrementos autênticos de competitividade”.</w:t>
      </w:r>
    </w:p>
    <w:p w14:paraId="5DBEC30C" w14:textId="77777777" w:rsidR="00617127" w:rsidRPr="008740CF" w:rsidRDefault="00617127"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O destacado crescimento do produto social da região de Carajás assenta-se em acréscimos espúrios de competitividade, porquanto derivados de aprisionamento tecnológico dos principais e mais relevantes agentes econômicos da região a paradigmas que resultam em degradação social e ambiental e no constrangimento à edificação de alternativas ao desenvolvimento regional em bases sustentáveis.</w:t>
      </w:r>
    </w:p>
    <w:p w14:paraId="12C3C3A5" w14:textId="156CCE3D" w:rsidR="00D94B55" w:rsidRPr="008740CF" w:rsidRDefault="00617127"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 xml:space="preserve">Para consubstanciar tal referência interpretativa, o artigo, inicialmente, oferece indicações sobre a abordagem evolucionária acerca da mudança tecnológica e da competitividade estrutural; em seguida, diante da relevância teórica conferida aos atributos territoriais em relação aos processos de progresso tecnológico, são </w:t>
      </w:r>
      <w:r w:rsidR="00124034">
        <w:rPr>
          <w:rFonts w:ascii="Times New Roman" w:hAnsi="Times New Roman" w:cs="Times New Roman"/>
          <w:sz w:val="24"/>
          <w:szCs w:val="24"/>
        </w:rPr>
        <w:t>apresentados</w:t>
      </w:r>
      <w:r w:rsidRPr="008740CF">
        <w:rPr>
          <w:rFonts w:ascii="Times New Roman" w:hAnsi="Times New Roman" w:cs="Times New Roman"/>
          <w:sz w:val="24"/>
          <w:szCs w:val="24"/>
        </w:rPr>
        <w:t xml:space="preserve"> padrões espaciais subnacionais que expressam a combinação de capacidades e de variedades de fontes de inovação em nível regional. Uma vez inferidos tais padrões, são enfatizados os aspectos mais relevantes atinentes à região de Carajás; logo após, são evidenciadas as trajetórias tecnológicas dos agentes econômicos regionalmente mais relevantes. Esse trajeto permite demonstrar que os agentes econômicos e os arranjos institucionais vigentes sustentam e aprofundam regionalmente tendências e dinâmicas históricas de desenvolvimento que se distinguem radicalmente de alternativas virtuosas desenhadas por </w:t>
      </w:r>
      <w:proofErr w:type="spellStart"/>
      <w:r w:rsidRPr="008740CF">
        <w:rPr>
          <w:rFonts w:ascii="Times New Roman" w:hAnsi="Times New Roman" w:cs="Times New Roman"/>
          <w:i/>
          <w:iCs/>
          <w:sz w:val="24"/>
          <w:szCs w:val="24"/>
        </w:rPr>
        <w:t>policy</w:t>
      </w:r>
      <w:proofErr w:type="spellEnd"/>
      <w:r w:rsidRPr="008740CF">
        <w:rPr>
          <w:rFonts w:ascii="Times New Roman" w:hAnsi="Times New Roman" w:cs="Times New Roman"/>
          <w:i/>
          <w:iCs/>
          <w:sz w:val="24"/>
          <w:szCs w:val="24"/>
        </w:rPr>
        <w:t xml:space="preserve"> </w:t>
      </w:r>
      <w:proofErr w:type="spellStart"/>
      <w:r w:rsidRPr="008740CF">
        <w:rPr>
          <w:rFonts w:ascii="Times New Roman" w:hAnsi="Times New Roman" w:cs="Times New Roman"/>
          <w:i/>
          <w:iCs/>
          <w:sz w:val="24"/>
          <w:szCs w:val="24"/>
        </w:rPr>
        <w:t>makers</w:t>
      </w:r>
      <w:proofErr w:type="spellEnd"/>
      <w:r w:rsidRPr="008740CF">
        <w:rPr>
          <w:rFonts w:ascii="Times New Roman" w:hAnsi="Times New Roman" w:cs="Times New Roman"/>
          <w:sz w:val="24"/>
          <w:szCs w:val="24"/>
        </w:rPr>
        <w:t xml:space="preserve"> </w:t>
      </w:r>
      <w:bookmarkStart w:id="2" w:name="_Hlk97197728"/>
      <w:r w:rsidRPr="008740CF">
        <w:rPr>
          <w:rFonts w:ascii="Times New Roman" w:hAnsi="Times New Roman" w:cs="Times New Roman"/>
          <w:sz w:val="24"/>
          <w:szCs w:val="24"/>
        </w:rPr>
        <w:t xml:space="preserve">inspirados na abordagem evolucionária da mudança econômica </w:t>
      </w:r>
      <w:bookmarkEnd w:id="2"/>
      <w:r w:rsidRPr="008740CF">
        <w:rPr>
          <w:rFonts w:ascii="Times New Roman" w:hAnsi="Times New Roman" w:cs="Times New Roman"/>
          <w:sz w:val="24"/>
          <w:szCs w:val="24"/>
        </w:rPr>
        <w:t>(CEPAL, 1990, BRASIL, 2008a; 2010).</w:t>
      </w:r>
    </w:p>
    <w:p w14:paraId="509AF47E" w14:textId="77777777" w:rsidR="00780B62" w:rsidRDefault="00780B62" w:rsidP="00961A7E">
      <w:pPr>
        <w:spacing w:after="0" w:line="360" w:lineRule="auto"/>
        <w:jc w:val="both"/>
        <w:rPr>
          <w:rFonts w:ascii="Times New Roman" w:hAnsi="Times New Roman" w:cs="Times New Roman"/>
          <w:b/>
          <w:bCs/>
          <w:sz w:val="24"/>
          <w:szCs w:val="24"/>
        </w:rPr>
      </w:pPr>
    </w:p>
    <w:p w14:paraId="03574DDC" w14:textId="595C9A5E" w:rsidR="00C66543" w:rsidRPr="008740CF" w:rsidRDefault="00C93029" w:rsidP="00961A7E">
      <w:pPr>
        <w:spacing w:after="0" w:line="360" w:lineRule="auto"/>
        <w:jc w:val="both"/>
        <w:rPr>
          <w:rFonts w:ascii="Times New Roman" w:hAnsi="Times New Roman" w:cs="Times New Roman"/>
          <w:sz w:val="24"/>
          <w:szCs w:val="24"/>
        </w:rPr>
      </w:pPr>
      <w:r w:rsidRPr="008740CF">
        <w:rPr>
          <w:rFonts w:ascii="Times New Roman" w:hAnsi="Times New Roman" w:cs="Times New Roman"/>
          <w:b/>
          <w:bCs/>
          <w:sz w:val="24"/>
          <w:szCs w:val="24"/>
        </w:rPr>
        <w:t xml:space="preserve">2 </w:t>
      </w:r>
      <w:r w:rsidR="00D94B55" w:rsidRPr="008740CF">
        <w:rPr>
          <w:rFonts w:ascii="Times New Roman" w:hAnsi="Times New Roman" w:cs="Times New Roman"/>
          <w:b/>
          <w:bCs/>
          <w:sz w:val="24"/>
          <w:szCs w:val="24"/>
        </w:rPr>
        <w:t xml:space="preserve">REFERENCIAL TEÓRICO </w:t>
      </w:r>
    </w:p>
    <w:p w14:paraId="2D04D5DB" w14:textId="77777777" w:rsidR="00D94B55" w:rsidRPr="008740CF" w:rsidRDefault="00D94B55"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 xml:space="preserve">As formulações teóricas que buscam dar centralidade à relação entre inovação, aprendizagem, conhecimento, instituições, região e desenvolvimento econômico derivam, em grande parte, de interpretações da mudança tecnológica e da inovação suscitadas pelo trabalho de </w:t>
      </w:r>
      <w:bookmarkStart w:id="3" w:name="_Hlk78892567"/>
      <w:r w:rsidRPr="008740CF">
        <w:rPr>
          <w:rFonts w:ascii="Times New Roman" w:hAnsi="Times New Roman" w:cs="Times New Roman"/>
          <w:sz w:val="24"/>
          <w:szCs w:val="24"/>
        </w:rPr>
        <w:t>Nelson e Winter (1982)</w:t>
      </w:r>
      <w:bookmarkEnd w:id="3"/>
      <w:r w:rsidRPr="008740CF">
        <w:rPr>
          <w:rFonts w:ascii="Times New Roman" w:hAnsi="Times New Roman" w:cs="Times New Roman"/>
          <w:sz w:val="24"/>
          <w:szCs w:val="24"/>
        </w:rPr>
        <w:t xml:space="preserve">, que ensejou teorizações originais, entre as quais a de </w:t>
      </w:r>
      <w:bookmarkStart w:id="4" w:name="_Hlk78892604"/>
      <w:r w:rsidRPr="008740CF">
        <w:rPr>
          <w:rFonts w:ascii="Times New Roman" w:hAnsi="Times New Roman" w:cs="Times New Roman"/>
          <w:sz w:val="24"/>
          <w:szCs w:val="24"/>
        </w:rPr>
        <w:t>Dosi, Pavitt e Soete (1990).</w:t>
      </w:r>
      <w:bookmarkStart w:id="5" w:name="_Hlk80428707"/>
    </w:p>
    <w:p w14:paraId="2D8D1098" w14:textId="77777777" w:rsidR="00D94B55" w:rsidRPr="008740CF" w:rsidRDefault="00D94B55"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 xml:space="preserve">A </w:t>
      </w:r>
      <w:bookmarkEnd w:id="4"/>
      <w:r w:rsidRPr="008740CF">
        <w:rPr>
          <w:rFonts w:ascii="Times New Roman" w:hAnsi="Times New Roman" w:cs="Times New Roman"/>
          <w:sz w:val="24"/>
          <w:szCs w:val="24"/>
        </w:rPr>
        <w:t xml:space="preserve">teoria da inovação </w:t>
      </w:r>
      <w:bookmarkEnd w:id="5"/>
      <w:r w:rsidRPr="008740CF">
        <w:rPr>
          <w:rFonts w:ascii="Times New Roman" w:hAnsi="Times New Roman" w:cs="Times New Roman"/>
          <w:sz w:val="24"/>
          <w:szCs w:val="24"/>
        </w:rPr>
        <w:t xml:space="preserve">desenhada por esses pesquisadores choca-se com a posição adotada pelo </w:t>
      </w:r>
      <w:proofErr w:type="spellStart"/>
      <w:r w:rsidRPr="008740CF">
        <w:rPr>
          <w:rFonts w:ascii="Times New Roman" w:hAnsi="Times New Roman" w:cs="Times New Roman"/>
          <w:i/>
          <w:sz w:val="24"/>
          <w:szCs w:val="24"/>
        </w:rPr>
        <w:t>mainstream</w:t>
      </w:r>
      <w:proofErr w:type="spellEnd"/>
      <w:r w:rsidRPr="008740CF">
        <w:rPr>
          <w:rFonts w:ascii="Times New Roman" w:hAnsi="Times New Roman" w:cs="Times New Roman"/>
          <w:sz w:val="24"/>
          <w:szCs w:val="24"/>
        </w:rPr>
        <w:t xml:space="preserve"> das ciências econômicas – expressa pelo modelo linear </w:t>
      </w:r>
      <w:proofErr w:type="spellStart"/>
      <w:r w:rsidRPr="008740CF">
        <w:rPr>
          <w:rFonts w:ascii="Times New Roman" w:hAnsi="Times New Roman" w:cs="Times New Roman"/>
          <w:i/>
          <w:sz w:val="24"/>
          <w:szCs w:val="24"/>
        </w:rPr>
        <w:t>research</w:t>
      </w:r>
      <w:proofErr w:type="spellEnd"/>
      <w:r w:rsidRPr="008740CF">
        <w:rPr>
          <w:rFonts w:ascii="Times New Roman" w:hAnsi="Times New Roman" w:cs="Times New Roman"/>
          <w:i/>
          <w:sz w:val="24"/>
          <w:szCs w:val="24"/>
        </w:rPr>
        <w:t>-</w:t>
      </w:r>
      <w:proofErr w:type="spellStart"/>
      <w:r w:rsidRPr="008740CF">
        <w:rPr>
          <w:rFonts w:ascii="Times New Roman" w:hAnsi="Times New Roman" w:cs="Times New Roman"/>
          <w:i/>
          <w:sz w:val="24"/>
          <w:szCs w:val="24"/>
        </w:rPr>
        <w:t>to</w:t>
      </w:r>
      <w:proofErr w:type="spellEnd"/>
      <w:r w:rsidRPr="008740CF">
        <w:rPr>
          <w:rFonts w:ascii="Times New Roman" w:hAnsi="Times New Roman" w:cs="Times New Roman"/>
          <w:i/>
          <w:sz w:val="24"/>
          <w:szCs w:val="24"/>
        </w:rPr>
        <w:t>-marketing</w:t>
      </w:r>
      <w:r w:rsidRPr="008740CF">
        <w:rPr>
          <w:rFonts w:ascii="Times New Roman" w:hAnsi="Times New Roman" w:cs="Times New Roman"/>
          <w:sz w:val="24"/>
          <w:szCs w:val="24"/>
        </w:rPr>
        <w:t>, que oferece uma explicação exógena para a mudança tecnológica e para a inovação (</w:t>
      </w:r>
      <w:bookmarkStart w:id="6" w:name="_Hlk78893394"/>
      <w:r w:rsidRPr="008740CF">
        <w:rPr>
          <w:rFonts w:ascii="Times New Roman" w:hAnsi="Times New Roman" w:cs="Times New Roman"/>
          <w:sz w:val="24"/>
          <w:szCs w:val="24"/>
        </w:rPr>
        <w:t xml:space="preserve">FORBES; </w:t>
      </w:r>
      <w:proofErr w:type="spellStart"/>
      <w:r w:rsidRPr="008740CF">
        <w:rPr>
          <w:rFonts w:ascii="Times New Roman" w:hAnsi="Times New Roman" w:cs="Times New Roman"/>
          <w:sz w:val="24"/>
          <w:szCs w:val="24"/>
        </w:rPr>
        <w:lastRenderedPageBreak/>
        <w:t>WIELD</w:t>
      </w:r>
      <w:proofErr w:type="spellEnd"/>
      <w:r w:rsidRPr="008740CF">
        <w:rPr>
          <w:rFonts w:ascii="Times New Roman" w:hAnsi="Times New Roman" w:cs="Times New Roman"/>
          <w:sz w:val="24"/>
          <w:szCs w:val="24"/>
        </w:rPr>
        <w:t>, 2000</w:t>
      </w:r>
      <w:bookmarkEnd w:id="6"/>
      <w:r w:rsidRPr="008740CF">
        <w:rPr>
          <w:rFonts w:ascii="Times New Roman" w:hAnsi="Times New Roman" w:cs="Times New Roman"/>
          <w:sz w:val="24"/>
          <w:szCs w:val="24"/>
        </w:rPr>
        <w:t>) – e passa a concebê-las como um processo endógeno multidimensional de interação com efeitos acumulativos (</w:t>
      </w:r>
      <w:bookmarkStart w:id="7" w:name="_Hlk78893438"/>
      <w:r w:rsidRPr="008740CF">
        <w:rPr>
          <w:rFonts w:ascii="Times New Roman" w:hAnsi="Times New Roman" w:cs="Times New Roman"/>
          <w:sz w:val="24"/>
          <w:szCs w:val="24"/>
        </w:rPr>
        <w:t>FREEMAN, 1994; HODGSON, 1996; NELSON, WINTER, 1982)</w:t>
      </w:r>
      <w:bookmarkEnd w:id="7"/>
      <w:r w:rsidRPr="008740CF">
        <w:rPr>
          <w:rFonts w:ascii="Times New Roman" w:hAnsi="Times New Roman" w:cs="Times New Roman"/>
          <w:sz w:val="24"/>
          <w:szCs w:val="24"/>
        </w:rPr>
        <w:t xml:space="preserve"> caracterizados por </w:t>
      </w:r>
      <w:r w:rsidRPr="008740CF">
        <w:rPr>
          <w:rFonts w:ascii="Times New Roman" w:hAnsi="Times New Roman" w:cs="Times New Roman"/>
          <w:i/>
          <w:sz w:val="24"/>
          <w:szCs w:val="24"/>
        </w:rPr>
        <w:t>feedbacks</w:t>
      </w:r>
      <w:r w:rsidRPr="008740CF">
        <w:rPr>
          <w:rFonts w:ascii="Times New Roman" w:hAnsi="Times New Roman" w:cs="Times New Roman"/>
          <w:sz w:val="24"/>
          <w:szCs w:val="24"/>
        </w:rPr>
        <w:t xml:space="preserve"> complexos entre descoberta, invenção, inovação e difusão. Dessa forma, quase toda a distinção muito evidente entre mudança tecnológica e inovação deixa de existir (</w:t>
      </w:r>
      <w:bookmarkStart w:id="8" w:name="_Hlk78893606"/>
      <w:proofErr w:type="spellStart"/>
      <w:r w:rsidRPr="008740CF">
        <w:rPr>
          <w:rFonts w:ascii="Times New Roman" w:hAnsi="Times New Roman" w:cs="Times New Roman"/>
          <w:sz w:val="24"/>
          <w:szCs w:val="24"/>
        </w:rPr>
        <w:t>LUNDVALL</w:t>
      </w:r>
      <w:proofErr w:type="spellEnd"/>
      <w:r w:rsidRPr="008740CF">
        <w:rPr>
          <w:rFonts w:ascii="Times New Roman" w:hAnsi="Times New Roman" w:cs="Times New Roman"/>
          <w:sz w:val="24"/>
          <w:szCs w:val="24"/>
        </w:rPr>
        <w:t>, 1988, p. 350</w:t>
      </w:r>
      <w:bookmarkEnd w:id="8"/>
      <w:r w:rsidRPr="008740CF">
        <w:rPr>
          <w:rFonts w:ascii="Times New Roman" w:hAnsi="Times New Roman" w:cs="Times New Roman"/>
          <w:sz w:val="24"/>
          <w:szCs w:val="24"/>
        </w:rPr>
        <w:t>).</w:t>
      </w:r>
    </w:p>
    <w:p w14:paraId="17C26F7D" w14:textId="77777777" w:rsidR="00D94B55" w:rsidRPr="008740CF" w:rsidRDefault="00D94B55"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 xml:space="preserve">Por envolver complexos processos de interatividade, o caráter endógeno da inovação passa a abranger e a depender de conhecimentos e habilidades tácitas. Distingue-se, assim, a informação codificável de acesso geral e “conhecimentos que são difíceis de se codificar, os últimos são específicos para cada empresa, tecnologia ou arranjo institucional qualificado como conhecimento tácito” (OCDE, 1992, p. 69). As formas específicas de interação entre conhecimentos e habilidades tácitas, aprendizagem e inovação assumem condição de atributo muito relevante na diferenciação institucional entre regiões (CAPELLO, 1999; </w:t>
      </w:r>
      <w:proofErr w:type="spellStart"/>
      <w:r w:rsidRPr="008740CF">
        <w:rPr>
          <w:rFonts w:ascii="Times New Roman" w:hAnsi="Times New Roman" w:cs="Times New Roman"/>
          <w:sz w:val="24"/>
          <w:szCs w:val="24"/>
        </w:rPr>
        <w:t>KEEBLE</w:t>
      </w:r>
      <w:proofErr w:type="spellEnd"/>
      <w:r w:rsidRPr="008740CF">
        <w:rPr>
          <w:rFonts w:ascii="Times New Roman" w:hAnsi="Times New Roman" w:cs="Times New Roman"/>
          <w:sz w:val="24"/>
          <w:szCs w:val="24"/>
        </w:rPr>
        <w:t xml:space="preserve"> </w:t>
      </w:r>
      <w:r w:rsidRPr="008740CF">
        <w:rPr>
          <w:rFonts w:ascii="Times New Roman" w:hAnsi="Times New Roman" w:cs="Times New Roman"/>
          <w:i/>
          <w:iCs/>
          <w:sz w:val="24"/>
          <w:szCs w:val="24"/>
        </w:rPr>
        <w:t>et al</w:t>
      </w:r>
      <w:r w:rsidRPr="008740CF">
        <w:rPr>
          <w:rFonts w:ascii="Times New Roman" w:hAnsi="Times New Roman" w:cs="Times New Roman"/>
          <w:sz w:val="24"/>
          <w:szCs w:val="24"/>
        </w:rPr>
        <w:t xml:space="preserve">., 1999; </w:t>
      </w:r>
      <w:proofErr w:type="spellStart"/>
      <w:r w:rsidRPr="008740CF">
        <w:rPr>
          <w:rFonts w:ascii="Times New Roman" w:hAnsi="Times New Roman" w:cs="Times New Roman"/>
          <w:sz w:val="24"/>
          <w:szCs w:val="24"/>
        </w:rPr>
        <w:t>MALMBERG</w:t>
      </w:r>
      <w:proofErr w:type="spellEnd"/>
      <w:r w:rsidRPr="008740CF">
        <w:rPr>
          <w:rFonts w:ascii="Times New Roman" w:hAnsi="Times New Roman" w:cs="Times New Roman"/>
          <w:sz w:val="24"/>
          <w:szCs w:val="24"/>
        </w:rPr>
        <w:t xml:space="preserve">, </w:t>
      </w:r>
      <w:proofErr w:type="spellStart"/>
      <w:r w:rsidRPr="008740CF">
        <w:rPr>
          <w:rFonts w:ascii="Times New Roman" w:hAnsi="Times New Roman" w:cs="Times New Roman"/>
          <w:sz w:val="24"/>
          <w:szCs w:val="24"/>
        </w:rPr>
        <w:t>MASKELL</w:t>
      </w:r>
      <w:proofErr w:type="spellEnd"/>
      <w:r w:rsidRPr="008740CF">
        <w:rPr>
          <w:rFonts w:ascii="Times New Roman" w:hAnsi="Times New Roman" w:cs="Times New Roman"/>
          <w:sz w:val="24"/>
          <w:szCs w:val="24"/>
        </w:rPr>
        <w:t>, 1997), ao que se soma o fato de que esses processos de interação, por serem acumulativos, requerem um certo grau de continuidade e estabilidade que podem ser facilitadas pela proximidade espacial (</w:t>
      </w:r>
      <w:proofErr w:type="spellStart"/>
      <w:r w:rsidRPr="008740CF">
        <w:rPr>
          <w:rFonts w:ascii="Times New Roman" w:hAnsi="Times New Roman" w:cs="Times New Roman"/>
          <w:sz w:val="24"/>
          <w:szCs w:val="24"/>
        </w:rPr>
        <w:t>MASKELL</w:t>
      </w:r>
      <w:proofErr w:type="spellEnd"/>
      <w:r w:rsidRPr="008740CF">
        <w:rPr>
          <w:rFonts w:ascii="Times New Roman" w:hAnsi="Times New Roman" w:cs="Times New Roman"/>
          <w:sz w:val="24"/>
          <w:szCs w:val="24"/>
        </w:rPr>
        <w:t xml:space="preserve"> </w:t>
      </w:r>
      <w:r w:rsidRPr="008740CF">
        <w:rPr>
          <w:rFonts w:ascii="Times New Roman" w:hAnsi="Times New Roman" w:cs="Times New Roman"/>
          <w:i/>
          <w:iCs/>
          <w:sz w:val="24"/>
          <w:szCs w:val="24"/>
        </w:rPr>
        <w:t>et al.</w:t>
      </w:r>
      <w:r w:rsidRPr="008740CF">
        <w:rPr>
          <w:rFonts w:ascii="Times New Roman" w:hAnsi="Times New Roman" w:cs="Times New Roman"/>
          <w:sz w:val="24"/>
          <w:szCs w:val="24"/>
        </w:rPr>
        <w:t xml:space="preserve"> 1998). Desse modo, Dosi </w:t>
      </w:r>
      <w:r w:rsidRPr="008740CF">
        <w:rPr>
          <w:rFonts w:ascii="Times New Roman" w:hAnsi="Times New Roman" w:cs="Times New Roman"/>
          <w:i/>
          <w:iCs/>
          <w:sz w:val="24"/>
          <w:szCs w:val="24"/>
        </w:rPr>
        <w:t>et al</w:t>
      </w:r>
      <w:r w:rsidRPr="008740CF">
        <w:rPr>
          <w:rFonts w:ascii="Times New Roman" w:hAnsi="Times New Roman" w:cs="Times New Roman"/>
          <w:sz w:val="24"/>
          <w:szCs w:val="24"/>
        </w:rPr>
        <w:t xml:space="preserve">. (1990 p. 266) argumentam que tais determinantes e constrangimentos à mudança tecnológica e à inovação reforçam a existência de </w:t>
      </w:r>
      <w:r w:rsidRPr="008740CF">
        <w:rPr>
          <w:rFonts w:ascii="Times New Roman" w:hAnsi="Times New Roman" w:cs="Times New Roman"/>
          <w:i/>
          <w:iCs/>
          <w:sz w:val="24"/>
          <w:szCs w:val="24"/>
        </w:rPr>
        <w:t>gaps</w:t>
      </w:r>
      <w:r w:rsidRPr="008740CF">
        <w:rPr>
          <w:rFonts w:ascii="Times New Roman" w:hAnsi="Times New Roman" w:cs="Times New Roman"/>
          <w:sz w:val="24"/>
          <w:szCs w:val="24"/>
        </w:rPr>
        <w:t xml:space="preserve"> entre empresas, países e regiões. Tais diferenciações não dizem respeito apenas às relações de dependência dentro das divisões nacionais e internacionais do trabalho, “mas também refletem as características de aprendizagem precárias que são internas às próprias regiões” (MACKINNON, </w:t>
      </w:r>
      <w:proofErr w:type="spellStart"/>
      <w:r w:rsidRPr="008740CF">
        <w:rPr>
          <w:rFonts w:ascii="Times New Roman" w:hAnsi="Times New Roman" w:cs="Times New Roman"/>
          <w:sz w:val="24"/>
          <w:szCs w:val="24"/>
        </w:rPr>
        <w:t>CUMBERS</w:t>
      </w:r>
      <w:proofErr w:type="spellEnd"/>
      <w:r w:rsidRPr="008740CF">
        <w:rPr>
          <w:rFonts w:ascii="Times New Roman" w:hAnsi="Times New Roman" w:cs="Times New Roman"/>
          <w:sz w:val="24"/>
          <w:szCs w:val="24"/>
        </w:rPr>
        <w:t>, CHAPMAN, 2002, p. 302).</w:t>
      </w:r>
    </w:p>
    <w:p w14:paraId="47BDFA32" w14:textId="77777777" w:rsidR="00D94B55" w:rsidRPr="008740CF" w:rsidRDefault="00D94B55"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 xml:space="preserve">Dessa forma, os agentes econômicos, tendo por referência sua base de conhecimento tácito, adotam, preferencialmente, caminhos que permitem que resultados favoráveis sejam esperados com pouco risco e o fazem a partir de experiências bem-sucedidas do passado, escolhas derivadas, por conseguinte, de </w:t>
      </w:r>
      <w:proofErr w:type="spellStart"/>
      <w:r w:rsidRPr="008740CF">
        <w:rPr>
          <w:rFonts w:ascii="Times New Roman" w:hAnsi="Times New Roman" w:cs="Times New Roman"/>
          <w:i/>
          <w:iCs/>
          <w:sz w:val="24"/>
          <w:szCs w:val="24"/>
        </w:rPr>
        <w:t>rules</w:t>
      </w:r>
      <w:proofErr w:type="spellEnd"/>
      <w:r w:rsidRPr="008740CF">
        <w:rPr>
          <w:rFonts w:ascii="Times New Roman" w:hAnsi="Times New Roman" w:cs="Times New Roman"/>
          <w:i/>
          <w:iCs/>
          <w:sz w:val="24"/>
          <w:szCs w:val="24"/>
        </w:rPr>
        <w:t xml:space="preserve"> </w:t>
      </w:r>
      <w:proofErr w:type="spellStart"/>
      <w:r w:rsidRPr="008740CF">
        <w:rPr>
          <w:rFonts w:ascii="Times New Roman" w:hAnsi="Times New Roman" w:cs="Times New Roman"/>
          <w:i/>
          <w:iCs/>
          <w:sz w:val="24"/>
          <w:szCs w:val="24"/>
        </w:rPr>
        <w:t>of</w:t>
      </w:r>
      <w:proofErr w:type="spellEnd"/>
      <w:r w:rsidRPr="008740CF">
        <w:rPr>
          <w:rFonts w:ascii="Times New Roman" w:hAnsi="Times New Roman" w:cs="Times New Roman"/>
          <w:i/>
          <w:iCs/>
          <w:sz w:val="24"/>
          <w:szCs w:val="24"/>
        </w:rPr>
        <w:t xml:space="preserve"> thumb</w:t>
      </w:r>
      <w:r w:rsidRPr="008740CF">
        <w:rPr>
          <w:rFonts w:ascii="Times New Roman" w:hAnsi="Times New Roman" w:cs="Times New Roman"/>
          <w:sz w:val="24"/>
          <w:szCs w:val="24"/>
        </w:rPr>
        <w:t xml:space="preserve"> (</w:t>
      </w:r>
      <w:proofErr w:type="spellStart"/>
      <w:r w:rsidRPr="008740CF">
        <w:rPr>
          <w:rFonts w:ascii="Times New Roman" w:hAnsi="Times New Roman" w:cs="Times New Roman"/>
          <w:sz w:val="24"/>
          <w:szCs w:val="24"/>
        </w:rPr>
        <w:t>BAUMOL</w:t>
      </w:r>
      <w:proofErr w:type="spellEnd"/>
      <w:r w:rsidRPr="008740CF">
        <w:rPr>
          <w:rFonts w:ascii="Times New Roman" w:hAnsi="Times New Roman" w:cs="Times New Roman"/>
          <w:sz w:val="24"/>
          <w:szCs w:val="24"/>
        </w:rPr>
        <w:t xml:space="preserve">, </w:t>
      </w:r>
      <w:proofErr w:type="spellStart"/>
      <w:r w:rsidRPr="008740CF">
        <w:rPr>
          <w:rFonts w:ascii="Times New Roman" w:hAnsi="Times New Roman" w:cs="Times New Roman"/>
          <w:sz w:val="24"/>
          <w:szCs w:val="24"/>
        </w:rPr>
        <w:t>QUANDT</w:t>
      </w:r>
      <w:proofErr w:type="spellEnd"/>
      <w:r w:rsidRPr="008740CF">
        <w:rPr>
          <w:rFonts w:ascii="Times New Roman" w:hAnsi="Times New Roman" w:cs="Times New Roman"/>
          <w:sz w:val="24"/>
          <w:szCs w:val="24"/>
        </w:rPr>
        <w:t xml:space="preserve">, 1964; OCDE, 1992; ARTHUR, 1988). Concentram-se em opções existentes no entorno da base tecnológica com a qual já estão familiarizados, não cobrindo, por conseguinte, todo o espectro de alternativas que engloba as possibilidades tecnológicas abertas por um outro paradigma tecnológico (DOSI, 1982). Justamente por isso, as oportunidades de desenvolvimento futuro encontram-se fortemente condicionadas por mecanismos de </w:t>
      </w:r>
      <w:r w:rsidRPr="008740CF">
        <w:rPr>
          <w:rFonts w:ascii="Times New Roman" w:hAnsi="Times New Roman" w:cs="Times New Roman"/>
          <w:i/>
          <w:iCs/>
          <w:sz w:val="24"/>
          <w:szCs w:val="24"/>
        </w:rPr>
        <w:t>feedbacks</w:t>
      </w:r>
      <w:r w:rsidRPr="008740CF">
        <w:rPr>
          <w:rFonts w:ascii="Times New Roman" w:hAnsi="Times New Roman" w:cs="Times New Roman"/>
          <w:sz w:val="24"/>
          <w:szCs w:val="24"/>
        </w:rPr>
        <w:t xml:space="preserve"> derivados de retornos </w:t>
      </w:r>
      <w:r w:rsidRPr="008740CF">
        <w:rPr>
          <w:rFonts w:ascii="Times New Roman" w:hAnsi="Times New Roman" w:cs="Times New Roman"/>
          <w:sz w:val="24"/>
          <w:szCs w:val="24"/>
        </w:rPr>
        <w:lastRenderedPageBreak/>
        <w:t xml:space="preserve">crescentes de produtividade. Gestam-se, assim, trajetórias tecnológicas que, baseadas em paradigmas tecnológicos, </w:t>
      </w:r>
      <w:proofErr w:type="spellStart"/>
      <w:r w:rsidRPr="008740CF">
        <w:rPr>
          <w:rFonts w:ascii="Times New Roman" w:hAnsi="Times New Roman" w:cs="Times New Roman"/>
          <w:sz w:val="24"/>
          <w:szCs w:val="24"/>
        </w:rPr>
        <w:t>pré</w:t>
      </w:r>
      <w:proofErr w:type="spellEnd"/>
      <w:r w:rsidRPr="008740CF">
        <w:rPr>
          <w:rFonts w:ascii="Times New Roman" w:hAnsi="Times New Roman" w:cs="Times New Roman"/>
          <w:sz w:val="24"/>
          <w:szCs w:val="24"/>
        </w:rPr>
        <w:t xml:space="preserve">-configuram um corredor de escolhas para processos de busca seletiva (NELSON, WINTER, 1992; DOSI 1982, ROSENBERG, 1982). De tal forma, uma trajetória tecnológica é um padrão usual de escolhas para a resolução de problemas com base em um paradigma e pode ser representada por um movimento de </w:t>
      </w:r>
      <w:r w:rsidRPr="008740CF">
        <w:rPr>
          <w:rFonts w:ascii="Times New Roman" w:hAnsi="Times New Roman" w:cs="Times New Roman"/>
          <w:i/>
          <w:iCs/>
          <w:sz w:val="24"/>
          <w:szCs w:val="24"/>
        </w:rPr>
        <w:t>trade-</w:t>
      </w:r>
      <w:proofErr w:type="spellStart"/>
      <w:r w:rsidRPr="008740CF">
        <w:rPr>
          <w:rFonts w:ascii="Times New Roman" w:hAnsi="Times New Roman" w:cs="Times New Roman"/>
          <w:i/>
          <w:iCs/>
          <w:sz w:val="24"/>
          <w:szCs w:val="24"/>
        </w:rPr>
        <w:t>offs</w:t>
      </w:r>
      <w:proofErr w:type="spellEnd"/>
      <w:r w:rsidRPr="008740CF">
        <w:rPr>
          <w:rFonts w:ascii="Times New Roman" w:hAnsi="Times New Roman" w:cs="Times New Roman"/>
          <w:sz w:val="24"/>
          <w:szCs w:val="24"/>
        </w:rPr>
        <w:t xml:space="preserve"> multidimensionais entre variáveis tecnológicas que o próprio paradigma define como relevantes. Assim, ela é “um conjunto com possíveis direções tecnológicas cujas fronteiras externas são definidas pela própria natureza do paradigma” (DOSI, 1982, p. 154).</w:t>
      </w:r>
    </w:p>
    <w:p w14:paraId="5E3426DB" w14:textId="77777777" w:rsidR="00D94B55" w:rsidRPr="00F01DB6" w:rsidRDefault="00D94B55" w:rsidP="00F01DB6">
      <w:pPr>
        <w:spacing w:after="0" w:line="360" w:lineRule="auto"/>
        <w:ind w:firstLine="709"/>
        <w:jc w:val="both"/>
        <w:rPr>
          <w:rFonts w:ascii="Times New Roman" w:hAnsi="Times New Roman" w:cs="Times New Roman"/>
          <w:sz w:val="24"/>
          <w:szCs w:val="24"/>
        </w:rPr>
      </w:pPr>
      <w:r w:rsidRPr="00F01DB6">
        <w:rPr>
          <w:rFonts w:ascii="Times New Roman" w:hAnsi="Times New Roman" w:cs="Times New Roman"/>
          <w:sz w:val="24"/>
          <w:szCs w:val="24"/>
        </w:rPr>
        <w:t>Trata-se, por conseguinte, de caminho teórico para se interpretar processos de desenvolvimento, inovação ou bloqueios a eles que os vincula à dimensão territorial, uma vez que é no espaço concreto que se estabelecem a densidade e a qualidade de relacionamentos, de arranjos institucionais; constituem-se a reciprocação entre agentes, a estruturação de redes; e onde se dá a interação entre a inovação, a aprendizagem e o conhecimento.</w:t>
      </w:r>
    </w:p>
    <w:p w14:paraId="2C4CC9BA" w14:textId="77777777" w:rsidR="007E2B6E" w:rsidRPr="00F01DB6" w:rsidRDefault="00D94B55" w:rsidP="00F01DB6">
      <w:pPr>
        <w:spacing w:after="0" w:line="360" w:lineRule="auto"/>
        <w:ind w:firstLine="709"/>
        <w:jc w:val="both"/>
        <w:rPr>
          <w:rFonts w:ascii="Times New Roman" w:hAnsi="Times New Roman" w:cs="Times New Roman"/>
          <w:sz w:val="24"/>
          <w:szCs w:val="24"/>
        </w:rPr>
      </w:pPr>
      <w:r w:rsidRPr="00F01DB6">
        <w:rPr>
          <w:rFonts w:ascii="Times New Roman" w:hAnsi="Times New Roman" w:cs="Times New Roman"/>
          <w:sz w:val="24"/>
          <w:szCs w:val="24"/>
        </w:rPr>
        <w:t>Se há pertinência em se indicar a necessidade de interação entre inovação e arranjos institucionais de base territorial como elementos cruciais para o progresso tecnológico, todavia é inadequada a avocação indiscriminada dos territórios como “local apropriado para regular o capitalismo global” (</w:t>
      </w:r>
      <w:proofErr w:type="spellStart"/>
      <w:r w:rsidRPr="00F01DB6">
        <w:rPr>
          <w:rFonts w:ascii="Times New Roman" w:hAnsi="Times New Roman" w:cs="Times New Roman"/>
          <w:sz w:val="24"/>
          <w:szCs w:val="24"/>
        </w:rPr>
        <w:t>MACLEOD</w:t>
      </w:r>
      <w:proofErr w:type="spellEnd"/>
      <w:r w:rsidRPr="00F01DB6">
        <w:rPr>
          <w:rFonts w:ascii="Times New Roman" w:hAnsi="Times New Roman" w:cs="Times New Roman"/>
          <w:sz w:val="24"/>
          <w:szCs w:val="24"/>
        </w:rPr>
        <w:t xml:space="preserve">, 2001, p. 804). Outra limitação a ser considerada na possibilidade de promoção de impulsos endógenos ao progresso tecnológico é o de subvalorizar agentes e suas trajetórias tecnológicas e de supervalorizar processos como a constituição de redes que são abordadas como sendo necessariamente benéficas (LAWSON </w:t>
      </w:r>
      <w:r w:rsidRPr="00F01DB6">
        <w:rPr>
          <w:rFonts w:ascii="Times New Roman" w:hAnsi="Times New Roman" w:cs="Times New Roman"/>
          <w:i/>
          <w:iCs/>
          <w:sz w:val="24"/>
          <w:szCs w:val="24"/>
        </w:rPr>
        <w:t>et al</w:t>
      </w:r>
      <w:r w:rsidRPr="00F01DB6">
        <w:rPr>
          <w:rFonts w:ascii="Times New Roman" w:hAnsi="Times New Roman" w:cs="Times New Roman"/>
          <w:sz w:val="24"/>
          <w:szCs w:val="24"/>
        </w:rPr>
        <w:t xml:space="preserve">., 1998). </w:t>
      </w:r>
      <w:r w:rsidR="007E2B6E" w:rsidRPr="00F01DB6">
        <w:rPr>
          <w:rFonts w:ascii="Times New Roman" w:hAnsi="Times New Roman" w:cs="Times New Roman"/>
          <w:sz w:val="24"/>
          <w:szCs w:val="24"/>
        </w:rPr>
        <w:t xml:space="preserve">Para </w:t>
      </w:r>
      <w:proofErr w:type="spellStart"/>
      <w:r w:rsidR="007E2B6E" w:rsidRPr="00F01DB6">
        <w:rPr>
          <w:rFonts w:ascii="Times New Roman" w:hAnsi="Times New Roman" w:cs="Times New Roman"/>
          <w:sz w:val="24"/>
          <w:szCs w:val="24"/>
        </w:rPr>
        <w:t>Markusen</w:t>
      </w:r>
      <w:proofErr w:type="spellEnd"/>
      <w:r w:rsidR="007E2B6E" w:rsidRPr="00F01DB6">
        <w:rPr>
          <w:rFonts w:ascii="Times New Roman" w:hAnsi="Times New Roman" w:cs="Times New Roman"/>
          <w:sz w:val="24"/>
          <w:szCs w:val="24"/>
        </w:rPr>
        <w:t xml:space="preserve"> (2005), esse é um erro recorrente em formulações recentes da geografia econômica que implica a eliminação dos atores decisivos na interpretação dos processos de desenvolvimento. Esses atores são entendidos por </w:t>
      </w:r>
      <w:proofErr w:type="spellStart"/>
      <w:r w:rsidR="007E2B6E" w:rsidRPr="00F01DB6">
        <w:rPr>
          <w:rFonts w:ascii="Times New Roman" w:hAnsi="Times New Roman" w:cs="Times New Roman"/>
          <w:sz w:val="24"/>
          <w:szCs w:val="24"/>
        </w:rPr>
        <w:t>Markusen</w:t>
      </w:r>
      <w:proofErr w:type="spellEnd"/>
      <w:r w:rsidR="007E2B6E" w:rsidRPr="00F01DB6">
        <w:rPr>
          <w:rFonts w:ascii="Times New Roman" w:hAnsi="Times New Roman" w:cs="Times New Roman"/>
          <w:sz w:val="24"/>
          <w:szCs w:val="24"/>
        </w:rPr>
        <w:t xml:space="preserve"> (2005, p. 58) como “instituições que funcionam como agentes decisórios, empreendedores que decidem estabelecer ou criar firmas em determinados locais e trabalhadores que tomam a decisão de migrar”. Ao subvalorizar a interpretação desses atores, desconsidera-se, por exemplo, a análise do papel das “corporações internacionais e nacionais que têm deixado suas marcas nas economias regionais” e se constituem “um dos atores econômicos mais importantes no desenvolvimento capitalista” (</w:t>
      </w:r>
      <w:proofErr w:type="spellStart"/>
      <w:r w:rsidR="007E2B6E" w:rsidRPr="00F01DB6">
        <w:rPr>
          <w:rFonts w:ascii="Times New Roman" w:hAnsi="Times New Roman" w:cs="Times New Roman"/>
          <w:sz w:val="24"/>
          <w:szCs w:val="24"/>
        </w:rPr>
        <w:t>MARKUSEN</w:t>
      </w:r>
      <w:proofErr w:type="spellEnd"/>
      <w:r w:rsidR="007E2B6E" w:rsidRPr="00F01DB6">
        <w:rPr>
          <w:rFonts w:ascii="Times New Roman" w:hAnsi="Times New Roman" w:cs="Times New Roman"/>
          <w:sz w:val="24"/>
          <w:szCs w:val="24"/>
        </w:rPr>
        <w:t xml:space="preserve">, 2005, p.63). Segundo a autora, existe um equívoco comum no campo da “nova </w:t>
      </w:r>
      <w:r w:rsidR="007E2B6E" w:rsidRPr="00F01DB6">
        <w:rPr>
          <w:rFonts w:ascii="Times New Roman" w:hAnsi="Times New Roman" w:cs="Times New Roman"/>
          <w:sz w:val="24"/>
          <w:szCs w:val="24"/>
        </w:rPr>
        <w:lastRenderedPageBreak/>
        <w:t>geografia econômica”, qual seja, “ausência de ênfase no comportamento microeconômico da firma e da organização industrial”, de forma “que a atenção se desvia das teorias da localização e migração, que modelam a maneira pela qual as firmas decidem onde se localizar e os trabalhadores onde viver” (</w:t>
      </w:r>
      <w:proofErr w:type="spellStart"/>
      <w:r w:rsidR="007E2B6E" w:rsidRPr="00F01DB6">
        <w:rPr>
          <w:rFonts w:ascii="Times New Roman" w:hAnsi="Times New Roman" w:cs="Times New Roman"/>
          <w:sz w:val="24"/>
          <w:szCs w:val="24"/>
        </w:rPr>
        <w:t>MARKUSEN</w:t>
      </w:r>
      <w:proofErr w:type="spellEnd"/>
      <w:r w:rsidR="007E2B6E" w:rsidRPr="00F01DB6">
        <w:rPr>
          <w:rFonts w:ascii="Times New Roman" w:hAnsi="Times New Roman" w:cs="Times New Roman"/>
          <w:sz w:val="24"/>
          <w:szCs w:val="24"/>
        </w:rPr>
        <w:t>, 2005, p. 61).</w:t>
      </w:r>
    </w:p>
    <w:p w14:paraId="18E3AD54" w14:textId="77777777" w:rsidR="007E2B6E" w:rsidRPr="00F01DB6" w:rsidRDefault="007E2B6E" w:rsidP="00F01DB6">
      <w:pPr>
        <w:spacing w:after="0" w:line="360" w:lineRule="auto"/>
        <w:ind w:firstLine="709"/>
        <w:jc w:val="both"/>
        <w:rPr>
          <w:rFonts w:ascii="Times New Roman" w:hAnsi="Times New Roman" w:cs="Times New Roman"/>
          <w:sz w:val="24"/>
          <w:szCs w:val="24"/>
        </w:rPr>
      </w:pPr>
      <w:bookmarkStart w:id="9" w:name="_Hlk80282081"/>
      <w:proofErr w:type="spellStart"/>
      <w:r w:rsidRPr="00F01DB6">
        <w:rPr>
          <w:rFonts w:ascii="Times New Roman" w:hAnsi="Times New Roman" w:cs="Times New Roman"/>
          <w:sz w:val="24"/>
          <w:szCs w:val="24"/>
        </w:rPr>
        <w:t>Cantwell</w:t>
      </w:r>
      <w:proofErr w:type="spellEnd"/>
      <w:r w:rsidRPr="00F01DB6">
        <w:rPr>
          <w:rFonts w:ascii="Times New Roman" w:hAnsi="Times New Roman" w:cs="Times New Roman"/>
          <w:sz w:val="24"/>
          <w:szCs w:val="24"/>
        </w:rPr>
        <w:t xml:space="preserve"> (1989) </w:t>
      </w:r>
      <w:bookmarkEnd w:id="9"/>
      <w:r w:rsidRPr="00F01DB6">
        <w:rPr>
          <w:rFonts w:ascii="Times New Roman" w:hAnsi="Times New Roman" w:cs="Times New Roman"/>
          <w:sz w:val="24"/>
          <w:szCs w:val="24"/>
        </w:rPr>
        <w:t>argumenta que a globalização e o acirramento da competição internacional conduzem ao fortalecimento acumulativo de certos espaços subnacionais preferidos pelas empresas multinacionais, o que, para ele, contribui para a desintegração crescente dos sistemas nacionais de produção e inovação menos atrativos. Já a OECD entende que os espaços subnacionais que reúnem a melhor combinação de atributos nessa escala situam-se na interface entre os mecanismos interativos e os processos cumulativos de competitividade. Sua importância reside em seu papel integrador dos sistemas nacionais de inovação, dependendo a competitividade estrutural da economia do número, da natureza e do grau de interações entre eles (OECD, 1992, p. 253).</w:t>
      </w:r>
    </w:p>
    <w:p w14:paraId="2E296BDC" w14:textId="77777777" w:rsidR="00D94B55" w:rsidRPr="008740CF" w:rsidRDefault="00D94B55"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 xml:space="preserve">As limitações citadas conduzem à produção de análises que falham em fundamentar adequadamente a investigação acerca da interação entre inovação, aprendizagem, conhecimento, instituições e regiões (MACKINNON, </w:t>
      </w:r>
      <w:proofErr w:type="spellStart"/>
      <w:r w:rsidRPr="008740CF">
        <w:rPr>
          <w:rFonts w:ascii="Times New Roman" w:hAnsi="Times New Roman" w:cs="Times New Roman"/>
          <w:sz w:val="24"/>
          <w:szCs w:val="24"/>
        </w:rPr>
        <w:t>CUMBERS</w:t>
      </w:r>
      <w:proofErr w:type="spellEnd"/>
      <w:r w:rsidRPr="008740CF">
        <w:rPr>
          <w:rFonts w:ascii="Times New Roman" w:hAnsi="Times New Roman" w:cs="Times New Roman"/>
          <w:sz w:val="24"/>
          <w:szCs w:val="24"/>
        </w:rPr>
        <w:t>, CHAPMAN, 2002, p. 294). Por conseguinte, os esforços para superá-las não devem prescindir da investigação das bases empíricas sobre as quais desdobram-se tensões e divisões presentes em distintas escalas e entre agentes e das dinâmicas mais gerais e sistêmicas que medeiam a produção e a reprodução da vida social. É a apreensão dessas complexas interações e mediações que permitirá dimensionar a abrangência e a extensão dos esforços e dos arranjos institucionais necessários à reversão de tendências e de dinâmicas históricas de desenvolvimento que caracterizam determinadas regiões.</w:t>
      </w:r>
    </w:p>
    <w:p w14:paraId="061B8FB9" w14:textId="77777777" w:rsidR="00D94B55" w:rsidRPr="008740CF" w:rsidRDefault="00D94B55" w:rsidP="00B942F0">
      <w:pPr>
        <w:spacing w:after="0" w:line="360" w:lineRule="auto"/>
        <w:ind w:firstLine="709"/>
        <w:jc w:val="both"/>
        <w:rPr>
          <w:rFonts w:ascii="Times New Roman" w:hAnsi="Times New Roman" w:cs="Times New Roman"/>
          <w:sz w:val="24"/>
          <w:szCs w:val="24"/>
        </w:rPr>
      </w:pPr>
      <w:r w:rsidRPr="008740CF">
        <w:rPr>
          <w:rFonts w:ascii="Times New Roman" w:hAnsi="Times New Roman" w:cs="Times New Roman"/>
          <w:sz w:val="24"/>
          <w:szCs w:val="24"/>
        </w:rPr>
        <w:t>Na perspectiva de se realizar aproximação empírica que dê relevo à localização e à articulação de agentes, a capacidades e a variedades de fontes de inovação, à dimensão territorial e aos principais agentes da economia regional e suas trajetórias tecnológicas, nos itens seguintes serão indicados padrões espaciais de articulação desses atributos em escala subnacional e como os agentes econômicos mais relevantes na região de Carajás interatuam no escopo dessa configuração.</w:t>
      </w:r>
    </w:p>
    <w:p w14:paraId="6AFAF083" w14:textId="77777777" w:rsidR="00780B62" w:rsidRDefault="00780B62" w:rsidP="008740CF">
      <w:pPr>
        <w:spacing w:after="0" w:line="360" w:lineRule="auto"/>
        <w:jc w:val="both"/>
        <w:rPr>
          <w:rFonts w:ascii="Times New Roman" w:hAnsi="Times New Roman" w:cs="Times New Roman"/>
          <w:b/>
          <w:bCs/>
          <w:sz w:val="24"/>
          <w:szCs w:val="24"/>
        </w:rPr>
      </w:pPr>
    </w:p>
    <w:p w14:paraId="2C892E43" w14:textId="63A278A3" w:rsidR="00C66543" w:rsidRDefault="00C93029" w:rsidP="008740CF">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3 </w:t>
      </w:r>
      <w:r w:rsidR="00D94B55">
        <w:rPr>
          <w:rFonts w:ascii="Times New Roman" w:hAnsi="Times New Roman" w:cs="Times New Roman"/>
          <w:b/>
          <w:bCs/>
          <w:sz w:val="24"/>
          <w:szCs w:val="24"/>
        </w:rPr>
        <w:t>ASPECTOS METODOLÓGICOS</w:t>
      </w:r>
    </w:p>
    <w:p w14:paraId="628BC6DB" w14:textId="77777777" w:rsidR="00B44464" w:rsidRPr="00B942F0" w:rsidRDefault="00B44464" w:rsidP="00B942F0">
      <w:pPr>
        <w:widowControl w:val="0"/>
        <w:spacing w:after="0" w:line="360" w:lineRule="auto"/>
        <w:ind w:firstLine="709"/>
        <w:jc w:val="both"/>
        <w:rPr>
          <w:rFonts w:ascii="Times New Roman" w:hAnsi="Times New Roman" w:cs="Times New Roman"/>
          <w:sz w:val="24"/>
          <w:szCs w:val="24"/>
        </w:rPr>
      </w:pPr>
      <w:r w:rsidRPr="00B942F0">
        <w:rPr>
          <w:rFonts w:ascii="Times New Roman" w:hAnsi="Times New Roman" w:cs="Times New Roman"/>
          <w:sz w:val="24"/>
          <w:szCs w:val="24"/>
        </w:rPr>
        <w:t>Para subsidiar a investigação empírica do padrão de interatividade entre múltiplos agentes subjacente a dinâmicas de inovação, adotou-se estratégia heurística a fim de se delinear padrões subnacionais mediante a conjunção de variáveis que pudessem expressar a combinação de capacidades e fontes de inovação, aprendizagem e desenvolvimento em bases espaciais.</w:t>
      </w:r>
    </w:p>
    <w:p w14:paraId="2758A40A" w14:textId="1DC03530" w:rsidR="00B44464" w:rsidRPr="00B942F0" w:rsidRDefault="00B44464" w:rsidP="00B942F0">
      <w:pPr>
        <w:spacing w:after="0" w:line="360" w:lineRule="auto"/>
        <w:ind w:firstLine="709"/>
        <w:jc w:val="both"/>
        <w:rPr>
          <w:rFonts w:ascii="Times New Roman" w:hAnsi="Times New Roman" w:cs="Times New Roman"/>
          <w:sz w:val="24"/>
          <w:szCs w:val="24"/>
        </w:rPr>
      </w:pPr>
      <w:r w:rsidRPr="00B942F0">
        <w:rPr>
          <w:rFonts w:ascii="Times New Roman" w:hAnsi="Times New Roman" w:cs="Times New Roman"/>
          <w:sz w:val="24"/>
          <w:szCs w:val="24"/>
        </w:rPr>
        <w:t xml:space="preserve">O deslindamento de tais padrões espaciais envolveu a utilização de tipologia elaborada por </w:t>
      </w:r>
      <w:bookmarkStart w:id="10" w:name="_Hlk80277423"/>
      <w:r w:rsidRPr="00B942F0">
        <w:rPr>
          <w:rFonts w:ascii="Times New Roman" w:hAnsi="Times New Roman" w:cs="Times New Roman"/>
          <w:sz w:val="24"/>
          <w:szCs w:val="24"/>
        </w:rPr>
        <w:t xml:space="preserve">Robinson </w:t>
      </w:r>
      <w:r w:rsidRPr="00B942F0">
        <w:rPr>
          <w:rFonts w:ascii="Times New Roman" w:hAnsi="Times New Roman" w:cs="Times New Roman"/>
          <w:i/>
          <w:iCs/>
          <w:sz w:val="24"/>
          <w:szCs w:val="24"/>
        </w:rPr>
        <w:t>et al.</w:t>
      </w:r>
      <w:r w:rsidRPr="00B942F0">
        <w:rPr>
          <w:rFonts w:ascii="Times New Roman" w:hAnsi="Times New Roman" w:cs="Times New Roman"/>
          <w:sz w:val="24"/>
          <w:szCs w:val="24"/>
        </w:rPr>
        <w:t xml:space="preserve"> (2003), </w:t>
      </w:r>
      <w:bookmarkEnd w:id="10"/>
      <w:r w:rsidRPr="00B942F0">
        <w:rPr>
          <w:rFonts w:ascii="Times New Roman" w:hAnsi="Times New Roman" w:cs="Times New Roman"/>
          <w:sz w:val="24"/>
          <w:szCs w:val="24"/>
        </w:rPr>
        <w:t xml:space="preserve">derivada da classificação de padrões de inovação para a produção industrial desenvolvida por </w:t>
      </w:r>
      <w:bookmarkStart w:id="11" w:name="_Hlk80277826"/>
      <w:r w:rsidRPr="00B942F0">
        <w:rPr>
          <w:rFonts w:ascii="Times New Roman" w:hAnsi="Times New Roman" w:cs="Times New Roman"/>
          <w:sz w:val="24"/>
          <w:szCs w:val="24"/>
        </w:rPr>
        <w:t xml:space="preserve">Pavitt (1984) </w:t>
      </w:r>
      <w:bookmarkEnd w:id="11"/>
      <w:r w:rsidRPr="00B942F0">
        <w:rPr>
          <w:rFonts w:ascii="Times New Roman" w:hAnsi="Times New Roman" w:cs="Times New Roman"/>
          <w:sz w:val="24"/>
          <w:szCs w:val="24"/>
        </w:rPr>
        <w:t xml:space="preserve">e da tipologia sobre inovação em serviços elaborada por </w:t>
      </w:r>
      <w:bookmarkStart w:id="12" w:name="_Hlk80277854"/>
      <w:r w:rsidRPr="00B942F0">
        <w:rPr>
          <w:rFonts w:ascii="Times New Roman" w:hAnsi="Times New Roman" w:cs="Times New Roman"/>
          <w:sz w:val="24"/>
          <w:szCs w:val="24"/>
        </w:rPr>
        <w:t xml:space="preserve">Van Ark, </w:t>
      </w:r>
      <w:proofErr w:type="spellStart"/>
      <w:r w:rsidRPr="00B942F0">
        <w:rPr>
          <w:rFonts w:ascii="Times New Roman" w:hAnsi="Times New Roman" w:cs="Times New Roman"/>
          <w:sz w:val="24"/>
          <w:szCs w:val="24"/>
        </w:rPr>
        <w:t>Broersma</w:t>
      </w:r>
      <w:proofErr w:type="spellEnd"/>
      <w:r w:rsidRPr="00B942F0">
        <w:rPr>
          <w:rFonts w:ascii="Times New Roman" w:hAnsi="Times New Roman" w:cs="Times New Roman"/>
          <w:sz w:val="24"/>
          <w:szCs w:val="24"/>
        </w:rPr>
        <w:t xml:space="preserve"> e Den </w:t>
      </w:r>
      <w:proofErr w:type="spellStart"/>
      <w:r w:rsidRPr="00B942F0">
        <w:rPr>
          <w:rFonts w:ascii="Times New Roman" w:hAnsi="Times New Roman" w:cs="Times New Roman"/>
          <w:sz w:val="24"/>
          <w:szCs w:val="24"/>
        </w:rPr>
        <w:t>Hertog</w:t>
      </w:r>
      <w:proofErr w:type="spellEnd"/>
      <w:r w:rsidRPr="00B942F0">
        <w:rPr>
          <w:rFonts w:ascii="Times New Roman" w:hAnsi="Times New Roman" w:cs="Times New Roman"/>
          <w:sz w:val="24"/>
          <w:szCs w:val="24"/>
        </w:rPr>
        <w:t xml:space="preserve"> (2003</w:t>
      </w:r>
      <w:bookmarkEnd w:id="12"/>
      <w:r w:rsidRPr="00B942F0">
        <w:rPr>
          <w:rFonts w:ascii="Times New Roman" w:hAnsi="Times New Roman" w:cs="Times New Roman"/>
          <w:sz w:val="24"/>
          <w:szCs w:val="24"/>
        </w:rPr>
        <w:t>). A tipologia baseia-se na caracterização dos grupos de atividade econômica e do papel desempenhado por cada um deles como fontes de inovação, envolvendo a identificação de atividades que comportam capacidades distintas para impulsionar a interação e a cumulatividade na relação entre processos produtivos e inovações. A tipologia comporta nove grupos de atividades econômicas</w:t>
      </w:r>
      <w:r w:rsidR="008740CF">
        <w:rPr>
          <w:rFonts w:ascii="Times New Roman" w:hAnsi="Times New Roman" w:cs="Times New Roman"/>
          <w:sz w:val="24"/>
          <w:szCs w:val="24"/>
        </w:rPr>
        <w:t xml:space="preserve"> (</w:t>
      </w:r>
      <w:r w:rsidRPr="00B942F0">
        <w:rPr>
          <w:rFonts w:ascii="Times New Roman" w:hAnsi="Times New Roman" w:cs="Times New Roman"/>
          <w:sz w:val="24"/>
          <w:szCs w:val="24"/>
        </w:rPr>
        <w:t>Tabela 1</w:t>
      </w:r>
      <w:r w:rsidR="008740CF">
        <w:rPr>
          <w:rFonts w:ascii="Times New Roman" w:hAnsi="Times New Roman" w:cs="Times New Roman"/>
          <w:sz w:val="24"/>
          <w:szCs w:val="24"/>
        </w:rPr>
        <w:t>)</w:t>
      </w:r>
      <w:r w:rsidRPr="00B942F0">
        <w:rPr>
          <w:rFonts w:ascii="Times New Roman" w:hAnsi="Times New Roman" w:cs="Times New Roman"/>
          <w:sz w:val="24"/>
          <w:szCs w:val="24"/>
        </w:rPr>
        <w:t>.</w:t>
      </w:r>
    </w:p>
    <w:p w14:paraId="5E266762" w14:textId="77777777" w:rsidR="00B44464" w:rsidRPr="0063503B" w:rsidRDefault="00B44464" w:rsidP="00B44464">
      <w:pPr>
        <w:pStyle w:val="LegendaTab"/>
        <w:spacing w:before="0"/>
        <w:rPr>
          <w:rFonts w:ascii="Times New Roman" w:hAnsi="Times New Roman"/>
        </w:rPr>
      </w:pPr>
      <w:r w:rsidRPr="0063503B">
        <w:rPr>
          <w:rFonts w:ascii="Times New Roman" w:hAnsi="Times New Roman"/>
        </w:rPr>
        <w:t>Tabela 1 – Número de pessoas ocupadas no Brasil por grupos de atividades econômicas relacionadas a capacidades e variedades de fontes de inovação (2019).</w:t>
      </w:r>
    </w:p>
    <w:tbl>
      <w:tblPr>
        <w:tblW w:w="5000" w:type="pct"/>
        <w:tblCellMar>
          <w:left w:w="70" w:type="dxa"/>
          <w:right w:w="70" w:type="dxa"/>
        </w:tblCellMar>
        <w:tblLook w:val="04A0" w:firstRow="1" w:lastRow="0" w:firstColumn="1" w:lastColumn="0" w:noHBand="0" w:noVBand="1"/>
      </w:tblPr>
      <w:tblGrid>
        <w:gridCol w:w="666"/>
        <w:gridCol w:w="4750"/>
        <w:gridCol w:w="2342"/>
        <w:gridCol w:w="1313"/>
      </w:tblGrid>
      <w:tr w:rsidR="00B44464" w:rsidRPr="0063503B" w14:paraId="23A13D2A" w14:textId="77777777" w:rsidTr="002553CE">
        <w:trPr>
          <w:trHeight w:val="678"/>
        </w:trPr>
        <w:tc>
          <w:tcPr>
            <w:tcW w:w="367" w:type="pct"/>
            <w:tcBorders>
              <w:top w:val="single" w:sz="4" w:space="0" w:color="auto"/>
              <w:left w:val="nil"/>
              <w:bottom w:val="single" w:sz="4" w:space="0" w:color="auto"/>
              <w:right w:val="nil"/>
            </w:tcBorders>
            <w:shd w:val="clear" w:color="auto" w:fill="auto"/>
            <w:vAlign w:val="center"/>
            <w:hideMark/>
          </w:tcPr>
          <w:p w14:paraId="02590B5F"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Cód.</w:t>
            </w:r>
          </w:p>
        </w:tc>
        <w:tc>
          <w:tcPr>
            <w:tcW w:w="2618" w:type="pct"/>
            <w:tcBorders>
              <w:top w:val="single" w:sz="4" w:space="0" w:color="auto"/>
              <w:left w:val="nil"/>
              <w:bottom w:val="single" w:sz="4" w:space="0" w:color="auto"/>
              <w:right w:val="nil"/>
            </w:tcBorders>
            <w:shd w:val="clear" w:color="auto" w:fill="auto"/>
            <w:vAlign w:val="center"/>
            <w:hideMark/>
          </w:tcPr>
          <w:p w14:paraId="2D15FD26"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 xml:space="preserve">Grupos </w:t>
            </w:r>
          </w:p>
        </w:tc>
        <w:tc>
          <w:tcPr>
            <w:tcW w:w="1291" w:type="pct"/>
            <w:tcBorders>
              <w:top w:val="single" w:sz="4" w:space="0" w:color="auto"/>
              <w:left w:val="nil"/>
              <w:bottom w:val="single" w:sz="4" w:space="0" w:color="auto"/>
              <w:right w:val="nil"/>
            </w:tcBorders>
            <w:shd w:val="clear" w:color="auto" w:fill="auto"/>
            <w:vAlign w:val="center"/>
            <w:hideMark/>
          </w:tcPr>
          <w:p w14:paraId="3F9D7924"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Correspondência com as divisões CNAE 2.0</w:t>
            </w:r>
          </w:p>
        </w:tc>
        <w:tc>
          <w:tcPr>
            <w:tcW w:w="724" w:type="pct"/>
            <w:tcBorders>
              <w:top w:val="single" w:sz="4" w:space="0" w:color="auto"/>
              <w:left w:val="nil"/>
              <w:bottom w:val="single" w:sz="4" w:space="0" w:color="auto"/>
              <w:right w:val="nil"/>
            </w:tcBorders>
            <w:shd w:val="clear" w:color="auto" w:fill="auto"/>
            <w:vAlign w:val="center"/>
            <w:hideMark/>
          </w:tcPr>
          <w:p w14:paraId="173D3EDC"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Número de pessoas</w:t>
            </w:r>
          </w:p>
        </w:tc>
      </w:tr>
      <w:tr w:rsidR="00B44464" w:rsidRPr="0063503B" w14:paraId="767574AC" w14:textId="77777777" w:rsidTr="002553CE">
        <w:trPr>
          <w:trHeight w:val="624"/>
        </w:trPr>
        <w:tc>
          <w:tcPr>
            <w:tcW w:w="367" w:type="pct"/>
            <w:tcBorders>
              <w:top w:val="nil"/>
              <w:left w:val="nil"/>
              <w:bottom w:val="nil"/>
              <w:right w:val="nil"/>
            </w:tcBorders>
            <w:shd w:val="clear" w:color="auto" w:fill="auto"/>
            <w:noWrap/>
            <w:vAlign w:val="center"/>
            <w:hideMark/>
          </w:tcPr>
          <w:p w14:paraId="7BB4336B" w14:textId="77777777" w:rsidR="00B44464" w:rsidRPr="0063503B" w:rsidRDefault="00B44464" w:rsidP="002553CE">
            <w:pPr>
              <w:pStyle w:val="TableParagraph"/>
              <w:rPr>
                <w:rFonts w:ascii="Times New Roman" w:hAnsi="Times New Roman"/>
                <w:sz w:val="24"/>
                <w:szCs w:val="24"/>
              </w:rPr>
            </w:pPr>
            <w:proofErr w:type="spellStart"/>
            <w:r w:rsidRPr="0063503B">
              <w:rPr>
                <w:rFonts w:ascii="Times New Roman" w:hAnsi="Times New Roman"/>
                <w:sz w:val="24"/>
                <w:szCs w:val="24"/>
              </w:rPr>
              <w:t>BDF</w:t>
            </w:r>
            <w:proofErr w:type="spellEnd"/>
          </w:p>
        </w:tc>
        <w:tc>
          <w:tcPr>
            <w:tcW w:w="2618" w:type="pct"/>
            <w:tcBorders>
              <w:top w:val="nil"/>
              <w:left w:val="nil"/>
              <w:bottom w:val="nil"/>
              <w:right w:val="nil"/>
            </w:tcBorders>
            <w:shd w:val="clear" w:color="auto" w:fill="auto"/>
            <w:vAlign w:val="center"/>
            <w:hideMark/>
          </w:tcPr>
          <w:p w14:paraId="4B2594CB"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Atividades nas quais as inovações são amplamente dependentes de produtos dominados pelo fornecedor</w:t>
            </w:r>
          </w:p>
        </w:tc>
        <w:tc>
          <w:tcPr>
            <w:tcW w:w="1291" w:type="pct"/>
            <w:tcBorders>
              <w:top w:val="nil"/>
              <w:left w:val="nil"/>
              <w:bottom w:val="nil"/>
              <w:right w:val="nil"/>
            </w:tcBorders>
            <w:shd w:val="clear" w:color="auto" w:fill="auto"/>
            <w:vAlign w:val="center"/>
            <w:hideMark/>
          </w:tcPr>
          <w:p w14:paraId="7BCA1293"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1 a 3, 13 a 18, 31 a 33 e 41 a 43</w:t>
            </w:r>
          </w:p>
        </w:tc>
        <w:tc>
          <w:tcPr>
            <w:tcW w:w="724" w:type="pct"/>
            <w:tcBorders>
              <w:top w:val="nil"/>
              <w:left w:val="nil"/>
              <w:bottom w:val="nil"/>
              <w:right w:val="nil"/>
            </w:tcBorders>
            <w:shd w:val="clear" w:color="auto" w:fill="auto"/>
            <w:noWrap/>
            <w:vAlign w:val="center"/>
            <w:hideMark/>
          </w:tcPr>
          <w:p w14:paraId="123781A6"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5.752.396</w:t>
            </w:r>
          </w:p>
        </w:tc>
      </w:tr>
      <w:tr w:rsidR="00B44464" w:rsidRPr="0063503B" w14:paraId="723C3571" w14:textId="77777777" w:rsidTr="002553CE">
        <w:trPr>
          <w:trHeight w:val="624"/>
        </w:trPr>
        <w:tc>
          <w:tcPr>
            <w:tcW w:w="367" w:type="pct"/>
            <w:tcBorders>
              <w:top w:val="nil"/>
              <w:left w:val="nil"/>
              <w:bottom w:val="nil"/>
              <w:right w:val="nil"/>
            </w:tcBorders>
            <w:shd w:val="clear" w:color="auto" w:fill="auto"/>
            <w:noWrap/>
            <w:vAlign w:val="center"/>
            <w:hideMark/>
          </w:tcPr>
          <w:p w14:paraId="1309F39B" w14:textId="77777777" w:rsidR="00B44464" w:rsidRPr="0063503B" w:rsidRDefault="00B44464" w:rsidP="002553CE">
            <w:pPr>
              <w:pStyle w:val="TableParagraph"/>
              <w:rPr>
                <w:rFonts w:ascii="Times New Roman" w:hAnsi="Times New Roman"/>
                <w:sz w:val="24"/>
                <w:szCs w:val="24"/>
              </w:rPr>
            </w:pPr>
            <w:proofErr w:type="spellStart"/>
            <w:r w:rsidRPr="0063503B">
              <w:rPr>
                <w:rFonts w:ascii="Times New Roman" w:hAnsi="Times New Roman"/>
                <w:sz w:val="24"/>
                <w:szCs w:val="24"/>
              </w:rPr>
              <w:t>IIE</w:t>
            </w:r>
            <w:proofErr w:type="spellEnd"/>
          </w:p>
        </w:tc>
        <w:tc>
          <w:tcPr>
            <w:tcW w:w="2618" w:type="pct"/>
            <w:tcBorders>
              <w:top w:val="nil"/>
              <w:left w:val="nil"/>
              <w:bottom w:val="nil"/>
              <w:right w:val="nil"/>
            </w:tcBorders>
            <w:shd w:val="clear" w:color="auto" w:fill="auto"/>
            <w:vAlign w:val="center"/>
            <w:hideMark/>
          </w:tcPr>
          <w:p w14:paraId="7FD3445E"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Atividades nas quais as inovações são baseadas, sobretudo, na intensificação da escala</w:t>
            </w:r>
          </w:p>
        </w:tc>
        <w:tc>
          <w:tcPr>
            <w:tcW w:w="1291" w:type="pct"/>
            <w:tcBorders>
              <w:top w:val="nil"/>
              <w:left w:val="nil"/>
              <w:bottom w:val="nil"/>
              <w:right w:val="nil"/>
            </w:tcBorders>
            <w:shd w:val="clear" w:color="auto" w:fill="auto"/>
            <w:vAlign w:val="center"/>
            <w:hideMark/>
          </w:tcPr>
          <w:p w14:paraId="66F2B9CA"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5 a 12, 19, 22 a 25, 29, 30 e 35 a 39</w:t>
            </w:r>
          </w:p>
        </w:tc>
        <w:tc>
          <w:tcPr>
            <w:tcW w:w="724" w:type="pct"/>
            <w:tcBorders>
              <w:top w:val="nil"/>
              <w:left w:val="nil"/>
              <w:bottom w:val="nil"/>
              <w:right w:val="nil"/>
            </w:tcBorders>
            <w:shd w:val="clear" w:color="auto" w:fill="auto"/>
            <w:noWrap/>
            <w:vAlign w:val="center"/>
            <w:hideMark/>
          </w:tcPr>
          <w:p w14:paraId="08CE6D1A"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4.438.189</w:t>
            </w:r>
          </w:p>
        </w:tc>
      </w:tr>
      <w:tr w:rsidR="00B44464" w:rsidRPr="0063503B" w14:paraId="7C3A154B" w14:textId="77777777" w:rsidTr="002553CE">
        <w:trPr>
          <w:trHeight w:val="576"/>
        </w:trPr>
        <w:tc>
          <w:tcPr>
            <w:tcW w:w="367" w:type="pct"/>
            <w:tcBorders>
              <w:top w:val="nil"/>
              <w:left w:val="nil"/>
              <w:bottom w:val="nil"/>
              <w:right w:val="nil"/>
            </w:tcBorders>
            <w:shd w:val="clear" w:color="auto" w:fill="auto"/>
            <w:noWrap/>
            <w:vAlign w:val="center"/>
            <w:hideMark/>
          </w:tcPr>
          <w:p w14:paraId="0ADB1655" w14:textId="77777777" w:rsidR="00B44464" w:rsidRPr="0063503B" w:rsidRDefault="00B44464" w:rsidP="002553CE">
            <w:pPr>
              <w:pStyle w:val="TableParagraph"/>
              <w:rPr>
                <w:rFonts w:ascii="Times New Roman" w:hAnsi="Times New Roman"/>
                <w:sz w:val="24"/>
                <w:szCs w:val="24"/>
              </w:rPr>
            </w:pPr>
            <w:proofErr w:type="spellStart"/>
            <w:r w:rsidRPr="0063503B">
              <w:rPr>
                <w:rFonts w:ascii="Times New Roman" w:hAnsi="Times New Roman"/>
                <w:sz w:val="24"/>
                <w:szCs w:val="24"/>
              </w:rPr>
              <w:t>IPE</w:t>
            </w:r>
            <w:proofErr w:type="spellEnd"/>
          </w:p>
        </w:tc>
        <w:tc>
          <w:tcPr>
            <w:tcW w:w="2618" w:type="pct"/>
            <w:tcBorders>
              <w:top w:val="nil"/>
              <w:left w:val="nil"/>
              <w:bottom w:val="nil"/>
              <w:right w:val="nil"/>
            </w:tcBorders>
            <w:shd w:val="clear" w:color="auto" w:fill="auto"/>
            <w:vAlign w:val="center"/>
            <w:hideMark/>
          </w:tcPr>
          <w:p w14:paraId="11F46C1C"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Atividades que fornecem bens industriais especializados</w:t>
            </w:r>
          </w:p>
        </w:tc>
        <w:tc>
          <w:tcPr>
            <w:tcW w:w="1291" w:type="pct"/>
            <w:tcBorders>
              <w:top w:val="nil"/>
              <w:left w:val="nil"/>
              <w:bottom w:val="nil"/>
              <w:right w:val="nil"/>
            </w:tcBorders>
            <w:shd w:val="clear" w:color="auto" w:fill="auto"/>
            <w:vAlign w:val="center"/>
            <w:hideMark/>
          </w:tcPr>
          <w:p w14:paraId="68E42E9C"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26 e 28</w:t>
            </w:r>
          </w:p>
        </w:tc>
        <w:tc>
          <w:tcPr>
            <w:tcW w:w="724" w:type="pct"/>
            <w:tcBorders>
              <w:top w:val="nil"/>
              <w:left w:val="nil"/>
              <w:bottom w:val="nil"/>
              <w:right w:val="nil"/>
            </w:tcBorders>
            <w:shd w:val="clear" w:color="auto" w:fill="auto"/>
            <w:noWrap/>
            <w:vAlign w:val="center"/>
            <w:hideMark/>
          </w:tcPr>
          <w:p w14:paraId="14DCF89B"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444.854</w:t>
            </w:r>
          </w:p>
        </w:tc>
      </w:tr>
      <w:tr w:rsidR="00B44464" w:rsidRPr="0063503B" w14:paraId="00ED5600" w14:textId="77777777" w:rsidTr="002553CE">
        <w:trPr>
          <w:trHeight w:val="576"/>
        </w:trPr>
        <w:tc>
          <w:tcPr>
            <w:tcW w:w="367" w:type="pct"/>
            <w:tcBorders>
              <w:top w:val="nil"/>
              <w:left w:val="nil"/>
              <w:bottom w:val="nil"/>
              <w:right w:val="nil"/>
            </w:tcBorders>
            <w:shd w:val="clear" w:color="auto" w:fill="auto"/>
            <w:noWrap/>
            <w:vAlign w:val="center"/>
            <w:hideMark/>
          </w:tcPr>
          <w:p w14:paraId="5B4FC6EB"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IBC</w:t>
            </w:r>
          </w:p>
        </w:tc>
        <w:tc>
          <w:tcPr>
            <w:tcW w:w="2618" w:type="pct"/>
            <w:tcBorders>
              <w:top w:val="nil"/>
              <w:left w:val="nil"/>
              <w:bottom w:val="nil"/>
              <w:right w:val="nil"/>
            </w:tcBorders>
            <w:shd w:val="clear" w:color="auto" w:fill="auto"/>
            <w:vAlign w:val="center"/>
            <w:hideMark/>
          </w:tcPr>
          <w:p w14:paraId="1E8F1C23"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Atividades nas quais as inovações são baseadas, sobretudo, na ciência</w:t>
            </w:r>
          </w:p>
        </w:tc>
        <w:tc>
          <w:tcPr>
            <w:tcW w:w="1291" w:type="pct"/>
            <w:tcBorders>
              <w:top w:val="nil"/>
              <w:left w:val="nil"/>
              <w:bottom w:val="nil"/>
              <w:right w:val="nil"/>
            </w:tcBorders>
            <w:shd w:val="clear" w:color="auto" w:fill="auto"/>
            <w:vAlign w:val="center"/>
            <w:hideMark/>
          </w:tcPr>
          <w:p w14:paraId="73371A5E"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20, 21 e 27</w:t>
            </w:r>
          </w:p>
        </w:tc>
        <w:tc>
          <w:tcPr>
            <w:tcW w:w="724" w:type="pct"/>
            <w:tcBorders>
              <w:top w:val="nil"/>
              <w:left w:val="nil"/>
              <w:bottom w:val="nil"/>
              <w:right w:val="nil"/>
            </w:tcBorders>
            <w:shd w:val="clear" w:color="auto" w:fill="auto"/>
            <w:noWrap/>
            <w:vAlign w:val="center"/>
            <w:hideMark/>
          </w:tcPr>
          <w:p w14:paraId="23FB7612"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564.527</w:t>
            </w:r>
          </w:p>
        </w:tc>
      </w:tr>
      <w:tr w:rsidR="00B44464" w:rsidRPr="0063503B" w14:paraId="34C78468" w14:textId="77777777" w:rsidTr="002553CE">
        <w:trPr>
          <w:trHeight w:val="312"/>
        </w:trPr>
        <w:tc>
          <w:tcPr>
            <w:tcW w:w="367" w:type="pct"/>
            <w:tcBorders>
              <w:top w:val="nil"/>
              <w:left w:val="nil"/>
              <w:bottom w:val="nil"/>
              <w:right w:val="nil"/>
            </w:tcBorders>
            <w:shd w:val="clear" w:color="auto" w:fill="auto"/>
            <w:noWrap/>
            <w:vAlign w:val="center"/>
            <w:hideMark/>
          </w:tcPr>
          <w:p w14:paraId="2C090017"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SDF</w:t>
            </w:r>
          </w:p>
        </w:tc>
        <w:tc>
          <w:tcPr>
            <w:tcW w:w="2618" w:type="pct"/>
            <w:tcBorders>
              <w:top w:val="nil"/>
              <w:left w:val="nil"/>
              <w:bottom w:val="nil"/>
              <w:right w:val="nil"/>
            </w:tcBorders>
            <w:shd w:val="clear" w:color="auto" w:fill="auto"/>
            <w:vAlign w:val="center"/>
            <w:hideMark/>
          </w:tcPr>
          <w:p w14:paraId="70552DC6"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Serviços dominados pelo fornecedor</w:t>
            </w:r>
          </w:p>
        </w:tc>
        <w:tc>
          <w:tcPr>
            <w:tcW w:w="1291" w:type="pct"/>
            <w:tcBorders>
              <w:top w:val="nil"/>
              <w:left w:val="nil"/>
              <w:bottom w:val="nil"/>
              <w:right w:val="nil"/>
            </w:tcBorders>
            <w:shd w:val="clear" w:color="auto" w:fill="auto"/>
            <w:vAlign w:val="center"/>
            <w:hideMark/>
          </w:tcPr>
          <w:p w14:paraId="0EC9EBD9"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47, 50 e 53</w:t>
            </w:r>
          </w:p>
        </w:tc>
        <w:tc>
          <w:tcPr>
            <w:tcW w:w="724" w:type="pct"/>
            <w:tcBorders>
              <w:top w:val="nil"/>
              <w:left w:val="nil"/>
              <w:bottom w:val="nil"/>
              <w:right w:val="nil"/>
            </w:tcBorders>
            <w:shd w:val="clear" w:color="auto" w:fill="auto"/>
            <w:noWrap/>
            <w:vAlign w:val="center"/>
            <w:hideMark/>
          </w:tcPr>
          <w:p w14:paraId="736996B5"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6.948.671</w:t>
            </w:r>
          </w:p>
        </w:tc>
      </w:tr>
      <w:tr w:rsidR="00B44464" w:rsidRPr="0063503B" w14:paraId="00B9AC78" w14:textId="77777777" w:rsidTr="002553CE">
        <w:trPr>
          <w:trHeight w:val="576"/>
        </w:trPr>
        <w:tc>
          <w:tcPr>
            <w:tcW w:w="367" w:type="pct"/>
            <w:tcBorders>
              <w:top w:val="nil"/>
              <w:left w:val="nil"/>
              <w:bottom w:val="nil"/>
              <w:right w:val="nil"/>
            </w:tcBorders>
            <w:shd w:val="clear" w:color="auto" w:fill="auto"/>
            <w:noWrap/>
            <w:vAlign w:val="center"/>
            <w:hideMark/>
          </w:tcPr>
          <w:p w14:paraId="652F5DEC"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FSE</w:t>
            </w:r>
          </w:p>
        </w:tc>
        <w:tc>
          <w:tcPr>
            <w:tcW w:w="2618" w:type="pct"/>
            <w:tcBorders>
              <w:top w:val="nil"/>
              <w:left w:val="nil"/>
              <w:bottom w:val="nil"/>
              <w:right w:val="nil"/>
            </w:tcBorders>
            <w:shd w:val="clear" w:color="auto" w:fill="auto"/>
            <w:vAlign w:val="center"/>
            <w:hideMark/>
          </w:tcPr>
          <w:p w14:paraId="65332643"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Atividades nas quais predominam fornecedores de serviços especializados</w:t>
            </w:r>
          </w:p>
        </w:tc>
        <w:tc>
          <w:tcPr>
            <w:tcW w:w="1291" w:type="pct"/>
            <w:tcBorders>
              <w:top w:val="nil"/>
              <w:left w:val="nil"/>
              <w:bottom w:val="nil"/>
              <w:right w:val="nil"/>
            </w:tcBorders>
            <w:shd w:val="clear" w:color="auto" w:fill="auto"/>
            <w:vAlign w:val="center"/>
            <w:hideMark/>
          </w:tcPr>
          <w:p w14:paraId="764FB805"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62, 63 e 69 a 75</w:t>
            </w:r>
          </w:p>
        </w:tc>
        <w:tc>
          <w:tcPr>
            <w:tcW w:w="724" w:type="pct"/>
            <w:tcBorders>
              <w:top w:val="nil"/>
              <w:left w:val="nil"/>
              <w:bottom w:val="nil"/>
              <w:right w:val="nil"/>
            </w:tcBorders>
            <w:shd w:val="clear" w:color="auto" w:fill="auto"/>
            <w:noWrap/>
            <w:vAlign w:val="center"/>
            <w:hideMark/>
          </w:tcPr>
          <w:p w14:paraId="6B53964B"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1.644.349</w:t>
            </w:r>
          </w:p>
        </w:tc>
      </w:tr>
      <w:tr w:rsidR="00B44464" w:rsidRPr="0063503B" w14:paraId="573C1795" w14:textId="77777777" w:rsidTr="002553CE">
        <w:trPr>
          <w:trHeight w:val="624"/>
        </w:trPr>
        <w:tc>
          <w:tcPr>
            <w:tcW w:w="367" w:type="pct"/>
            <w:tcBorders>
              <w:top w:val="nil"/>
              <w:left w:val="nil"/>
              <w:bottom w:val="nil"/>
              <w:right w:val="nil"/>
            </w:tcBorders>
            <w:shd w:val="clear" w:color="auto" w:fill="auto"/>
            <w:noWrap/>
            <w:vAlign w:val="center"/>
            <w:hideMark/>
          </w:tcPr>
          <w:p w14:paraId="6E1A1663" w14:textId="77777777" w:rsidR="00B44464" w:rsidRPr="0063503B" w:rsidRDefault="00B44464" w:rsidP="002553CE">
            <w:pPr>
              <w:pStyle w:val="TableParagraph"/>
              <w:rPr>
                <w:rFonts w:ascii="Times New Roman" w:hAnsi="Times New Roman"/>
                <w:sz w:val="24"/>
                <w:szCs w:val="24"/>
              </w:rPr>
            </w:pPr>
            <w:proofErr w:type="spellStart"/>
            <w:r w:rsidRPr="0063503B">
              <w:rPr>
                <w:rFonts w:ascii="Times New Roman" w:hAnsi="Times New Roman"/>
                <w:sz w:val="24"/>
                <w:szCs w:val="24"/>
              </w:rPr>
              <w:t>SBI</w:t>
            </w:r>
            <w:proofErr w:type="spellEnd"/>
          </w:p>
        </w:tc>
        <w:tc>
          <w:tcPr>
            <w:tcW w:w="2618" w:type="pct"/>
            <w:tcBorders>
              <w:top w:val="nil"/>
              <w:left w:val="nil"/>
              <w:bottom w:val="nil"/>
              <w:right w:val="nil"/>
            </w:tcBorders>
            <w:shd w:val="clear" w:color="auto" w:fill="auto"/>
            <w:vAlign w:val="center"/>
            <w:hideMark/>
          </w:tcPr>
          <w:p w14:paraId="79D9C6E7"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Serviços nos quais se destacam inovações organizacionais</w:t>
            </w:r>
          </w:p>
        </w:tc>
        <w:tc>
          <w:tcPr>
            <w:tcW w:w="1291" w:type="pct"/>
            <w:tcBorders>
              <w:top w:val="nil"/>
              <w:left w:val="nil"/>
              <w:bottom w:val="nil"/>
              <w:right w:val="nil"/>
            </w:tcBorders>
            <w:shd w:val="clear" w:color="auto" w:fill="auto"/>
            <w:vAlign w:val="center"/>
            <w:hideMark/>
          </w:tcPr>
          <w:p w14:paraId="32B089B9"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49, 51, 58 a 61, 64, 65 e 68</w:t>
            </w:r>
          </w:p>
        </w:tc>
        <w:tc>
          <w:tcPr>
            <w:tcW w:w="724" w:type="pct"/>
            <w:tcBorders>
              <w:top w:val="nil"/>
              <w:left w:val="nil"/>
              <w:bottom w:val="nil"/>
              <w:right w:val="nil"/>
            </w:tcBorders>
            <w:shd w:val="clear" w:color="auto" w:fill="auto"/>
            <w:noWrap/>
            <w:vAlign w:val="center"/>
            <w:hideMark/>
          </w:tcPr>
          <w:p w14:paraId="39A05726"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3.264.503</w:t>
            </w:r>
          </w:p>
        </w:tc>
      </w:tr>
      <w:tr w:rsidR="00B44464" w:rsidRPr="0063503B" w14:paraId="1D485F91" w14:textId="77777777" w:rsidTr="002553CE">
        <w:trPr>
          <w:trHeight w:val="624"/>
        </w:trPr>
        <w:tc>
          <w:tcPr>
            <w:tcW w:w="367" w:type="pct"/>
            <w:tcBorders>
              <w:top w:val="nil"/>
              <w:left w:val="nil"/>
              <w:bottom w:val="nil"/>
              <w:right w:val="nil"/>
            </w:tcBorders>
            <w:shd w:val="clear" w:color="auto" w:fill="auto"/>
            <w:noWrap/>
            <w:vAlign w:val="center"/>
            <w:hideMark/>
          </w:tcPr>
          <w:p w14:paraId="3761939C"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CDS</w:t>
            </w:r>
          </w:p>
        </w:tc>
        <w:tc>
          <w:tcPr>
            <w:tcW w:w="2618" w:type="pct"/>
            <w:tcBorders>
              <w:top w:val="nil"/>
              <w:left w:val="nil"/>
              <w:bottom w:val="nil"/>
              <w:right w:val="nil"/>
            </w:tcBorders>
            <w:shd w:val="clear" w:color="auto" w:fill="auto"/>
            <w:vAlign w:val="center"/>
            <w:hideMark/>
          </w:tcPr>
          <w:p w14:paraId="35689167"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Atividades nas quais as inovações são impulsionadas por demandas de clientes</w:t>
            </w:r>
          </w:p>
        </w:tc>
        <w:tc>
          <w:tcPr>
            <w:tcW w:w="1291" w:type="pct"/>
            <w:tcBorders>
              <w:top w:val="nil"/>
              <w:left w:val="nil"/>
              <w:bottom w:val="nil"/>
              <w:right w:val="nil"/>
            </w:tcBorders>
            <w:shd w:val="clear" w:color="auto" w:fill="auto"/>
            <w:vAlign w:val="center"/>
            <w:hideMark/>
          </w:tcPr>
          <w:p w14:paraId="079EEC12"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46, 45, 52, 55, 56, 66, 77 a 82 e 90 a 99</w:t>
            </w:r>
          </w:p>
        </w:tc>
        <w:tc>
          <w:tcPr>
            <w:tcW w:w="724" w:type="pct"/>
            <w:tcBorders>
              <w:top w:val="nil"/>
              <w:left w:val="nil"/>
              <w:bottom w:val="nil"/>
              <w:right w:val="nil"/>
            </w:tcBorders>
            <w:shd w:val="clear" w:color="auto" w:fill="auto"/>
            <w:noWrap/>
            <w:vAlign w:val="center"/>
            <w:hideMark/>
          </w:tcPr>
          <w:p w14:paraId="76D3253C"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11.020.805</w:t>
            </w:r>
          </w:p>
        </w:tc>
      </w:tr>
      <w:tr w:rsidR="00B44464" w:rsidRPr="0063503B" w14:paraId="6145B8A5" w14:textId="77777777" w:rsidTr="002553CE">
        <w:trPr>
          <w:trHeight w:val="324"/>
        </w:trPr>
        <w:tc>
          <w:tcPr>
            <w:tcW w:w="367" w:type="pct"/>
            <w:tcBorders>
              <w:top w:val="nil"/>
              <w:left w:val="nil"/>
              <w:bottom w:val="single" w:sz="4" w:space="0" w:color="auto"/>
              <w:right w:val="nil"/>
            </w:tcBorders>
            <w:shd w:val="clear" w:color="auto" w:fill="auto"/>
            <w:noWrap/>
            <w:vAlign w:val="center"/>
            <w:hideMark/>
          </w:tcPr>
          <w:p w14:paraId="7C86FF62" w14:textId="77777777" w:rsidR="00B44464" w:rsidRPr="0063503B" w:rsidRDefault="00B44464" w:rsidP="002553CE">
            <w:pPr>
              <w:pStyle w:val="TableParagraph"/>
              <w:rPr>
                <w:rFonts w:ascii="Times New Roman" w:hAnsi="Times New Roman"/>
                <w:sz w:val="24"/>
                <w:szCs w:val="24"/>
              </w:rPr>
            </w:pPr>
            <w:proofErr w:type="spellStart"/>
            <w:r w:rsidRPr="0063503B">
              <w:rPr>
                <w:rFonts w:ascii="Times New Roman" w:hAnsi="Times New Roman"/>
                <w:sz w:val="24"/>
                <w:szCs w:val="24"/>
              </w:rPr>
              <w:t>SNM</w:t>
            </w:r>
            <w:proofErr w:type="spellEnd"/>
          </w:p>
        </w:tc>
        <w:tc>
          <w:tcPr>
            <w:tcW w:w="2618" w:type="pct"/>
            <w:tcBorders>
              <w:top w:val="nil"/>
              <w:left w:val="nil"/>
              <w:bottom w:val="single" w:sz="4" w:space="0" w:color="auto"/>
              <w:right w:val="nil"/>
            </w:tcBorders>
            <w:shd w:val="clear" w:color="auto" w:fill="auto"/>
            <w:vAlign w:val="center"/>
            <w:hideMark/>
          </w:tcPr>
          <w:p w14:paraId="62005E44"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 xml:space="preserve">Serviços de organização tipicamente não </w:t>
            </w:r>
            <w:r w:rsidRPr="0063503B">
              <w:rPr>
                <w:rFonts w:ascii="Times New Roman" w:hAnsi="Times New Roman"/>
                <w:sz w:val="24"/>
                <w:szCs w:val="24"/>
              </w:rPr>
              <w:lastRenderedPageBreak/>
              <w:t>mercantil</w:t>
            </w:r>
          </w:p>
        </w:tc>
        <w:tc>
          <w:tcPr>
            <w:tcW w:w="1291" w:type="pct"/>
            <w:tcBorders>
              <w:top w:val="nil"/>
              <w:left w:val="nil"/>
              <w:bottom w:val="single" w:sz="4" w:space="0" w:color="auto"/>
              <w:right w:val="nil"/>
            </w:tcBorders>
            <w:shd w:val="clear" w:color="auto" w:fill="auto"/>
            <w:vAlign w:val="center"/>
            <w:hideMark/>
          </w:tcPr>
          <w:p w14:paraId="432D46B9"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lastRenderedPageBreak/>
              <w:t>84 a 88</w:t>
            </w:r>
          </w:p>
        </w:tc>
        <w:tc>
          <w:tcPr>
            <w:tcW w:w="724" w:type="pct"/>
            <w:tcBorders>
              <w:top w:val="nil"/>
              <w:left w:val="nil"/>
              <w:bottom w:val="single" w:sz="4" w:space="0" w:color="auto"/>
              <w:right w:val="nil"/>
            </w:tcBorders>
            <w:shd w:val="clear" w:color="auto" w:fill="auto"/>
            <w:noWrap/>
            <w:vAlign w:val="center"/>
            <w:hideMark/>
          </w:tcPr>
          <w:p w14:paraId="3AFEEFE3"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13.442.009</w:t>
            </w:r>
          </w:p>
        </w:tc>
      </w:tr>
      <w:tr w:rsidR="00B44464" w:rsidRPr="0063503B" w14:paraId="213FFF0D" w14:textId="77777777" w:rsidTr="002553CE">
        <w:trPr>
          <w:trHeight w:val="312"/>
        </w:trPr>
        <w:tc>
          <w:tcPr>
            <w:tcW w:w="367" w:type="pct"/>
            <w:tcBorders>
              <w:top w:val="single" w:sz="4" w:space="0" w:color="auto"/>
              <w:left w:val="nil"/>
              <w:bottom w:val="single" w:sz="4" w:space="0" w:color="auto"/>
              <w:right w:val="nil"/>
            </w:tcBorders>
            <w:shd w:val="clear" w:color="auto" w:fill="auto"/>
            <w:noWrap/>
            <w:vAlign w:val="bottom"/>
            <w:hideMark/>
          </w:tcPr>
          <w:p w14:paraId="4AC98255" w14:textId="77777777" w:rsidR="00B44464" w:rsidRPr="0063503B" w:rsidRDefault="00B44464" w:rsidP="002553CE">
            <w:pPr>
              <w:pStyle w:val="TableParagraph"/>
              <w:rPr>
                <w:rFonts w:ascii="Times New Roman" w:hAnsi="Times New Roman"/>
                <w:sz w:val="24"/>
                <w:szCs w:val="24"/>
              </w:rPr>
            </w:pPr>
          </w:p>
        </w:tc>
        <w:tc>
          <w:tcPr>
            <w:tcW w:w="2618" w:type="pct"/>
            <w:tcBorders>
              <w:top w:val="single" w:sz="4" w:space="0" w:color="auto"/>
              <w:left w:val="nil"/>
              <w:bottom w:val="single" w:sz="4" w:space="0" w:color="auto"/>
              <w:right w:val="nil"/>
            </w:tcBorders>
            <w:shd w:val="clear" w:color="auto" w:fill="auto"/>
            <w:noWrap/>
            <w:vAlign w:val="bottom"/>
            <w:hideMark/>
          </w:tcPr>
          <w:p w14:paraId="2F99E267" w14:textId="77777777" w:rsidR="00B44464" w:rsidRPr="0063503B" w:rsidRDefault="00B44464" w:rsidP="002553CE">
            <w:pPr>
              <w:pStyle w:val="TableParagraph"/>
              <w:rPr>
                <w:rFonts w:ascii="Times New Roman" w:hAnsi="Times New Roman"/>
                <w:sz w:val="24"/>
                <w:szCs w:val="24"/>
              </w:rPr>
            </w:pPr>
          </w:p>
        </w:tc>
        <w:tc>
          <w:tcPr>
            <w:tcW w:w="1291" w:type="pct"/>
            <w:tcBorders>
              <w:top w:val="single" w:sz="4" w:space="0" w:color="auto"/>
              <w:left w:val="nil"/>
              <w:bottom w:val="single" w:sz="4" w:space="0" w:color="auto"/>
              <w:right w:val="nil"/>
            </w:tcBorders>
            <w:shd w:val="clear" w:color="auto" w:fill="auto"/>
            <w:vAlign w:val="center"/>
            <w:hideMark/>
          </w:tcPr>
          <w:p w14:paraId="3D8F55FF"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Total</w:t>
            </w:r>
          </w:p>
        </w:tc>
        <w:tc>
          <w:tcPr>
            <w:tcW w:w="724" w:type="pct"/>
            <w:tcBorders>
              <w:top w:val="single" w:sz="4" w:space="0" w:color="auto"/>
              <w:left w:val="nil"/>
              <w:bottom w:val="single" w:sz="4" w:space="0" w:color="auto"/>
              <w:right w:val="nil"/>
            </w:tcBorders>
            <w:shd w:val="clear" w:color="auto" w:fill="auto"/>
            <w:noWrap/>
            <w:vAlign w:val="center"/>
            <w:hideMark/>
          </w:tcPr>
          <w:p w14:paraId="3EE2E38A" w14:textId="77777777" w:rsidR="00B44464" w:rsidRPr="0063503B" w:rsidRDefault="00B44464" w:rsidP="002553CE">
            <w:pPr>
              <w:pStyle w:val="TableParagraph"/>
              <w:rPr>
                <w:rFonts w:ascii="Times New Roman" w:hAnsi="Times New Roman"/>
                <w:sz w:val="24"/>
                <w:szCs w:val="24"/>
              </w:rPr>
            </w:pPr>
            <w:r w:rsidRPr="0063503B">
              <w:rPr>
                <w:rFonts w:ascii="Times New Roman" w:hAnsi="Times New Roman"/>
                <w:sz w:val="24"/>
                <w:szCs w:val="24"/>
              </w:rPr>
              <w:t>47.520.303</w:t>
            </w:r>
          </w:p>
        </w:tc>
      </w:tr>
    </w:tbl>
    <w:p w14:paraId="2F284800" w14:textId="77777777" w:rsidR="00B44464" w:rsidRPr="0063503B" w:rsidRDefault="00B44464" w:rsidP="00B44464">
      <w:pPr>
        <w:pStyle w:val="Fonte"/>
        <w:spacing w:after="0" w:line="360" w:lineRule="auto"/>
        <w:rPr>
          <w:rFonts w:ascii="Times New Roman" w:hAnsi="Times New Roman" w:cs="Times New Roman"/>
          <w:sz w:val="24"/>
          <w:szCs w:val="24"/>
        </w:rPr>
      </w:pPr>
      <w:r w:rsidRPr="0063503B">
        <w:rPr>
          <w:rFonts w:ascii="Times New Roman" w:hAnsi="Times New Roman" w:cs="Times New Roman"/>
          <w:sz w:val="24"/>
          <w:szCs w:val="24"/>
        </w:rPr>
        <w:t xml:space="preserve">Fonte: Elaboração do autor com base em Robinson </w:t>
      </w:r>
      <w:r w:rsidRPr="0063503B">
        <w:rPr>
          <w:rFonts w:ascii="Times New Roman" w:hAnsi="Times New Roman" w:cs="Times New Roman"/>
          <w:i/>
          <w:sz w:val="24"/>
          <w:szCs w:val="24"/>
        </w:rPr>
        <w:t>et al.</w:t>
      </w:r>
      <w:r w:rsidRPr="0063503B">
        <w:rPr>
          <w:rFonts w:ascii="Times New Roman" w:hAnsi="Times New Roman" w:cs="Times New Roman"/>
          <w:sz w:val="24"/>
          <w:szCs w:val="24"/>
        </w:rPr>
        <w:t xml:space="preserve"> (2003) e Brasil (2021).</w:t>
      </w:r>
    </w:p>
    <w:p w14:paraId="0567D0CF" w14:textId="77777777" w:rsidR="00E234F7" w:rsidRPr="00B942F0" w:rsidRDefault="00E234F7" w:rsidP="00E234F7">
      <w:pPr>
        <w:spacing w:after="0" w:line="360" w:lineRule="auto"/>
        <w:ind w:firstLine="709"/>
        <w:jc w:val="both"/>
        <w:rPr>
          <w:rFonts w:ascii="Times New Roman" w:hAnsi="Times New Roman" w:cs="Times New Roman"/>
          <w:sz w:val="24"/>
          <w:szCs w:val="24"/>
          <w:lang w:bidi="he-IL"/>
        </w:rPr>
      </w:pPr>
      <w:r w:rsidRPr="00B942F0">
        <w:rPr>
          <w:rFonts w:ascii="Times New Roman" w:hAnsi="Times New Roman" w:cs="Times New Roman"/>
          <w:sz w:val="24"/>
          <w:szCs w:val="24"/>
        </w:rPr>
        <w:t xml:space="preserve">Adotou-se a variável “número de pessoas ocupadas” como </w:t>
      </w:r>
      <w:r w:rsidRPr="00B942F0">
        <w:rPr>
          <w:rFonts w:ascii="Times New Roman" w:hAnsi="Times New Roman" w:cs="Times New Roman"/>
          <w:i/>
          <w:iCs/>
          <w:sz w:val="24"/>
          <w:szCs w:val="24"/>
        </w:rPr>
        <w:t>proxy</w:t>
      </w:r>
      <w:r w:rsidRPr="00B942F0">
        <w:rPr>
          <w:rFonts w:ascii="Times New Roman" w:hAnsi="Times New Roman" w:cs="Times New Roman"/>
          <w:sz w:val="24"/>
          <w:szCs w:val="24"/>
        </w:rPr>
        <w:t xml:space="preserve"> para se inferir a dimensão das combinações espaciais entre essas atividades. As informações originam-se dos </w:t>
      </w:r>
      <w:proofErr w:type="spellStart"/>
      <w:r w:rsidRPr="00B942F0">
        <w:rPr>
          <w:rFonts w:ascii="Times New Roman" w:hAnsi="Times New Roman" w:cs="Times New Roman"/>
          <w:sz w:val="24"/>
          <w:szCs w:val="24"/>
        </w:rPr>
        <w:t>microdados</w:t>
      </w:r>
      <w:proofErr w:type="spellEnd"/>
      <w:r w:rsidRPr="00B942F0">
        <w:rPr>
          <w:rFonts w:ascii="Times New Roman" w:hAnsi="Times New Roman" w:cs="Times New Roman"/>
          <w:sz w:val="24"/>
          <w:szCs w:val="24"/>
        </w:rPr>
        <w:t xml:space="preserve"> da Relação Anual de Informações Sociais (RAIS), relativas ao ano de </w:t>
      </w:r>
      <w:r w:rsidRPr="003371B2">
        <w:rPr>
          <w:rFonts w:ascii="Times New Roman" w:hAnsi="Times New Roman" w:cs="Times New Roman"/>
          <w:sz w:val="24"/>
          <w:szCs w:val="24"/>
        </w:rPr>
        <w:t>2019</w:t>
      </w:r>
      <w:r>
        <w:rPr>
          <w:rFonts w:ascii="Times New Roman" w:hAnsi="Times New Roman" w:cs="Times New Roman"/>
          <w:sz w:val="24"/>
          <w:szCs w:val="24"/>
        </w:rPr>
        <w:t>.</w:t>
      </w:r>
      <w:r w:rsidRPr="003371B2">
        <w:rPr>
          <w:rFonts w:ascii="Times New Roman" w:hAnsi="Times New Roman" w:cs="Times New Roman"/>
          <w:sz w:val="24"/>
          <w:szCs w:val="24"/>
          <w:highlight w:val="yellow"/>
        </w:rPr>
        <w:t xml:space="preserve"> </w:t>
      </w:r>
    </w:p>
    <w:p w14:paraId="375EFD45" w14:textId="420998B8" w:rsidR="00B44464" w:rsidRDefault="00B44464" w:rsidP="00F64B24">
      <w:pPr>
        <w:spacing w:after="0" w:line="360" w:lineRule="auto"/>
        <w:ind w:firstLine="709"/>
        <w:jc w:val="both"/>
        <w:rPr>
          <w:rFonts w:ascii="Times New Roman" w:hAnsi="Times New Roman" w:cs="Times New Roman"/>
          <w:sz w:val="24"/>
          <w:szCs w:val="24"/>
        </w:rPr>
      </w:pPr>
      <w:r w:rsidRPr="00B942F0">
        <w:rPr>
          <w:rFonts w:ascii="Times New Roman" w:hAnsi="Times New Roman" w:cs="Times New Roman"/>
          <w:sz w:val="24"/>
          <w:szCs w:val="24"/>
        </w:rPr>
        <w:t xml:space="preserve">Organizada a matriz contendo os valores dos nove </w:t>
      </w:r>
      <w:r w:rsidR="00055162" w:rsidRPr="00055162">
        <w:rPr>
          <w:rFonts w:ascii="Times New Roman" w:hAnsi="Times New Roman" w:cs="Times New Roman"/>
          <w:sz w:val="24"/>
          <w:szCs w:val="24"/>
        </w:rPr>
        <w:t>coeficientes</w:t>
      </w:r>
      <w:r w:rsidR="00055162">
        <w:rPr>
          <w:rFonts w:ascii="Times New Roman" w:hAnsi="Times New Roman" w:cs="Times New Roman"/>
          <w:i/>
          <w:sz w:val="24"/>
          <w:szCs w:val="24"/>
        </w:rPr>
        <w:t xml:space="preserve"> </w:t>
      </w:r>
      <w:r w:rsidR="00055162" w:rsidRPr="00055162">
        <w:rPr>
          <w:rFonts w:ascii="Times New Roman" w:hAnsi="Times New Roman" w:cs="Times New Roman"/>
          <w:iCs/>
          <w:sz w:val="24"/>
          <w:szCs w:val="24"/>
        </w:rPr>
        <w:t>locacionais</w:t>
      </w:r>
      <w:r w:rsidR="00055162">
        <w:rPr>
          <w:rFonts w:ascii="Times New Roman" w:hAnsi="Times New Roman" w:cs="Times New Roman"/>
          <w:i/>
          <w:sz w:val="24"/>
          <w:szCs w:val="24"/>
        </w:rPr>
        <w:t xml:space="preserve"> </w:t>
      </w:r>
      <w:r w:rsidRPr="00B942F0">
        <w:rPr>
          <w:rFonts w:ascii="Times New Roman" w:hAnsi="Times New Roman" w:cs="Times New Roman"/>
          <w:sz w:val="24"/>
          <w:szCs w:val="24"/>
        </w:rPr>
        <w:t xml:space="preserve">para cada um dos 5.568 municípios brasileiros, </w:t>
      </w:r>
      <w:r w:rsidRPr="00B942F0">
        <w:rPr>
          <w:rFonts w:ascii="Times New Roman" w:hAnsi="Times New Roman" w:cs="Times New Roman"/>
          <w:sz w:val="24"/>
          <w:szCs w:val="24"/>
          <w:lang w:bidi="he-IL"/>
        </w:rPr>
        <w:t>ela foi</w:t>
      </w:r>
      <w:r w:rsidRPr="00B942F0">
        <w:rPr>
          <w:rFonts w:ascii="Times New Roman" w:hAnsi="Times New Roman" w:cs="Times New Roman"/>
          <w:sz w:val="24"/>
          <w:szCs w:val="24"/>
        </w:rPr>
        <w:t xml:space="preserve"> submetida a técnicas de análise estatística capazes de captar o relacionamento espacial entre os indicadores de especialização municipal</w:t>
      </w:r>
      <w:r w:rsidR="00055162">
        <w:rPr>
          <w:rFonts w:ascii="Times New Roman" w:hAnsi="Times New Roman" w:cs="Times New Roman"/>
          <w:sz w:val="24"/>
          <w:szCs w:val="24"/>
        </w:rPr>
        <w:t xml:space="preserve">, cuja </w:t>
      </w:r>
      <w:r w:rsidR="00552D8D">
        <w:rPr>
          <w:rFonts w:ascii="Times New Roman" w:hAnsi="Times New Roman" w:cs="Times New Roman"/>
          <w:sz w:val="24"/>
          <w:szCs w:val="24"/>
        </w:rPr>
        <w:t xml:space="preserve">técnica de agrupamento encontra-se </w:t>
      </w:r>
      <w:r w:rsidR="00E164B5">
        <w:rPr>
          <w:rFonts w:ascii="Times New Roman" w:hAnsi="Times New Roman" w:cs="Times New Roman"/>
          <w:sz w:val="24"/>
          <w:szCs w:val="24"/>
        </w:rPr>
        <w:t>detalhadamente descrita em Monteiro (2022a).</w:t>
      </w:r>
      <w:r w:rsidR="00961A7E">
        <w:rPr>
          <w:rFonts w:ascii="Times New Roman" w:hAnsi="Times New Roman" w:cs="Times New Roman"/>
          <w:sz w:val="24"/>
          <w:szCs w:val="24"/>
        </w:rPr>
        <w:t xml:space="preserve"> </w:t>
      </w:r>
      <w:r w:rsidR="00C1083C">
        <w:rPr>
          <w:rFonts w:ascii="Times New Roman" w:hAnsi="Times New Roman" w:cs="Times New Roman"/>
          <w:spacing w:val="-4"/>
          <w:sz w:val="24"/>
          <w:szCs w:val="24"/>
        </w:rPr>
        <w:t xml:space="preserve">Permitindo assim que </w:t>
      </w:r>
      <w:r w:rsidR="00E0508F" w:rsidRPr="00F64B24">
        <w:rPr>
          <w:rFonts w:ascii="Times New Roman" w:hAnsi="Times New Roman" w:cs="Times New Roman"/>
          <w:spacing w:val="-4"/>
          <w:sz w:val="24"/>
          <w:szCs w:val="24"/>
        </w:rPr>
        <w:t>o espaço nacional p</w:t>
      </w:r>
      <w:r w:rsidR="00C1083C">
        <w:rPr>
          <w:rFonts w:ascii="Times New Roman" w:hAnsi="Times New Roman" w:cs="Times New Roman"/>
          <w:spacing w:val="-4"/>
          <w:sz w:val="24"/>
          <w:szCs w:val="24"/>
        </w:rPr>
        <w:t>o</w:t>
      </w:r>
      <w:r w:rsidR="00E0508F" w:rsidRPr="00F64B24">
        <w:rPr>
          <w:rFonts w:ascii="Times New Roman" w:hAnsi="Times New Roman" w:cs="Times New Roman"/>
          <w:spacing w:val="-4"/>
          <w:sz w:val="24"/>
          <w:szCs w:val="24"/>
        </w:rPr>
        <w:t xml:space="preserve">ssa ser apresentado em agrupamentos disjuntos e complementares que contam com o maior grau de homogeneidade interna possível </w:t>
      </w:r>
      <w:r w:rsidR="00580437">
        <w:rPr>
          <w:rFonts w:ascii="Times New Roman" w:hAnsi="Times New Roman" w:cs="Times New Roman"/>
          <w:spacing w:val="-4"/>
          <w:sz w:val="24"/>
          <w:szCs w:val="24"/>
        </w:rPr>
        <w:t xml:space="preserve">revelando </w:t>
      </w:r>
      <w:r w:rsidR="00580437" w:rsidRPr="00FE2500">
        <w:rPr>
          <w:rFonts w:ascii="Times New Roman" w:hAnsi="Times New Roman" w:cs="Times New Roman"/>
          <w:spacing w:val="-4"/>
          <w:sz w:val="24"/>
          <w:szCs w:val="24"/>
        </w:rPr>
        <w:t>os</w:t>
      </w:r>
      <w:r w:rsidR="00FE2500" w:rsidRPr="00FE2500">
        <w:rPr>
          <w:rFonts w:ascii="Times New Roman" w:hAnsi="Times New Roman" w:cs="Times New Roman"/>
          <w:spacing w:val="-4"/>
          <w:sz w:val="24"/>
          <w:szCs w:val="24"/>
        </w:rPr>
        <w:t xml:space="preserve"> padrões </w:t>
      </w:r>
      <w:r w:rsidR="00DF4B58">
        <w:rPr>
          <w:rFonts w:ascii="Times New Roman" w:hAnsi="Times New Roman" w:cs="Times New Roman"/>
          <w:spacing w:val="-4"/>
          <w:sz w:val="24"/>
          <w:szCs w:val="24"/>
        </w:rPr>
        <w:t>espaciais</w:t>
      </w:r>
      <w:r w:rsidR="00DF4B58" w:rsidRPr="00FE2500">
        <w:rPr>
          <w:rFonts w:ascii="Times New Roman" w:hAnsi="Times New Roman" w:cs="Times New Roman"/>
          <w:spacing w:val="-4"/>
          <w:sz w:val="24"/>
          <w:szCs w:val="24"/>
        </w:rPr>
        <w:t xml:space="preserve"> </w:t>
      </w:r>
      <w:r w:rsidR="00FE2500" w:rsidRPr="00FE2500">
        <w:rPr>
          <w:rFonts w:ascii="Times New Roman" w:hAnsi="Times New Roman" w:cs="Times New Roman"/>
          <w:spacing w:val="-4"/>
          <w:sz w:val="24"/>
          <w:szCs w:val="24"/>
        </w:rPr>
        <w:t>captam manifestações aparentes de diferentes arquétipos de articulações espaciais entre agentes, capacidades e fontes de inovação; explicitam potenciais de inovação endógenos, e a existência de grandes diferenças entre eles (Tabela 2)</w:t>
      </w:r>
      <w:r w:rsidR="00331413">
        <w:rPr>
          <w:rFonts w:ascii="Times New Roman" w:hAnsi="Times New Roman" w:cs="Times New Roman"/>
          <w:spacing w:val="-4"/>
          <w:sz w:val="24"/>
          <w:szCs w:val="24"/>
        </w:rPr>
        <w:t>.</w:t>
      </w:r>
    </w:p>
    <w:p w14:paraId="1B036578" w14:textId="77777777" w:rsidR="00780B62" w:rsidRDefault="00780B62" w:rsidP="00961A7E">
      <w:pPr>
        <w:spacing w:after="0" w:line="360" w:lineRule="auto"/>
        <w:jc w:val="both"/>
        <w:rPr>
          <w:rFonts w:ascii="Times New Roman" w:hAnsi="Times New Roman" w:cs="Times New Roman"/>
          <w:b/>
          <w:bCs/>
          <w:sz w:val="24"/>
          <w:szCs w:val="24"/>
        </w:rPr>
      </w:pPr>
    </w:p>
    <w:p w14:paraId="7711727A" w14:textId="37E9AFA0" w:rsidR="00C66543" w:rsidRDefault="00C93029" w:rsidP="00961A7E">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0EEB009F" w14:textId="07402660" w:rsidR="007E705E"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Ao se sobrepor os limites da região de Carajás aos recortes dos padrões espaciais revelados, é possível, a partir das interseções, associar àquela as características desses padrões. Evidencia-se, por conseguinte, que a região comporta dois padrões, o 15 e o 19 (Figura </w:t>
      </w:r>
      <w:r w:rsidR="00124034">
        <w:rPr>
          <w:rFonts w:ascii="Times New Roman" w:hAnsi="Times New Roman" w:cs="Times New Roman"/>
          <w:sz w:val="24"/>
          <w:szCs w:val="24"/>
        </w:rPr>
        <w:t>1</w:t>
      </w:r>
      <w:r w:rsidRPr="000139D9">
        <w:rPr>
          <w:rFonts w:ascii="Times New Roman" w:hAnsi="Times New Roman" w:cs="Times New Roman"/>
          <w:sz w:val="24"/>
          <w:szCs w:val="24"/>
        </w:rPr>
        <w:t>). As combinações expressas por esses padrões ao serem comparadas às de outros evidenciam dissimilaridade de variados graus em relação às demais combinações (Tabela 2).</w:t>
      </w:r>
    </w:p>
    <w:p w14:paraId="6E5DF020" w14:textId="77777777" w:rsidR="00331413" w:rsidRDefault="00331413" w:rsidP="00331413">
      <w:pPr>
        <w:spacing w:after="0" w:line="360" w:lineRule="auto"/>
        <w:ind w:firstLine="709"/>
        <w:jc w:val="both"/>
        <w:rPr>
          <w:rFonts w:ascii="Times New Roman" w:hAnsi="Times New Roman" w:cs="Times New Roman"/>
          <w:sz w:val="24"/>
          <w:szCs w:val="24"/>
        </w:rPr>
      </w:pPr>
      <w:r w:rsidRPr="007E705E">
        <w:rPr>
          <w:rFonts w:ascii="Times New Roman" w:hAnsi="Times New Roman" w:cs="Times New Roman"/>
          <w:sz w:val="24"/>
          <w:szCs w:val="24"/>
        </w:rPr>
        <w:t xml:space="preserve">Uma primeira aproximação em relação à extensão das diferenças entre os padrões espaciais presentes na região de Carajás é possível quando se comparam os atributos desses padrões com o padrão espacial 1, que representa uma das melhores combinações no Brasil e abarca 96 municípios, quase todos pertencentes às regiões intermediárias de São Paulo, Campinas, Pouso Alegre e São José dos Campos </w:t>
      </w:r>
      <w:bookmarkStart w:id="13" w:name="_Hlk80430393"/>
      <w:r w:rsidRPr="007E705E">
        <w:rPr>
          <w:rFonts w:ascii="Times New Roman" w:hAnsi="Times New Roman" w:cs="Times New Roman"/>
          <w:sz w:val="24"/>
          <w:szCs w:val="24"/>
        </w:rPr>
        <w:t>(</w:t>
      </w:r>
      <w:bookmarkStart w:id="14" w:name="_Hlk80283216"/>
      <w:r w:rsidRPr="007E705E">
        <w:rPr>
          <w:rFonts w:ascii="Times New Roman" w:hAnsi="Times New Roman" w:cs="Times New Roman"/>
          <w:sz w:val="24"/>
          <w:szCs w:val="24"/>
        </w:rPr>
        <w:t>IBGE, 2017</w:t>
      </w:r>
      <w:bookmarkEnd w:id="14"/>
      <w:r w:rsidRPr="007E705E">
        <w:rPr>
          <w:rFonts w:ascii="Times New Roman" w:hAnsi="Times New Roman" w:cs="Times New Roman"/>
          <w:sz w:val="24"/>
          <w:szCs w:val="24"/>
        </w:rPr>
        <w:t>)</w:t>
      </w:r>
      <w:bookmarkEnd w:id="13"/>
      <w:r w:rsidRPr="007E705E">
        <w:rPr>
          <w:rFonts w:ascii="Times New Roman" w:hAnsi="Times New Roman" w:cs="Times New Roman"/>
          <w:sz w:val="24"/>
          <w:szCs w:val="24"/>
        </w:rPr>
        <w:t xml:space="preserve"> (Figura </w:t>
      </w:r>
      <w:r>
        <w:rPr>
          <w:rFonts w:ascii="Times New Roman" w:hAnsi="Times New Roman" w:cs="Times New Roman"/>
          <w:sz w:val="24"/>
          <w:szCs w:val="24"/>
        </w:rPr>
        <w:t>1</w:t>
      </w:r>
      <w:r w:rsidRPr="007E705E">
        <w:rPr>
          <w:rFonts w:ascii="Times New Roman" w:hAnsi="Times New Roman" w:cs="Times New Roman"/>
          <w:sz w:val="24"/>
          <w:szCs w:val="24"/>
        </w:rPr>
        <w:t>).</w:t>
      </w:r>
    </w:p>
    <w:p w14:paraId="68838F54" w14:textId="60BDE112" w:rsidR="007E705E" w:rsidRPr="0063503B" w:rsidRDefault="007E705E" w:rsidP="007E705E">
      <w:pPr>
        <w:pStyle w:val="LegendaTab"/>
        <w:spacing w:before="0"/>
        <w:rPr>
          <w:rFonts w:ascii="Times New Roman" w:hAnsi="Times New Roman"/>
        </w:rPr>
      </w:pPr>
      <w:r w:rsidRPr="0063503B">
        <w:rPr>
          <w:rFonts w:ascii="Times New Roman" w:hAnsi="Times New Roman"/>
          <w:bCs/>
        </w:rPr>
        <w:lastRenderedPageBreak/>
        <w:t xml:space="preserve">Figura </w:t>
      </w:r>
      <w:r w:rsidR="00124034">
        <w:rPr>
          <w:rFonts w:ascii="Times New Roman" w:hAnsi="Times New Roman"/>
          <w:bCs/>
        </w:rPr>
        <w:t>1</w:t>
      </w:r>
      <w:r w:rsidRPr="0063503B">
        <w:rPr>
          <w:rFonts w:ascii="Times New Roman" w:hAnsi="Times New Roman"/>
          <w:bCs/>
        </w:rPr>
        <w:t xml:space="preserve"> – </w:t>
      </w:r>
      <w:r w:rsidRPr="0063503B">
        <w:rPr>
          <w:rFonts w:ascii="Times New Roman" w:hAnsi="Times New Roman"/>
        </w:rPr>
        <w:t>Mapa com padrões espaciais relativos à capacidade e à variedade de fontes de inovação no Brasil com destaque para a região de Carajás (2019).</w:t>
      </w:r>
    </w:p>
    <w:p w14:paraId="1A1E72DE" w14:textId="77777777" w:rsidR="007E705E" w:rsidRPr="0063503B" w:rsidRDefault="007E705E" w:rsidP="007E705E">
      <w:pPr>
        <w:pStyle w:val="LegendaTab"/>
        <w:spacing w:before="0"/>
        <w:jc w:val="center"/>
        <w:rPr>
          <w:rFonts w:ascii="Times New Roman" w:hAnsi="Times New Roman"/>
          <w:bCs/>
        </w:rPr>
      </w:pPr>
      <w:r w:rsidRPr="0063503B">
        <w:rPr>
          <w:rFonts w:ascii="Times New Roman" w:hAnsi="Times New Roman"/>
          <w:noProof/>
        </w:rPr>
        <w:drawing>
          <wp:inline distT="0" distB="0" distL="0" distR="0" wp14:anchorId="35071884" wp14:editId="5DE7E3B7">
            <wp:extent cx="5888567" cy="4462530"/>
            <wp:effectExtent l="0" t="0" r="0" b="0"/>
            <wp:docPr id="15" name="Imagem 15" descr="Map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Mapa&#10;&#10;Descrição gerada automaticamente"/>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5916321" cy="4483563"/>
                    </a:xfrm>
                    <a:prstGeom prst="rect">
                      <a:avLst/>
                    </a:prstGeom>
                    <a:ln>
                      <a:noFill/>
                    </a:ln>
                    <a:extLst>
                      <a:ext uri="{53640926-AAD7-44D8-BBD7-CCE9431645EC}">
                        <a14:shadowObscured xmlns:a14="http://schemas.microsoft.com/office/drawing/2010/main"/>
                      </a:ext>
                    </a:extLst>
                  </pic:spPr>
                </pic:pic>
              </a:graphicData>
            </a:graphic>
          </wp:inline>
        </w:drawing>
      </w:r>
    </w:p>
    <w:p w14:paraId="1D2970F6" w14:textId="77777777" w:rsidR="007E705E" w:rsidRDefault="007E705E" w:rsidP="000139D9">
      <w:pPr>
        <w:pStyle w:val="Fonte"/>
        <w:spacing w:after="0" w:line="360" w:lineRule="auto"/>
        <w:rPr>
          <w:rFonts w:ascii="Times New Roman" w:hAnsi="Times New Roman" w:cs="Times New Roman"/>
          <w:sz w:val="24"/>
          <w:szCs w:val="24"/>
        </w:rPr>
      </w:pPr>
      <w:r w:rsidRPr="0063503B">
        <w:rPr>
          <w:rFonts w:ascii="Times New Roman" w:hAnsi="Times New Roman" w:cs="Times New Roman"/>
          <w:sz w:val="24"/>
          <w:szCs w:val="24"/>
        </w:rPr>
        <w:t xml:space="preserve">Fonte: </w:t>
      </w:r>
      <w:bookmarkStart w:id="15" w:name="_Hlk97104339"/>
      <w:r w:rsidRPr="0063503B">
        <w:rPr>
          <w:rFonts w:ascii="Times New Roman" w:hAnsi="Times New Roman" w:cs="Times New Roman"/>
          <w:sz w:val="24"/>
          <w:szCs w:val="24"/>
        </w:rPr>
        <w:t>Processamentos especiais do autor com base em Brasil (2021)</w:t>
      </w:r>
      <w:bookmarkEnd w:id="15"/>
      <w:r w:rsidRPr="0063503B">
        <w:rPr>
          <w:rFonts w:ascii="Times New Roman" w:hAnsi="Times New Roman" w:cs="Times New Roman"/>
          <w:sz w:val="24"/>
          <w:szCs w:val="24"/>
        </w:rPr>
        <w:t xml:space="preserve"> e Monteiro e Silva (2021).</w:t>
      </w:r>
    </w:p>
    <w:p w14:paraId="4E5FB7FB" w14:textId="77777777" w:rsidR="00730965" w:rsidRPr="000139D9" w:rsidRDefault="00730965" w:rsidP="00730965">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O cotejamento do padrão espacial 19 com o 1 evidencia que o valor médio conferido a 8 atributos, entre os 9 adotados, apresenta comportamento diametralmente oposto. </w:t>
      </w:r>
      <w:bookmarkStart w:id="16" w:name="_Hlk80351663"/>
      <w:r w:rsidRPr="000139D9">
        <w:rPr>
          <w:rFonts w:ascii="Times New Roman" w:hAnsi="Times New Roman" w:cs="Times New Roman"/>
          <w:sz w:val="24"/>
          <w:szCs w:val="24"/>
        </w:rPr>
        <w:t xml:space="preserve">O valor médio do atributo referente às CDS do primeiro é de -0,44, </w:t>
      </w:r>
      <w:bookmarkEnd w:id="16"/>
      <w:r w:rsidRPr="000139D9">
        <w:rPr>
          <w:rFonts w:ascii="Times New Roman" w:hAnsi="Times New Roman" w:cs="Times New Roman"/>
          <w:sz w:val="24"/>
          <w:szCs w:val="24"/>
        </w:rPr>
        <w:t xml:space="preserve">enquanto, no padrão espacial 1, o valor médio desse atributo é 1,46. Esse resultado expressa a tendência de que as firmas com esse perfil têm de manter-se nas cercanias de clientes demandantes de bens e serviços cujo nível de exigência é elevado e impulsiona processos inovativos. É coerente que também se registre nesse espaço (Padrão 1) a elevada concentração tanto das </w:t>
      </w:r>
      <w:proofErr w:type="spellStart"/>
      <w:r w:rsidRPr="000139D9">
        <w:rPr>
          <w:rFonts w:ascii="Times New Roman" w:hAnsi="Times New Roman" w:cs="Times New Roman"/>
          <w:sz w:val="24"/>
          <w:szCs w:val="24"/>
        </w:rPr>
        <w:t>IPE</w:t>
      </w:r>
      <w:proofErr w:type="spellEnd"/>
      <w:r w:rsidRPr="000139D9">
        <w:rPr>
          <w:rFonts w:ascii="Times New Roman" w:hAnsi="Times New Roman" w:cs="Times New Roman"/>
          <w:sz w:val="24"/>
          <w:szCs w:val="24"/>
        </w:rPr>
        <w:t xml:space="preserve"> (1,01) quanto das IBC (1,03) e ainda que n</w:t>
      </w:r>
      <w:bookmarkStart w:id="17" w:name="_Hlk80351305"/>
      <w:r w:rsidRPr="000139D9">
        <w:rPr>
          <w:rFonts w:ascii="Times New Roman" w:hAnsi="Times New Roman" w:cs="Times New Roman"/>
          <w:sz w:val="24"/>
          <w:szCs w:val="24"/>
        </w:rPr>
        <w:t>ele se destaquem as FSE (0,61). De forma oposta, esses três atributos do padrão 19 são fragilíssimos</w:t>
      </w:r>
      <w:bookmarkEnd w:id="17"/>
      <w:r w:rsidRPr="000139D9">
        <w:rPr>
          <w:rFonts w:ascii="Times New Roman" w:hAnsi="Times New Roman" w:cs="Times New Roman"/>
          <w:sz w:val="24"/>
          <w:szCs w:val="24"/>
        </w:rPr>
        <w:t xml:space="preserve">, com desempenho contrário: -0,22, -0,16 e -0,13, remetendo, respectivamente, a </w:t>
      </w:r>
      <w:proofErr w:type="spellStart"/>
      <w:r w:rsidRPr="000139D9">
        <w:rPr>
          <w:rFonts w:ascii="Times New Roman" w:hAnsi="Times New Roman" w:cs="Times New Roman"/>
          <w:sz w:val="24"/>
          <w:szCs w:val="24"/>
        </w:rPr>
        <w:t>IPE</w:t>
      </w:r>
      <w:proofErr w:type="spellEnd"/>
      <w:r w:rsidRPr="000139D9">
        <w:rPr>
          <w:rFonts w:ascii="Times New Roman" w:hAnsi="Times New Roman" w:cs="Times New Roman"/>
          <w:sz w:val="24"/>
          <w:szCs w:val="24"/>
        </w:rPr>
        <w:t xml:space="preserve">, IBC e FSE (Figura </w:t>
      </w:r>
      <w:r>
        <w:rPr>
          <w:rFonts w:ascii="Times New Roman" w:hAnsi="Times New Roman" w:cs="Times New Roman"/>
          <w:sz w:val="24"/>
          <w:szCs w:val="24"/>
        </w:rPr>
        <w:t>1</w:t>
      </w:r>
      <w:r w:rsidRPr="000139D9">
        <w:rPr>
          <w:rFonts w:ascii="Times New Roman" w:hAnsi="Times New Roman" w:cs="Times New Roman"/>
          <w:sz w:val="24"/>
          <w:szCs w:val="24"/>
        </w:rPr>
        <w:t>).</w:t>
      </w:r>
    </w:p>
    <w:p w14:paraId="691A1E59" w14:textId="77777777" w:rsidR="007E705E" w:rsidRPr="0063503B" w:rsidRDefault="007E705E" w:rsidP="007E705E">
      <w:pPr>
        <w:pStyle w:val="LegendaTab"/>
        <w:spacing w:before="0"/>
        <w:jc w:val="both"/>
        <w:rPr>
          <w:rFonts w:ascii="Times New Roman" w:hAnsi="Times New Roman"/>
        </w:rPr>
      </w:pPr>
      <w:r w:rsidRPr="0063503B">
        <w:rPr>
          <w:rFonts w:ascii="Times New Roman" w:hAnsi="Times New Roman"/>
        </w:rPr>
        <w:lastRenderedPageBreak/>
        <w:t>Tabela 2 – Valor médio do atributo relativo à capacidade e à variedade de fontes de inovação em cada padrão espacial subnacional</w:t>
      </w:r>
      <w:r>
        <w:rPr>
          <w:rFonts w:ascii="Times New Roman" w:hAnsi="Times New Roman"/>
        </w:rPr>
        <w:t xml:space="preserve"> </w:t>
      </w:r>
      <w:r w:rsidRPr="0063503B">
        <w:rPr>
          <w:rFonts w:ascii="Times New Roman" w:hAnsi="Times New Roman"/>
        </w:rPr>
        <w:t>– 2019.</w:t>
      </w:r>
    </w:p>
    <w:tbl>
      <w:tblPr>
        <w:tblW w:w="5000" w:type="pct"/>
        <w:tblCellMar>
          <w:left w:w="70" w:type="dxa"/>
          <w:right w:w="70" w:type="dxa"/>
        </w:tblCellMar>
        <w:tblLook w:val="04A0" w:firstRow="1" w:lastRow="0" w:firstColumn="1" w:lastColumn="0" w:noHBand="0" w:noVBand="1"/>
      </w:tblPr>
      <w:tblGrid>
        <w:gridCol w:w="981"/>
        <w:gridCol w:w="898"/>
        <w:gridCol w:w="898"/>
        <w:gridCol w:w="900"/>
        <w:gridCol w:w="900"/>
        <w:gridCol w:w="900"/>
        <w:gridCol w:w="900"/>
        <w:gridCol w:w="900"/>
        <w:gridCol w:w="900"/>
        <w:gridCol w:w="894"/>
      </w:tblGrid>
      <w:tr w:rsidR="007E705E" w:rsidRPr="00AC07D3" w14:paraId="11930C1C" w14:textId="77777777" w:rsidTr="007E705E">
        <w:trPr>
          <w:cantSplit/>
          <w:trHeight w:val="441"/>
        </w:trPr>
        <w:tc>
          <w:tcPr>
            <w:tcW w:w="541" w:type="pct"/>
            <w:vMerge w:val="restart"/>
            <w:tcBorders>
              <w:top w:val="single" w:sz="8" w:space="0" w:color="auto"/>
              <w:left w:val="nil"/>
              <w:bottom w:val="single" w:sz="8" w:space="0" w:color="000000"/>
              <w:right w:val="single" w:sz="8" w:space="0" w:color="auto"/>
            </w:tcBorders>
            <w:shd w:val="clear" w:color="auto" w:fill="auto"/>
            <w:vAlign w:val="center"/>
            <w:hideMark/>
          </w:tcPr>
          <w:p w14:paraId="2A0B2E60"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Padrão espacial</w:t>
            </w:r>
          </w:p>
        </w:tc>
        <w:tc>
          <w:tcPr>
            <w:tcW w:w="4459" w:type="pct"/>
            <w:gridSpan w:val="9"/>
            <w:tcBorders>
              <w:top w:val="single" w:sz="8" w:space="0" w:color="auto"/>
              <w:left w:val="nil"/>
              <w:bottom w:val="single" w:sz="8" w:space="0" w:color="auto"/>
              <w:right w:val="nil"/>
            </w:tcBorders>
            <w:shd w:val="clear" w:color="auto" w:fill="auto"/>
            <w:noWrap/>
            <w:vAlign w:val="center"/>
            <w:hideMark/>
          </w:tcPr>
          <w:p w14:paraId="09FEDDE3"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Valor médio do atributo no padrão espacial</w:t>
            </w:r>
          </w:p>
        </w:tc>
      </w:tr>
      <w:tr w:rsidR="007E705E" w:rsidRPr="0063503B" w14:paraId="3213C877" w14:textId="77777777" w:rsidTr="007E705E">
        <w:trPr>
          <w:trHeight w:val="405"/>
        </w:trPr>
        <w:tc>
          <w:tcPr>
            <w:tcW w:w="541" w:type="pct"/>
            <w:vMerge/>
            <w:tcBorders>
              <w:top w:val="single" w:sz="8" w:space="0" w:color="auto"/>
              <w:left w:val="nil"/>
              <w:bottom w:val="single" w:sz="8" w:space="0" w:color="000000"/>
              <w:right w:val="single" w:sz="8" w:space="0" w:color="auto"/>
            </w:tcBorders>
            <w:vAlign w:val="center"/>
            <w:hideMark/>
          </w:tcPr>
          <w:p w14:paraId="51443BF4"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p>
        </w:tc>
        <w:tc>
          <w:tcPr>
            <w:tcW w:w="495" w:type="pct"/>
            <w:tcBorders>
              <w:top w:val="nil"/>
              <w:left w:val="nil"/>
              <w:bottom w:val="single" w:sz="8" w:space="0" w:color="auto"/>
              <w:right w:val="nil"/>
            </w:tcBorders>
            <w:shd w:val="clear" w:color="auto" w:fill="auto"/>
            <w:noWrap/>
            <w:vAlign w:val="center"/>
            <w:hideMark/>
          </w:tcPr>
          <w:p w14:paraId="41BCD8CE"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BDF</w:t>
            </w:r>
            <w:proofErr w:type="spellEnd"/>
          </w:p>
        </w:tc>
        <w:tc>
          <w:tcPr>
            <w:tcW w:w="495" w:type="pct"/>
            <w:tcBorders>
              <w:top w:val="nil"/>
              <w:left w:val="nil"/>
              <w:bottom w:val="single" w:sz="8" w:space="0" w:color="auto"/>
              <w:right w:val="nil"/>
            </w:tcBorders>
            <w:shd w:val="clear" w:color="auto" w:fill="auto"/>
            <w:noWrap/>
            <w:vAlign w:val="center"/>
            <w:hideMark/>
          </w:tcPr>
          <w:p w14:paraId="04D63686"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IIE</w:t>
            </w:r>
            <w:proofErr w:type="spellEnd"/>
          </w:p>
        </w:tc>
        <w:tc>
          <w:tcPr>
            <w:tcW w:w="496" w:type="pct"/>
            <w:tcBorders>
              <w:top w:val="nil"/>
              <w:left w:val="nil"/>
              <w:bottom w:val="single" w:sz="8" w:space="0" w:color="auto"/>
              <w:right w:val="nil"/>
            </w:tcBorders>
            <w:shd w:val="clear" w:color="auto" w:fill="auto"/>
            <w:noWrap/>
            <w:vAlign w:val="center"/>
            <w:hideMark/>
          </w:tcPr>
          <w:p w14:paraId="28F6646F"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IPE</w:t>
            </w:r>
            <w:proofErr w:type="spellEnd"/>
          </w:p>
        </w:tc>
        <w:tc>
          <w:tcPr>
            <w:tcW w:w="496" w:type="pct"/>
            <w:tcBorders>
              <w:top w:val="nil"/>
              <w:left w:val="nil"/>
              <w:bottom w:val="single" w:sz="8" w:space="0" w:color="auto"/>
              <w:right w:val="nil"/>
            </w:tcBorders>
            <w:shd w:val="clear" w:color="auto" w:fill="auto"/>
            <w:noWrap/>
            <w:vAlign w:val="center"/>
            <w:hideMark/>
          </w:tcPr>
          <w:p w14:paraId="0F77C12E"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IBC</w:t>
            </w:r>
          </w:p>
        </w:tc>
        <w:tc>
          <w:tcPr>
            <w:tcW w:w="496" w:type="pct"/>
            <w:tcBorders>
              <w:top w:val="nil"/>
              <w:left w:val="nil"/>
              <w:bottom w:val="single" w:sz="8" w:space="0" w:color="auto"/>
              <w:right w:val="nil"/>
            </w:tcBorders>
            <w:shd w:val="clear" w:color="auto" w:fill="auto"/>
            <w:noWrap/>
            <w:vAlign w:val="center"/>
            <w:hideMark/>
          </w:tcPr>
          <w:p w14:paraId="003AC6CD"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SDF</w:t>
            </w:r>
          </w:p>
        </w:tc>
        <w:tc>
          <w:tcPr>
            <w:tcW w:w="496" w:type="pct"/>
            <w:tcBorders>
              <w:top w:val="nil"/>
              <w:left w:val="nil"/>
              <w:bottom w:val="single" w:sz="8" w:space="0" w:color="auto"/>
              <w:right w:val="nil"/>
            </w:tcBorders>
            <w:shd w:val="clear" w:color="auto" w:fill="auto"/>
            <w:noWrap/>
            <w:vAlign w:val="center"/>
            <w:hideMark/>
          </w:tcPr>
          <w:p w14:paraId="69E945B7"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FSE</w:t>
            </w:r>
          </w:p>
        </w:tc>
        <w:tc>
          <w:tcPr>
            <w:tcW w:w="496" w:type="pct"/>
            <w:tcBorders>
              <w:top w:val="nil"/>
              <w:left w:val="nil"/>
              <w:bottom w:val="single" w:sz="8" w:space="0" w:color="auto"/>
              <w:right w:val="nil"/>
            </w:tcBorders>
            <w:shd w:val="clear" w:color="auto" w:fill="auto"/>
            <w:noWrap/>
            <w:vAlign w:val="center"/>
            <w:hideMark/>
          </w:tcPr>
          <w:p w14:paraId="352473DF"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SBI</w:t>
            </w:r>
            <w:proofErr w:type="spellEnd"/>
          </w:p>
        </w:tc>
        <w:tc>
          <w:tcPr>
            <w:tcW w:w="496" w:type="pct"/>
            <w:tcBorders>
              <w:top w:val="nil"/>
              <w:left w:val="nil"/>
              <w:bottom w:val="single" w:sz="8" w:space="0" w:color="auto"/>
              <w:right w:val="nil"/>
            </w:tcBorders>
            <w:shd w:val="clear" w:color="auto" w:fill="auto"/>
            <w:noWrap/>
            <w:vAlign w:val="center"/>
            <w:hideMark/>
          </w:tcPr>
          <w:p w14:paraId="527DF393"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CDS</w:t>
            </w:r>
          </w:p>
        </w:tc>
        <w:tc>
          <w:tcPr>
            <w:tcW w:w="496" w:type="pct"/>
            <w:tcBorders>
              <w:top w:val="nil"/>
              <w:left w:val="nil"/>
              <w:bottom w:val="single" w:sz="8" w:space="0" w:color="auto"/>
              <w:right w:val="nil"/>
            </w:tcBorders>
            <w:shd w:val="clear" w:color="auto" w:fill="auto"/>
            <w:noWrap/>
            <w:vAlign w:val="center"/>
            <w:hideMark/>
          </w:tcPr>
          <w:p w14:paraId="44F625C5" w14:textId="77777777" w:rsidR="007E705E" w:rsidRPr="0063503B" w:rsidRDefault="007E705E" w:rsidP="007E705E">
            <w:pPr>
              <w:keepNext/>
              <w:spacing w:after="0" w:line="240" w:lineRule="auto"/>
              <w:ind w:right="-113"/>
              <w:jc w:val="center"/>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SNM</w:t>
            </w:r>
            <w:proofErr w:type="spellEnd"/>
          </w:p>
        </w:tc>
      </w:tr>
      <w:tr w:rsidR="007E705E" w:rsidRPr="007E705E" w14:paraId="5C5AFED3" w14:textId="77777777" w:rsidTr="007E705E">
        <w:trPr>
          <w:trHeight w:val="288"/>
        </w:trPr>
        <w:tc>
          <w:tcPr>
            <w:tcW w:w="541" w:type="pct"/>
            <w:tcBorders>
              <w:top w:val="nil"/>
              <w:left w:val="nil"/>
              <w:bottom w:val="nil"/>
              <w:right w:val="nil"/>
            </w:tcBorders>
            <w:shd w:val="clear" w:color="auto" w:fill="auto"/>
            <w:vAlign w:val="center"/>
            <w:hideMark/>
          </w:tcPr>
          <w:p w14:paraId="3BFE452A"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w:t>
            </w:r>
          </w:p>
        </w:tc>
        <w:tc>
          <w:tcPr>
            <w:tcW w:w="495" w:type="pct"/>
            <w:tcBorders>
              <w:top w:val="nil"/>
              <w:left w:val="nil"/>
              <w:bottom w:val="nil"/>
              <w:right w:val="nil"/>
            </w:tcBorders>
            <w:shd w:val="clear" w:color="auto" w:fill="auto"/>
            <w:noWrap/>
            <w:vAlign w:val="center"/>
            <w:hideMark/>
          </w:tcPr>
          <w:p w14:paraId="24B01E1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-0,31</w:t>
            </w:r>
          </w:p>
        </w:tc>
        <w:tc>
          <w:tcPr>
            <w:tcW w:w="495" w:type="pct"/>
            <w:tcBorders>
              <w:top w:val="nil"/>
              <w:left w:val="nil"/>
              <w:bottom w:val="nil"/>
              <w:right w:val="nil"/>
            </w:tcBorders>
            <w:shd w:val="clear" w:color="auto" w:fill="auto"/>
            <w:noWrap/>
            <w:vAlign w:val="center"/>
            <w:hideMark/>
          </w:tcPr>
          <w:p w14:paraId="1380582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0,37</w:t>
            </w:r>
          </w:p>
        </w:tc>
        <w:tc>
          <w:tcPr>
            <w:tcW w:w="496" w:type="pct"/>
            <w:tcBorders>
              <w:top w:val="nil"/>
              <w:left w:val="nil"/>
              <w:bottom w:val="nil"/>
              <w:right w:val="nil"/>
            </w:tcBorders>
            <w:shd w:val="clear" w:color="auto" w:fill="auto"/>
            <w:noWrap/>
            <w:vAlign w:val="center"/>
            <w:hideMark/>
          </w:tcPr>
          <w:p w14:paraId="3DC21E7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1,01</w:t>
            </w:r>
          </w:p>
        </w:tc>
        <w:tc>
          <w:tcPr>
            <w:tcW w:w="496" w:type="pct"/>
            <w:tcBorders>
              <w:top w:val="nil"/>
              <w:left w:val="nil"/>
              <w:bottom w:val="nil"/>
              <w:right w:val="nil"/>
            </w:tcBorders>
            <w:shd w:val="clear" w:color="auto" w:fill="auto"/>
            <w:noWrap/>
            <w:vAlign w:val="center"/>
            <w:hideMark/>
          </w:tcPr>
          <w:p w14:paraId="5B18913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1,03</w:t>
            </w:r>
          </w:p>
        </w:tc>
        <w:tc>
          <w:tcPr>
            <w:tcW w:w="496" w:type="pct"/>
            <w:tcBorders>
              <w:top w:val="nil"/>
              <w:left w:val="nil"/>
              <w:bottom w:val="nil"/>
              <w:right w:val="nil"/>
            </w:tcBorders>
            <w:shd w:val="clear" w:color="auto" w:fill="auto"/>
            <w:noWrap/>
            <w:vAlign w:val="center"/>
            <w:hideMark/>
          </w:tcPr>
          <w:p w14:paraId="5887520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0,52</w:t>
            </w:r>
          </w:p>
        </w:tc>
        <w:tc>
          <w:tcPr>
            <w:tcW w:w="496" w:type="pct"/>
            <w:tcBorders>
              <w:top w:val="nil"/>
              <w:left w:val="nil"/>
              <w:bottom w:val="nil"/>
              <w:right w:val="nil"/>
            </w:tcBorders>
            <w:shd w:val="clear" w:color="auto" w:fill="auto"/>
            <w:noWrap/>
            <w:vAlign w:val="center"/>
            <w:hideMark/>
          </w:tcPr>
          <w:p w14:paraId="5A62C41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0,61</w:t>
            </w:r>
          </w:p>
        </w:tc>
        <w:tc>
          <w:tcPr>
            <w:tcW w:w="496" w:type="pct"/>
            <w:tcBorders>
              <w:top w:val="nil"/>
              <w:left w:val="nil"/>
              <w:bottom w:val="nil"/>
              <w:right w:val="nil"/>
            </w:tcBorders>
            <w:shd w:val="clear" w:color="auto" w:fill="auto"/>
            <w:noWrap/>
            <w:vAlign w:val="center"/>
            <w:hideMark/>
          </w:tcPr>
          <w:p w14:paraId="1A096F43"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0,58</w:t>
            </w:r>
          </w:p>
        </w:tc>
        <w:tc>
          <w:tcPr>
            <w:tcW w:w="496" w:type="pct"/>
            <w:tcBorders>
              <w:top w:val="nil"/>
              <w:left w:val="nil"/>
              <w:bottom w:val="nil"/>
              <w:right w:val="nil"/>
            </w:tcBorders>
            <w:shd w:val="clear" w:color="auto" w:fill="auto"/>
            <w:noWrap/>
            <w:vAlign w:val="center"/>
            <w:hideMark/>
          </w:tcPr>
          <w:p w14:paraId="76FE2D0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1,46</w:t>
            </w:r>
          </w:p>
        </w:tc>
        <w:tc>
          <w:tcPr>
            <w:tcW w:w="496" w:type="pct"/>
            <w:tcBorders>
              <w:top w:val="nil"/>
              <w:left w:val="nil"/>
              <w:bottom w:val="nil"/>
              <w:right w:val="nil"/>
            </w:tcBorders>
            <w:shd w:val="clear" w:color="auto" w:fill="auto"/>
            <w:noWrap/>
            <w:vAlign w:val="center"/>
            <w:hideMark/>
          </w:tcPr>
          <w:p w14:paraId="1013A2D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-0,95</w:t>
            </w:r>
          </w:p>
        </w:tc>
      </w:tr>
      <w:tr w:rsidR="007E705E" w:rsidRPr="007E705E" w14:paraId="4DC1CF47" w14:textId="77777777" w:rsidTr="007E705E">
        <w:trPr>
          <w:trHeight w:val="288"/>
        </w:trPr>
        <w:tc>
          <w:tcPr>
            <w:tcW w:w="541" w:type="pct"/>
            <w:tcBorders>
              <w:top w:val="nil"/>
              <w:left w:val="nil"/>
              <w:bottom w:val="nil"/>
              <w:right w:val="nil"/>
            </w:tcBorders>
            <w:shd w:val="clear" w:color="auto" w:fill="auto"/>
            <w:vAlign w:val="center"/>
            <w:hideMark/>
          </w:tcPr>
          <w:p w14:paraId="29EED3FF"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2</w:t>
            </w:r>
          </w:p>
        </w:tc>
        <w:tc>
          <w:tcPr>
            <w:tcW w:w="495" w:type="pct"/>
            <w:tcBorders>
              <w:top w:val="nil"/>
              <w:left w:val="nil"/>
              <w:bottom w:val="nil"/>
              <w:right w:val="nil"/>
            </w:tcBorders>
            <w:shd w:val="clear" w:color="auto" w:fill="auto"/>
            <w:noWrap/>
            <w:vAlign w:val="center"/>
            <w:hideMark/>
          </w:tcPr>
          <w:p w14:paraId="4A47B45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-0,32</w:t>
            </w:r>
          </w:p>
        </w:tc>
        <w:tc>
          <w:tcPr>
            <w:tcW w:w="495" w:type="pct"/>
            <w:tcBorders>
              <w:top w:val="nil"/>
              <w:left w:val="nil"/>
              <w:bottom w:val="nil"/>
              <w:right w:val="nil"/>
            </w:tcBorders>
            <w:shd w:val="clear" w:color="auto" w:fill="auto"/>
            <w:noWrap/>
            <w:vAlign w:val="center"/>
            <w:hideMark/>
          </w:tcPr>
          <w:p w14:paraId="3BDDDA6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-0,01</w:t>
            </w:r>
          </w:p>
        </w:tc>
        <w:tc>
          <w:tcPr>
            <w:tcW w:w="496" w:type="pct"/>
            <w:tcBorders>
              <w:top w:val="nil"/>
              <w:left w:val="nil"/>
              <w:bottom w:val="nil"/>
              <w:right w:val="nil"/>
            </w:tcBorders>
            <w:shd w:val="clear" w:color="auto" w:fill="auto"/>
            <w:noWrap/>
            <w:vAlign w:val="center"/>
            <w:hideMark/>
          </w:tcPr>
          <w:p w14:paraId="49114E4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-0,01</w:t>
            </w:r>
          </w:p>
        </w:tc>
        <w:tc>
          <w:tcPr>
            <w:tcW w:w="496" w:type="pct"/>
            <w:tcBorders>
              <w:top w:val="nil"/>
              <w:left w:val="nil"/>
              <w:bottom w:val="nil"/>
              <w:right w:val="nil"/>
            </w:tcBorders>
            <w:shd w:val="clear" w:color="auto" w:fill="auto"/>
            <w:noWrap/>
            <w:vAlign w:val="center"/>
            <w:hideMark/>
          </w:tcPr>
          <w:p w14:paraId="37F3F87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0,46</w:t>
            </w:r>
          </w:p>
        </w:tc>
        <w:tc>
          <w:tcPr>
            <w:tcW w:w="496" w:type="pct"/>
            <w:tcBorders>
              <w:top w:val="nil"/>
              <w:left w:val="nil"/>
              <w:bottom w:val="nil"/>
              <w:right w:val="nil"/>
            </w:tcBorders>
            <w:shd w:val="clear" w:color="auto" w:fill="auto"/>
            <w:noWrap/>
            <w:vAlign w:val="center"/>
            <w:hideMark/>
          </w:tcPr>
          <w:p w14:paraId="258FD9C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0,71</w:t>
            </w:r>
          </w:p>
        </w:tc>
        <w:tc>
          <w:tcPr>
            <w:tcW w:w="496" w:type="pct"/>
            <w:tcBorders>
              <w:top w:val="nil"/>
              <w:left w:val="nil"/>
              <w:bottom w:val="nil"/>
              <w:right w:val="nil"/>
            </w:tcBorders>
            <w:shd w:val="clear" w:color="auto" w:fill="auto"/>
            <w:noWrap/>
            <w:vAlign w:val="center"/>
            <w:hideMark/>
          </w:tcPr>
          <w:p w14:paraId="1AA36EE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0,27</w:t>
            </w:r>
          </w:p>
        </w:tc>
        <w:tc>
          <w:tcPr>
            <w:tcW w:w="496" w:type="pct"/>
            <w:tcBorders>
              <w:top w:val="nil"/>
              <w:left w:val="nil"/>
              <w:bottom w:val="nil"/>
              <w:right w:val="nil"/>
            </w:tcBorders>
            <w:shd w:val="clear" w:color="auto" w:fill="auto"/>
            <w:noWrap/>
            <w:vAlign w:val="center"/>
            <w:hideMark/>
          </w:tcPr>
          <w:p w14:paraId="0AE18CA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w:t>
            </w:r>
          </w:p>
        </w:tc>
        <w:tc>
          <w:tcPr>
            <w:tcW w:w="496" w:type="pct"/>
            <w:tcBorders>
              <w:top w:val="nil"/>
              <w:left w:val="nil"/>
              <w:bottom w:val="nil"/>
              <w:right w:val="nil"/>
            </w:tcBorders>
            <w:shd w:val="clear" w:color="auto" w:fill="auto"/>
            <w:noWrap/>
            <w:vAlign w:val="center"/>
            <w:hideMark/>
          </w:tcPr>
          <w:p w14:paraId="09DE81A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0,87</w:t>
            </w:r>
          </w:p>
        </w:tc>
        <w:tc>
          <w:tcPr>
            <w:tcW w:w="496" w:type="pct"/>
            <w:tcBorders>
              <w:top w:val="nil"/>
              <w:left w:val="nil"/>
              <w:bottom w:val="nil"/>
              <w:right w:val="nil"/>
            </w:tcBorders>
            <w:shd w:val="clear" w:color="auto" w:fill="auto"/>
            <w:noWrap/>
            <w:vAlign w:val="center"/>
            <w:hideMark/>
          </w:tcPr>
          <w:p w14:paraId="382064A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-0,43</w:t>
            </w:r>
          </w:p>
        </w:tc>
      </w:tr>
      <w:tr w:rsidR="007E705E" w:rsidRPr="007E705E" w14:paraId="3C440C83" w14:textId="77777777" w:rsidTr="007E705E">
        <w:trPr>
          <w:trHeight w:val="288"/>
        </w:trPr>
        <w:tc>
          <w:tcPr>
            <w:tcW w:w="541" w:type="pct"/>
            <w:tcBorders>
              <w:top w:val="nil"/>
              <w:left w:val="nil"/>
              <w:bottom w:val="nil"/>
              <w:right w:val="nil"/>
            </w:tcBorders>
            <w:shd w:val="clear" w:color="auto" w:fill="auto"/>
            <w:vAlign w:val="center"/>
            <w:hideMark/>
          </w:tcPr>
          <w:p w14:paraId="1F39BF9F"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3</w:t>
            </w:r>
          </w:p>
        </w:tc>
        <w:tc>
          <w:tcPr>
            <w:tcW w:w="495" w:type="pct"/>
            <w:tcBorders>
              <w:top w:val="nil"/>
              <w:left w:val="nil"/>
              <w:bottom w:val="nil"/>
              <w:right w:val="nil"/>
            </w:tcBorders>
            <w:shd w:val="clear" w:color="auto" w:fill="auto"/>
            <w:noWrap/>
            <w:vAlign w:val="center"/>
            <w:hideMark/>
          </w:tcPr>
          <w:p w14:paraId="0578EEA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0,32</w:t>
            </w:r>
          </w:p>
        </w:tc>
        <w:tc>
          <w:tcPr>
            <w:tcW w:w="495" w:type="pct"/>
            <w:tcBorders>
              <w:top w:val="nil"/>
              <w:left w:val="nil"/>
              <w:bottom w:val="nil"/>
              <w:right w:val="nil"/>
            </w:tcBorders>
            <w:shd w:val="clear" w:color="auto" w:fill="auto"/>
            <w:noWrap/>
            <w:vAlign w:val="center"/>
            <w:hideMark/>
          </w:tcPr>
          <w:p w14:paraId="0B68903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0,69</w:t>
            </w:r>
          </w:p>
        </w:tc>
        <w:tc>
          <w:tcPr>
            <w:tcW w:w="496" w:type="pct"/>
            <w:tcBorders>
              <w:top w:val="nil"/>
              <w:left w:val="nil"/>
              <w:bottom w:val="nil"/>
              <w:right w:val="nil"/>
            </w:tcBorders>
            <w:shd w:val="clear" w:color="auto" w:fill="auto"/>
            <w:noWrap/>
            <w:vAlign w:val="center"/>
            <w:hideMark/>
          </w:tcPr>
          <w:p w14:paraId="4570E75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1,14</w:t>
            </w:r>
          </w:p>
        </w:tc>
        <w:tc>
          <w:tcPr>
            <w:tcW w:w="496" w:type="pct"/>
            <w:tcBorders>
              <w:top w:val="nil"/>
              <w:left w:val="nil"/>
              <w:bottom w:val="nil"/>
              <w:right w:val="nil"/>
            </w:tcBorders>
            <w:shd w:val="clear" w:color="auto" w:fill="auto"/>
            <w:noWrap/>
            <w:vAlign w:val="center"/>
            <w:hideMark/>
          </w:tcPr>
          <w:p w14:paraId="1766F2C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1,31</w:t>
            </w:r>
          </w:p>
        </w:tc>
        <w:tc>
          <w:tcPr>
            <w:tcW w:w="496" w:type="pct"/>
            <w:tcBorders>
              <w:top w:val="nil"/>
              <w:left w:val="nil"/>
              <w:bottom w:val="nil"/>
              <w:right w:val="nil"/>
            </w:tcBorders>
            <w:shd w:val="clear" w:color="auto" w:fill="auto"/>
            <w:noWrap/>
            <w:vAlign w:val="center"/>
            <w:hideMark/>
          </w:tcPr>
          <w:p w14:paraId="637BB84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0,15</w:t>
            </w:r>
          </w:p>
        </w:tc>
        <w:tc>
          <w:tcPr>
            <w:tcW w:w="496" w:type="pct"/>
            <w:tcBorders>
              <w:top w:val="nil"/>
              <w:left w:val="nil"/>
              <w:bottom w:val="nil"/>
              <w:right w:val="nil"/>
            </w:tcBorders>
            <w:shd w:val="clear" w:color="auto" w:fill="auto"/>
            <w:noWrap/>
            <w:vAlign w:val="center"/>
            <w:hideMark/>
          </w:tcPr>
          <w:p w14:paraId="1C5906F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w:t>
            </w:r>
          </w:p>
        </w:tc>
        <w:tc>
          <w:tcPr>
            <w:tcW w:w="496" w:type="pct"/>
            <w:tcBorders>
              <w:top w:val="nil"/>
              <w:left w:val="nil"/>
              <w:bottom w:val="nil"/>
              <w:right w:val="nil"/>
            </w:tcBorders>
            <w:shd w:val="clear" w:color="auto" w:fill="auto"/>
            <w:noWrap/>
            <w:vAlign w:val="center"/>
            <w:hideMark/>
          </w:tcPr>
          <w:p w14:paraId="1E6CC15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0,53</w:t>
            </w:r>
          </w:p>
        </w:tc>
        <w:tc>
          <w:tcPr>
            <w:tcW w:w="496" w:type="pct"/>
            <w:tcBorders>
              <w:top w:val="nil"/>
              <w:left w:val="nil"/>
              <w:bottom w:val="nil"/>
              <w:right w:val="nil"/>
            </w:tcBorders>
            <w:shd w:val="clear" w:color="auto" w:fill="auto"/>
            <w:noWrap/>
            <w:vAlign w:val="center"/>
            <w:hideMark/>
          </w:tcPr>
          <w:p w14:paraId="4D4111D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0,41</w:t>
            </w:r>
          </w:p>
        </w:tc>
        <w:tc>
          <w:tcPr>
            <w:tcW w:w="496" w:type="pct"/>
            <w:tcBorders>
              <w:top w:val="nil"/>
              <w:left w:val="nil"/>
              <w:bottom w:val="nil"/>
              <w:right w:val="nil"/>
            </w:tcBorders>
            <w:shd w:val="clear" w:color="auto" w:fill="auto"/>
            <w:noWrap/>
            <w:vAlign w:val="center"/>
            <w:hideMark/>
          </w:tcPr>
          <w:p w14:paraId="545782DC"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-1,01</w:t>
            </w:r>
          </w:p>
        </w:tc>
      </w:tr>
      <w:tr w:rsidR="007E705E" w:rsidRPr="007E705E" w14:paraId="08525414" w14:textId="77777777" w:rsidTr="007E705E">
        <w:trPr>
          <w:trHeight w:val="288"/>
        </w:trPr>
        <w:tc>
          <w:tcPr>
            <w:tcW w:w="541" w:type="pct"/>
            <w:tcBorders>
              <w:top w:val="nil"/>
              <w:left w:val="nil"/>
              <w:bottom w:val="nil"/>
              <w:right w:val="nil"/>
            </w:tcBorders>
            <w:shd w:val="clear" w:color="auto" w:fill="auto"/>
            <w:vAlign w:val="center"/>
            <w:hideMark/>
          </w:tcPr>
          <w:p w14:paraId="19A0C839"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4</w:t>
            </w:r>
          </w:p>
        </w:tc>
        <w:tc>
          <w:tcPr>
            <w:tcW w:w="495" w:type="pct"/>
            <w:tcBorders>
              <w:top w:val="nil"/>
              <w:left w:val="nil"/>
              <w:bottom w:val="nil"/>
              <w:right w:val="nil"/>
            </w:tcBorders>
            <w:shd w:val="clear" w:color="auto" w:fill="auto"/>
            <w:noWrap/>
            <w:vAlign w:val="center"/>
            <w:hideMark/>
          </w:tcPr>
          <w:p w14:paraId="482DE2E3"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-0,31</w:t>
            </w:r>
          </w:p>
        </w:tc>
        <w:tc>
          <w:tcPr>
            <w:tcW w:w="495" w:type="pct"/>
            <w:tcBorders>
              <w:top w:val="nil"/>
              <w:left w:val="nil"/>
              <w:bottom w:val="nil"/>
              <w:right w:val="nil"/>
            </w:tcBorders>
            <w:shd w:val="clear" w:color="auto" w:fill="auto"/>
            <w:noWrap/>
            <w:vAlign w:val="center"/>
            <w:hideMark/>
          </w:tcPr>
          <w:p w14:paraId="2365F07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w:t>
            </w:r>
          </w:p>
        </w:tc>
        <w:tc>
          <w:tcPr>
            <w:tcW w:w="496" w:type="pct"/>
            <w:tcBorders>
              <w:top w:val="nil"/>
              <w:left w:val="nil"/>
              <w:bottom w:val="nil"/>
              <w:right w:val="nil"/>
            </w:tcBorders>
            <w:shd w:val="clear" w:color="auto" w:fill="auto"/>
            <w:noWrap/>
            <w:vAlign w:val="center"/>
            <w:hideMark/>
          </w:tcPr>
          <w:p w14:paraId="18C5C79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0,27</w:t>
            </w:r>
          </w:p>
        </w:tc>
        <w:tc>
          <w:tcPr>
            <w:tcW w:w="496" w:type="pct"/>
            <w:tcBorders>
              <w:top w:val="nil"/>
              <w:left w:val="nil"/>
              <w:bottom w:val="nil"/>
              <w:right w:val="nil"/>
            </w:tcBorders>
            <w:shd w:val="clear" w:color="auto" w:fill="auto"/>
            <w:noWrap/>
            <w:vAlign w:val="center"/>
            <w:hideMark/>
          </w:tcPr>
          <w:p w14:paraId="7686A99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2,53</w:t>
            </w:r>
          </w:p>
        </w:tc>
        <w:tc>
          <w:tcPr>
            <w:tcW w:w="496" w:type="pct"/>
            <w:tcBorders>
              <w:top w:val="nil"/>
              <w:left w:val="nil"/>
              <w:bottom w:val="nil"/>
              <w:right w:val="nil"/>
            </w:tcBorders>
            <w:shd w:val="clear" w:color="auto" w:fill="auto"/>
            <w:noWrap/>
            <w:vAlign w:val="center"/>
            <w:hideMark/>
          </w:tcPr>
          <w:p w14:paraId="27251FD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w:t>
            </w:r>
          </w:p>
        </w:tc>
        <w:tc>
          <w:tcPr>
            <w:tcW w:w="496" w:type="pct"/>
            <w:tcBorders>
              <w:top w:val="nil"/>
              <w:left w:val="nil"/>
              <w:bottom w:val="nil"/>
              <w:right w:val="nil"/>
            </w:tcBorders>
            <w:shd w:val="clear" w:color="auto" w:fill="auto"/>
            <w:noWrap/>
            <w:vAlign w:val="center"/>
            <w:hideMark/>
          </w:tcPr>
          <w:p w14:paraId="564312B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0,42</w:t>
            </w:r>
          </w:p>
        </w:tc>
        <w:tc>
          <w:tcPr>
            <w:tcW w:w="496" w:type="pct"/>
            <w:tcBorders>
              <w:top w:val="nil"/>
              <w:left w:val="nil"/>
              <w:bottom w:val="nil"/>
              <w:right w:val="nil"/>
            </w:tcBorders>
            <w:shd w:val="clear" w:color="auto" w:fill="auto"/>
            <w:noWrap/>
            <w:vAlign w:val="center"/>
            <w:hideMark/>
          </w:tcPr>
          <w:p w14:paraId="66318BE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0,55</w:t>
            </w:r>
          </w:p>
        </w:tc>
        <w:tc>
          <w:tcPr>
            <w:tcW w:w="496" w:type="pct"/>
            <w:tcBorders>
              <w:top w:val="nil"/>
              <w:left w:val="nil"/>
              <w:bottom w:val="nil"/>
              <w:right w:val="nil"/>
            </w:tcBorders>
            <w:shd w:val="clear" w:color="auto" w:fill="auto"/>
            <w:noWrap/>
            <w:vAlign w:val="center"/>
            <w:hideMark/>
          </w:tcPr>
          <w:p w14:paraId="15D1418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1,77</w:t>
            </w:r>
          </w:p>
        </w:tc>
        <w:tc>
          <w:tcPr>
            <w:tcW w:w="496" w:type="pct"/>
            <w:tcBorders>
              <w:top w:val="nil"/>
              <w:left w:val="nil"/>
              <w:bottom w:val="nil"/>
              <w:right w:val="nil"/>
            </w:tcBorders>
            <w:shd w:val="clear" w:color="auto" w:fill="auto"/>
            <w:noWrap/>
            <w:vAlign w:val="center"/>
            <w:hideMark/>
          </w:tcPr>
          <w:p w14:paraId="17CC011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-0,88</w:t>
            </w:r>
          </w:p>
        </w:tc>
      </w:tr>
      <w:tr w:rsidR="007E705E" w:rsidRPr="007E705E" w14:paraId="24F8052A" w14:textId="77777777" w:rsidTr="007E705E">
        <w:trPr>
          <w:trHeight w:val="288"/>
        </w:trPr>
        <w:tc>
          <w:tcPr>
            <w:tcW w:w="541" w:type="pct"/>
            <w:tcBorders>
              <w:top w:val="nil"/>
              <w:left w:val="nil"/>
              <w:bottom w:val="nil"/>
              <w:right w:val="nil"/>
            </w:tcBorders>
            <w:shd w:val="clear" w:color="auto" w:fill="auto"/>
            <w:vAlign w:val="center"/>
            <w:hideMark/>
          </w:tcPr>
          <w:p w14:paraId="597047C0"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5</w:t>
            </w:r>
          </w:p>
        </w:tc>
        <w:tc>
          <w:tcPr>
            <w:tcW w:w="495" w:type="pct"/>
            <w:tcBorders>
              <w:top w:val="nil"/>
              <w:left w:val="nil"/>
              <w:bottom w:val="nil"/>
              <w:right w:val="nil"/>
            </w:tcBorders>
            <w:shd w:val="clear" w:color="auto" w:fill="auto"/>
            <w:noWrap/>
            <w:vAlign w:val="center"/>
            <w:hideMark/>
          </w:tcPr>
          <w:p w14:paraId="437D6B5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0,39</w:t>
            </w:r>
          </w:p>
        </w:tc>
        <w:tc>
          <w:tcPr>
            <w:tcW w:w="495" w:type="pct"/>
            <w:tcBorders>
              <w:top w:val="nil"/>
              <w:left w:val="nil"/>
              <w:bottom w:val="nil"/>
              <w:right w:val="nil"/>
            </w:tcBorders>
            <w:shd w:val="clear" w:color="auto" w:fill="auto"/>
            <w:noWrap/>
            <w:vAlign w:val="center"/>
            <w:hideMark/>
          </w:tcPr>
          <w:p w14:paraId="3D8BB33C"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0,82</w:t>
            </w:r>
          </w:p>
        </w:tc>
        <w:tc>
          <w:tcPr>
            <w:tcW w:w="496" w:type="pct"/>
            <w:tcBorders>
              <w:top w:val="nil"/>
              <w:left w:val="nil"/>
              <w:bottom w:val="nil"/>
              <w:right w:val="nil"/>
            </w:tcBorders>
            <w:shd w:val="clear" w:color="auto" w:fill="auto"/>
            <w:noWrap/>
            <w:vAlign w:val="center"/>
            <w:hideMark/>
          </w:tcPr>
          <w:p w14:paraId="3367DB5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0,23</w:t>
            </w:r>
          </w:p>
        </w:tc>
        <w:tc>
          <w:tcPr>
            <w:tcW w:w="496" w:type="pct"/>
            <w:tcBorders>
              <w:top w:val="nil"/>
              <w:left w:val="nil"/>
              <w:bottom w:val="nil"/>
              <w:right w:val="nil"/>
            </w:tcBorders>
            <w:shd w:val="clear" w:color="auto" w:fill="auto"/>
            <w:noWrap/>
            <w:vAlign w:val="center"/>
            <w:hideMark/>
          </w:tcPr>
          <w:p w14:paraId="32566A9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0,28</w:t>
            </w:r>
          </w:p>
        </w:tc>
        <w:tc>
          <w:tcPr>
            <w:tcW w:w="496" w:type="pct"/>
            <w:tcBorders>
              <w:top w:val="nil"/>
              <w:left w:val="nil"/>
              <w:bottom w:val="nil"/>
              <w:right w:val="nil"/>
            </w:tcBorders>
            <w:shd w:val="clear" w:color="auto" w:fill="auto"/>
            <w:noWrap/>
            <w:vAlign w:val="center"/>
            <w:hideMark/>
          </w:tcPr>
          <w:p w14:paraId="38437EA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0,04</w:t>
            </w:r>
          </w:p>
        </w:tc>
        <w:tc>
          <w:tcPr>
            <w:tcW w:w="496" w:type="pct"/>
            <w:tcBorders>
              <w:top w:val="nil"/>
              <w:left w:val="nil"/>
              <w:bottom w:val="nil"/>
              <w:right w:val="nil"/>
            </w:tcBorders>
            <w:shd w:val="clear" w:color="auto" w:fill="auto"/>
            <w:noWrap/>
            <w:vAlign w:val="center"/>
            <w:hideMark/>
          </w:tcPr>
          <w:p w14:paraId="105F23D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0,29</w:t>
            </w:r>
          </w:p>
        </w:tc>
        <w:tc>
          <w:tcPr>
            <w:tcW w:w="496" w:type="pct"/>
            <w:tcBorders>
              <w:top w:val="nil"/>
              <w:left w:val="nil"/>
              <w:bottom w:val="nil"/>
              <w:right w:val="nil"/>
            </w:tcBorders>
            <w:shd w:val="clear" w:color="auto" w:fill="auto"/>
            <w:noWrap/>
            <w:vAlign w:val="center"/>
            <w:hideMark/>
          </w:tcPr>
          <w:p w14:paraId="2CEFA28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0,67</w:t>
            </w:r>
          </w:p>
        </w:tc>
        <w:tc>
          <w:tcPr>
            <w:tcW w:w="496" w:type="pct"/>
            <w:tcBorders>
              <w:top w:val="nil"/>
              <w:left w:val="nil"/>
              <w:bottom w:val="nil"/>
              <w:right w:val="nil"/>
            </w:tcBorders>
            <w:shd w:val="clear" w:color="auto" w:fill="auto"/>
            <w:noWrap/>
            <w:vAlign w:val="center"/>
            <w:hideMark/>
          </w:tcPr>
          <w:p w14:paraId="003B460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0,58</w:t>
            </w:r>
          </w:p>
        </w:tc>
        <w:tc>
          <w:tcPr>
            <w:tcW w:w="496" w:type="pct"/>
            <w:tcBorders>
              <w:top w:val="nil"/>
              <w:left w:val="nil"/>
              <w:bottom w:val="nil"/>
              <w:right w:val="nil"/>
            </w:tcBorders>
            <w:shd w:val="clear" w:color="auto" w:fill="auto"/>
            <w:noWrap/>
            <w:vAlign w:val="center"/>
            <w:hideMark/>
          </w:tcPr>
          <w:p w14:paraId="7CFA2F5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-1,02</w:t>
            </w:r>
          </w:p>
        </w:tc>
      </w:tr>
      <w:tr w:rsidR="007E705E" w:rsidRPr="007E705E" w14:paraId="0CE2704D" w14:textId="77777777" w:rsidTr="007E705E">
        <w:trPr>
          <w:trHeight w:val="288"/>
        </w:trPr>
        <w:tc>
          <w:tcPr>
            <w:tcW w:w="541" w:type="pct"/>
            <w:tcBorders>
              <w:top w:val="nil"/>
              <w:left w:val="nil"/>
              <w:bottom w:val="nil"/>
              <w:right w:val="nil"/>
            </w:tcBorders>
            <w:shd w:val="clear" w:color="auto" w:fill="auto"/>
            <w:vAlign w:val="center"/>
            <w:hideMark/>
          </w:tcPr>
          <w:p w14:paraId="59EAE037"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6</w:t>
            </w:r>
          </w:p>
        </w:tc>
        <w:tc>
          <w:tcPr>
            <w:tcW w:w="495" w:type="pct"/>
            <w:tcBorders>
              <w:top w:val="nil"/>
              <w:left w:val="nil"/>
              <w:bottom w:val="nil"/>
              <w:right w:val="nil"/>
            </w:tcBorders>
            <w:shd w:val="clear" w:color="auto" w:fill="auto"/>
            <w:noWrap/>
            <w:vAlign w:val="center"/>
            <w:hideMark/>
          </w:tcPr>
          <w:p w14:paraId="22A8948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-0,29</w:t>
            </w:r>
          </w:p>
        </w:tc>
        <w:tc>
          <w:tcPr>
            <w:tcW w:w="495" w:type="pct"/>
            <w:tcBorders>
              <w:top w:val="nil"/>
              <w:left w:val="nil"/>
              <w:bottom w:val="nil"/>
              <w:right w:val="nil"/>
            </w:tcBorders>
            <w:shd w:val="clear" w:color="auto" w:fill="auto"/>
            <w:noWrap/>
            <w:vAlign w:val="center"/>
            <w:hideMark/>
          </w:tcPr>
          <w:p w14:paraId="3856736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0,99</w:t>
            </w:r>
          </w:p>
        </w:tc>
        <w:tc>
          <w:tcPr>
            <w:tcW w:w="496" w:type="pct"/>
            <w:tcBorders>
              <w:top w:val="nil"/>
              <w:left w:val="nil"/>
              <w:bottom w:val="nil"/>
              <w:right w:val="nil"/>
            </w:tcBorders>
            <w:shd w:val="clear" w:color="auto" w:fill="auto"/>
            <w:noWrap/>
            <w:vAlign w:val="center"/>
            <w:hideMark/>
          </w:tcPr>
          <w:p w14:paraId="679716E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-0,04</w:t>
            </w:r>
          </w:p>
        </w:tc>
        <w:tc>
          <w:tcPr>
            <w:tcW w:w="496" w:type="pct"/>
            <w:tcBorders>
              <w:top w:val="nil"/>
              <w:left w:val="nil"/>
              <w:bottom w:val="nil"/>
              <w:right w:val="nil"/>
            </w:tcBorders>
            <w:shd w:val="clear" w:color="auto" w:fill="auto"/>
            <w:noWrap/>
            <w:vAlign w:val="center"/>
            <w:hideMark/>
          </w:tcPr>
          <w:p w14:paraId="2A55A05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0,05</w:t>
            </w:r>
          </w:p>
        </w:tc>
        <w:tc>
          <w:tcPr>
            <w:tcW w:w="496" w:type="pct"/>
            <w:tcBorders>
              <w:top w:val="nil"/>
              <w:left w:val="nil"/>
              <w:bottom w:val="nil"/>
              <w:right w:val="nil"/>
            </w:tcBorders>
            <w:shd w:val="clear" w:color="auto" w:fill="auto"/>
            <w:noWrap/>
            <w:vAlign w:val="center"/>
            <w:hideMark/>
          </w:tcPr>
          <w:p w14:paraId="31F5D57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0,32</w:t>
            </w:r>
          </w:p>
        </w:tc>
        <w:tc>
          <w:tcPr>
            <w:tcW w:w="496" w:type="pct"/>
            <w:tcBorders>
              <w:top w:val="nil"/>
              <w:left w:val="nil"/>
              <w:bottom w:val="nil"/>
              <w:right w:val="nil"/>
            </w:tcBorders>
            <w:shd w:val="clear" w:color="auto" w:fill="auto"/>
            <w:noWrap/>
            <w:vAlign w:val="center"/>
            <w:hideMark/>
          </w:tcPr>
          <w:p w14:paraId="3F0B339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w:t>
            </w:r>
          </w:p>
        </w:tc>
        <w:tc>
          <w:tcPr>
            <w:tcW w:w="496" w:type="pct"/>
            <w:tcBorders>
              <w:top w:val="nil"/>
              <w:left w:val="nil"/>
              <w:bottom w:val="nil"/>
              <w:right w:val="nil"/>
            </w:tcBorders>
            <w:shd w:val="clear" w:color="auto" w:fill="auto"/>
            <w:noWrap/>
            <w:vAlign w:val="center"/>
            <w:hideMark/>
          </w:tcPr>
          <w:p w14:paraId="2BC6D6E9"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0,81</w:t>
            </w:r>
          </w:p>
        </w:tc>
        <w:tc>
          <w:tcPr>
            <w:tcW w:w="496" w:type="pct"/>
            <w:tcBorders>
              <w:top w:val="nil"/>
              <w:left w:val="nil"/>
              <w:bottom w:val="nil"/>
              <w:right w:val="nil"/>
            </w:tcBorders>
            <w:shd w:val="clear" w:color="auto" w:fill="auto"/>
            <w:noWrap/>
            <w:vAlign w:val="center"/>
            <w:hideMark/>
          </w:tcPr>
          <w:p w14:paraId="062F852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0,49</w:t>
            </w:r>
          </w:p>
        </w:tc>
        <w:tc>
          <w:tcPr>
            <w:tcW w:w="496" w:type="pct"/>
            <w:tcBorders>
              <w:top w:val="nil"/>
              <w:left w:val="nil"/>
              <w:bottom w:val="nil"/>
              <w:right w:val="nil"/>
            </w:tcBorders>
            <w:shd w:val="clear" w:color="auto" w:fill="auto"/>
            <w:noWrap/>
            <w:vAlign w:val="center"/>
            <w:hideMark/>
          </w:tcPr>
          <w:p w14:paraId="68151C1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-0,73</w:t>
            </w:r>
          </w:p>
        </w:tc>
      </w:tr>
      <w:tr w:rsidR="007E705E" w:rsidRPr="007E705E" w14:paraId="653E8928" w14:textId="77777777" w:rsidTr="007E705E">
        <w:trPr>
          <w:trHeight w:val="288"/>
        </w:trPr>
        <w:tc>
          <w:tcPr>
            <w:tcW w:w="541" w:type="pct"/>
            <w:tcBorders>
              <w:top w:val="nil"/>
              <w:left w:val="nil"/>
              <w:bottom w:val="nil"/>
              <w:right w:val="nil"/>
            </w:tcBorders>
            <w:shd w:val="clear" w:color="auto" w:fill="auto"/>
            <w:vAlign w:val="center"/>
            <w:hideMark/>
          </w:tcPr>
          <w:p w14:paraId="65FAEF52"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7</w:t>
            </w:r>
          </w:p>
        </w:tc>
        <w:tc>
          <w:tcPr>
            <w:tcW w:w="495" w:type="pct"/>
            <w:tcBorders>
              <w:top w:val="nil"/>
              <w:left w:val="nil"/>
              <w:bottom w:val="nil"/>
              <w:right w:val="nil"/>
            </w:tcBorders>
            <w:shd w:val="clear" w:color="auto" w:fill="auto"/>
            <w:noWrap/>
            <w:vAlign w:val="center"/>
            <w:hideMark/>
          </w:tcPr>
          <w:p w14:paraId="66BC033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0,62</w:t>
            </w:r>
          </w:p>
        </w:tc>
        <w:tc>
          <w:tcPr>
            <w:tcW w:w="495" w:type="pct"/>
            <w:tcBorders>
              <w:top w:val="nil"/>
              <w:left w:val="nil"/>
              <w:bottom w:val="nil"/>
              <w:right w:val="nil"/>
            </w:tcBorders>
            <w:shd w:val="clear" w:color="auto" w:fill="auto"/>
            <w:noWrap/>
            <w:vAlign w:val="center"/>
            <w:hideMark/>
          </w:tcPr>
          <w:p w14:paraId="55D43A6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0,47</w:t>
            </w:r>
          </w:p>
        </w:tc>
        <w:tc>
          <w:tcPr>
            <w:tcW w:w="496" w:type="pct"/>
            <w:tcBorders>
              <w:top w:val="nil"/>
              <w:left w:val="nil"/>
              <w:bottom w:val="nil"/>
              <w:right w:val="nil"/>
            </w:tcBorders>
            <w:shd w:val="clear" w:color="auto" w:fill="auto"/>
            <w:noWrap/>
            <w:vAlign w:val="center"/>
            <w:hideMark/>
          </w:tcPr>
          <w:p w14:paraId="49D28BE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0,52</w:t>
            </w:r>
          </w:p>
        </w:tc>
        <w:tc>
          <w:tcPr>
            <w:tcW w:w="496" w:type="pct"/>
            <w:tcBorders>
              <w:top w:val="nil"/>
              <w:left w:val="nil"/>
              <w:bottom w:val="nil"/>
              <w:right w:val="nil"/>
            </w:tcBorders>
            <w:shd w:val="clear" w:color="auto" w:fill="auto"/>
            <w:noWrap/>
            <w:vAlign w:val="center"/>
            <w:hideMark/>
          </w:tcPr>
          <w:p w14:paraId="2D4E76D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0,15</w:t>
            </w:r>
          </w:p>
        </w:tc>
        <w:tc>
          <w:tcPr>
            <w:tcW w:w="496" w:type="pct"/>
            <w:tcBorders>
              <w:top w:val="nil"/>
              <w:left w:val="nil"/>
              <w:bottom w:val="nil"/>
              <w:right w:val="nil"/>
            </w:tcBorders>
            <w:shd w:val="clear" w:color="auto" w:fill="auto"/>
            <w:noWrap/>
            <w:vAlign w:val="center"/>
            <w:hideMark/>
          </w:tcPr>
          <w:p w14:paraId="3630C52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0,07</w:t>
            </w:r>
          </w:p>
        </w:tc>
        <w:tc>
          <w:tcPr>
            <w:tcW w:w="496" w:type="pct"/>
            <w:tcBorders>
              <w:top w:val="nil"/>
              <w:left w:val="nil"/>
              <w:bottom w:val="nil"/>
              <w:right w:val="nil"/>
            </w:tcBorders>
            <w:shd w:val="clear" w:color="auto" w:fill="auto"/>
            <w:noWrap/>
            <w:vAlign w:val="center"/>
            <w:hideMark/>
          </w:tcPr>
          <w:p w14:paraId="08076C5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0,23</w:t>
            </w:r>
          </w:p>
        </w:tc>
        <w:tc>
          <w:tcPr>
            <w:tcW w:w="496" w:type="pct"/>
            <w:tcBorders>
              <w:top w:val="nil"/>
              <w:left w:val="nil"/>
              <w:bottom w:val="nil"/>
              <w:right w:val="nil"/>
            </w:tcBorders>
            <w:shd w:val="clear" w:color="auto" w:fill="auto"/>
            <w:noWrap/>
            <w:vAlign w:val="center"/>
            <w:hideMark/>
          </w:tcPr>
          <w:p w14:paraId="1FD407E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0,62</w:t>
            </w:r>
          </w:p>
        </w:tc>
        <w:tc>
          <w:tcPr>
            <w:tcW w:w="496" w:type="pct"/>
            <w:tcBorders>
              <w:top w:val="nil"/>
              <w:left w:val="nil"/>
              <w:bottom w:val="nil"/>
              <w:right w:val="nil"/>
            </w:tcBorders>
            <w:shd w:val="clear" w:color="auto" w:fill="auto"/>
            <w:noWrap/>
            <w:vAlign w:val="center"/>
            <w:hideMark/>
          </w:tcPr>
          <w:p w14:paraId="244092B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0,37</w:t>
            </w:r>
          </w:p>
        </w:tc>
        <w:tc>
          <w:tcPr>
            <w:tcW w:w="496" w:type="pct"/>
            <w:tcBorders>
              <w:top w:val="nil"/>
              <w:left w:val="nil"/>
              <w:bottom w:val="nil"/>
              <w:right w:val="nil"/>
            </w:tcBorders>
            <w:shd w:val="clear" w:color="auto" w:fill="auto"/>
            <w:noWrap/>
            <w:vAlign w:val="center"/>
            <w:hideMark/>
          </w:tcPr>
          <w:p w14:paraId="5C4885B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-0,92</w:t>
            </w:r>
          </w:p>
        </w:tc>
      </w:tr>
      <w:tr w:rsidR="007E705E" w:rsidRPr="007E705E" w14:paraId="18D76841" w14:textId="77777777" w:rsidTr="007E705E">
        <w:trPr>
          <w:trHeight w:val="288"/>
        </w:trPr>
        <w:tc>
          <w:tcPr>
            <w:tcW w:w="541" w:type="pct"/>
            <w:tcBorders>
              <w:top w:val="nil"/>
              <w:left w:val="nil"/>
              <w:bottom w:val="nil"/>
              <w:right w:val="nil"/>
            </w:tcBorders>
            <w:shd w:val="clear" w:color="auto" w:fill="auto"/>
            <w:vAlign w:val="center"/>
            <w:hideMark/>
          </w:tcPr>
          <w:p w14:paraId="2B20AEE8"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8</w:t>
            </w:r>
          </w:p>
        </w:tc>
        <w:tc>
          <w:tcPr>
            <w:tcW w:w="495" w:type="pct"/>
            <w:tcBorders>
              <w:top w:val="nil"/>
              <w:left w:val="nil"/>
              <w:bottom w:val="nil"/>
              <w:right w:val="nil"/>
            </w:tcBorders>
            <w:shd w:val="clear" w:color="auto" w:fill="auto"/>
            <w:noWrap/>
            <w:vAlign w:val="center"/>
            <w:hideMark/>
          </w:tcPr>
          <w:p w14:paraId="1FE2B8EC"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0,37</w:t>
            </w:r>
          </w:p>
        </w:tc>
        <w:tc>
          <w:tcPr>
            <w:tcW w:w="495" w:type="pct"/>
            <w:tcBorders>
              <w:top w:val="nil"/>
              <w:left w:val="nil"/>
              <w:bottom w:val="nil"/>
              <w:right w:val="nil"/>
            </w:tcBorders>
            <w:shd w:val="clear" w:color="auto" w:fill="auto"/>
            <w:noWrap/>
            <w:vAlign w:val="center"/>
            <w:hideMark/>
          </w:tcPr>
          <w:p w14:paraId="57DD09E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0,32</w:t>
            </w:r>
          </w:p>
        </w:tc>
        <w:tc>
          <w:tcPr>
            <w:tcW w:w="496" w:type="pct"/>
            <w:tcBorders>
              <w:top w:val="nil"/>
              <w:left w:val="nil"/>
              <w:bottom w:val="nil"/>
              <w:right w:val="nil"/>
            </w:tcBorders>
            <w:shd w:val="clear" w:color="auto" w:fill="auto"/>
            <w:noWrap/>
            <w:vAlign w:val="center"/>
            <w:hideMark/>
          </w:tcPr>
          <w:p w14:paraId="55D0D5E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0,12</w:t>
            </w:r>
          </w:p>
        </w:tc>
        <w:tc>
          <w:tcPr>
            <w:tcW w:w="496" w:type="pct"/>
            <w:tcBorders>
              <w:top w:val="nil"/>
              <w:left w:val="nil"/>
              <w:bottom w:val="nil"/>
              <w:right w:val="nil"/>
            </w:tcBorders>
            <w:shd w:val="clear" w:color="auto" w:fill="auto"/>
            <w:noWrap/>
            <w:vAlign w:val="center"/>
            <w:hideMark/>
          </w:tcPr>
          <w:p w14:paraId="47AADE9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0,06</w:t>
            </w:r>
          </w:p>
        </w:tc>
        <w:tc>
          <w:tcPr>
            <w:tcW w:w="496" w:type="pct"/>
            <w:tcBorders>
              <w:top w:val="nil"/>
              <w:left w:val="nil"/>
              <w:bottom w:val="nil"/>
              <w:right w:val="nil"/>
            </w:tcBorders>
            <w:shd w:val="clear" w:color="auto" w:fill="auto"/>
            <w:noWrap/>
            <w:vAlign w:val="center"/>
            <w:hideMark/>
          </w:tcPr>
          <w:p w14:paraId="012A921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0,17</w:t>
            </w:r>
          </w:p>
        </w:tc>
        <w:tc>
          <w:tcPr>
            <w:tcW w:w="496" w:type="pct"/>
            <w:tcBorders>
              <w:top w:val="nil"/>
              <w:left w:val="nil"/>
              <w:bottom w:val="nil"/>
              <w:right w:val="nil"/>
            </w:tcBorders>
            <w:shd w:val="clear" w:color="auto" w:fill="auto"/>
            <w:noWrap/>
            <w:vAlign w:val="center"/>
            <w:hideMark/>
          </w:tcPr>
          <w:p w14:paraId="59323AA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0,04</w:t>
            </w:r>
          </w:p>
        </w:tc>
        <w:tc>
          <w:tcPr>
            <w:tcW w:w="496" w:type="pct"/>
            <w:tcBorders>
              <w:top w:val="nil"/>
              <w:left w:val="nil"/>
              <w:bottom w:val="nil"/>
              <w:right w:val="nil"/>
            </w:tcBorders>
            <w:shd w:val="clear" w:color="auto" w:fill="auto"/>
            <w:noWrap/>
            <w:vAlign w:val="center"/>
            <w:hideMark/>
          </w:tcPr>
          <w:p w14:paraId="7701773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0,15</w:t>
            </w:r>
          </w:p>
        </w:tc>
        <w:tc>
          <w:tcPr>
            <w:tcW w:w="496" w:type="pct"/>
            <w:tcBorders>
              <w:top w:val="nil"/>
              <w:left w:val="nil"/>
              <w:bottom w:val="nil"/>
              <w:right w:val="nil"/>
            </w:tcBorders>
            <w:shd w:val="clear" w:color="auto" w:fill="auto"/>
            <w:noWrap/>
            <w:vAlign w:val="center"/>
            <w:hideMark/>
          </w:tcPr>
          <w:p w14:paraId="0E46FD5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0,31</w:t>
            </w:r>
          </w:p>
        </w:tc>
        <w:tc>
          <w:tcPr>
            <w:tcW w:w="496" w:type="pct"/>
            <w:tcBorders>
              <w:top w:val="nil"/>
              <w:left w:val="nil"/>
              <w:bottom w:val="nil"/>
              <w:right w:val="nil"/>
            </w:tcBorders>
            <w:shd w:val="clear" w:color="auto" w:fill="auto"/>
            <w:noWrap/>
            <w:vAlign w:val="center"/>
            <w:hideMark/>
          </w:tcPr>
          <w:p w14:paraId="547147AC"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-0,58</w:t>
            </w:r>
          </w:p>
        </w:tc>
      </w:tr>
      <w:tr w:rsidR="007E705E" w:rsidRPr="007E705E" w14:paraId="72843862" w14:textId="77777777" w:rsidTr="007E705E">
        <w:trPr>
          <w:trHeight w:val="288"/>
        </w:trPr>
        <w:tc>
          <w:tcPr>
            <w:tcW w:w="541" w:type="pct"/>
            <w:tcBorders>
              <w:top w:val="nil"/>
              <w:left w:val="nil"/>
              <w:bottom w:val="nil"/>
              <w:right w:val="nil"/>
            </w:tcBorders>
            <w:shd w:val="clear" w:color="auto" w:fill="auto"/>
            <w:vAlign w:val="center"/>
            <w:hideMark/>
          </w:tcPr>
          <w:p w14:paraId="1AC74621"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9</w:t>
            </w:r>
          </w:p>
        </w:tc>
        <w:tc>
          <w:tcPr>
            <w:tcW w:w="495" w:type="pct"/>
            <w:tcBorders>
              <w:top w:val="nil"/>
              <w:left w:val="nil"/>
              <w:bottom w:val="nil"/>
              <w:right w:val="nil"/>
            </w:tcBorders>
            <w:shd w:val="clear" w:color="auto" w:fill="auto"/>
            <w:noWrap/>
            <w:vAlign w:val="center"/>
            <w:hideMark/>
          </w:tcPr>
          <w:p w14:paraId="69DA228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0,05</w:t>
            </w:r>
          </w:p>
        </w:tc>
        <w:tc>
          <w:tcPr>
            <w:tcW w:w="495" w:type="pct"/>
            <w:tcBorders>
              <w:top w:val="nil"/>
              <w:left w:val="nil"/>
              <w:bottom w:val="nil"/>
              <w:right w:val="nil"/>
            </w:tcBorders>
            <w:shd w:val="clear" w:color="auto" w:fill="auto"/>
            <w:noWrap/>
            <w:vAlign w:val="center"/>
            <w:hideMark/>
          </w:tcPr>
          <w:p w14:paraId="706B53E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0,15</w:t>
            </w:r>
          </w:p>
        </w:tc>
        <w:tc>
          <w:tcPr>
            <w:tcW w:w="496" w:type="pct"/>
            <w:tcBorders>
              <w:top w:val="nil"/>
              <w:left w:val="nil"/>
              <w:bottom w:val="nil"/>
              <w:right w:val="nil"/>
            </w:tcBorders>
            <w:shd w:val="clear" w:color="auto" w:fill="auto"/>
            <w:noWrap/>
            <w:vAlign w:val="center"/>
            <w:hideMark/>
          </w:tcPr>
          <w:p w14:paraId="607ED45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0,19</w:t>
            </w:r>
          </w:p>
        </w:tc>
        <w:tc>
          <w:tcPr>
            <w:tcW w:w="496" w:type="pct"/>
            <w:tcBorders>
              <w:top w:val="nil"/>
              <w:left w:val="nil"/>
              <w:bottom w:val="nil"/>
              <w:right w:val="nil"/>
            </w:tcBorders>
            <w:shd w:val="clear" w:color="auto" w:fill="auto"/>
            <w:noWrap/>
            <w:vAlign w:val="center"/>
            <w:hideMark/>
          </w:tcPr>
          <w:p w14:paraId="7CA48DD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0,01</w:t>
            </w:r>
          </w:p>
        </w:tc>
        <w:tc>
          <w:tcPr>
            <w:tcW w:w="496" w:type="pct"/>
            <w:tcBorders>
              <w:top w:val="nil"/>
              <w:left w:val="nil"/>
              <w:bottom w:val="nil"/>
              <w:right w:val="nil"/>
            </w:tcBorders>
            <w:shd w:val="clear" w:color="auto" w:fill="auto"/>
            <w:noWrap/>
            <w:vAlign w:val="center"/>
            <w:hideMark/>
          </w:tcPr>
          <w:p w14:paraId="4FE1ECC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0,19</w:t>
            </w:r>
          </w:p>
        </w:tc>
        <w:tc>
          <w:tcPr>
            <w:tcW w:w="496" w:type="pct"/>
            <w:tcBorders>
              <w:top w:val="nil"/>
              <w:left w:val="nil"/>
              <w:bottom w:val="nil"/>
              <w:right w:val="nil"/>
            </w:tcBorders>
            <w:shd w:val="clear" w:color="auto" w:fill="auto"/>
            <w:noWrap/>
            <w:vAlign w:val="center"/>
            <w:hideMark/>
          </w:tcPr>
          <w:p w14:paraId="2944BA4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0,14</w:t>
            </w:r>
          </w:p>
        </w:tc>
        <w:tc>
          <w:tcPr>
            <w:tcW w:w="496" w:type="pct"/>
            <w:tcBorders>
              <w:top w:val="nil"/>
              <w:left w:val="nil"/>
              <w:bottom w:val="nil"/>
              <w:right w:val="nil"/>
            </w:tcBorders>
            <w:shd w:val="clear" w:color="auto" w:fill="auto"/>
            <w:noWrap/>
            <w:vAlign w:val="center"/>
            <w:hideMark/>
          </w:tcPr>
          <w:p w14:paraId="4CABDE0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0,94</w:t>
            </w:r>
          </w:p>
        </w:tc>
        <w:tc>
          <w:tcPr>
            <w:tcW w:w="496" w:type="pct"/>
            <w:tcBorders>
              <w:top w:val="nil"/>
              <w:left w:val="nil"/>
              <w:bottom w:val="nil"/>
              <w:right w:val="nil"/>
            </w:tcBorders>
            <w:shd w:val="clear" w:color="auto" w:fill="auto"/>
            <w:noWrap/>
            <w:vAlign w:val="center"/>
            <w:hideMark/>
          </w:tcPr>
          <w:p w14:paraId="7872C73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0,27</w:t>
            </w:r>
          </w:p>
        </w:tc>
        <w:tc>
          <w:tcPr>
            <w:tcW w:w="496" w:type="pct"/>
            <w:tcBorders>
              <w:top w:val="nil"/>
              <w:left w:val="nil"/>
              <w:bottom w:val="nil"/>
              <w:right w:val="nil"/>
            </w:tcBorders>
            <w:shd w:val="clear" w:color="auto" w:fill="auto"/>
            <w:noWrap/>
            <w:vAlign w:val="center"/>
            <w:hideMark/>
          </w:tcPr>
          <w:p w14:paraId="6651FDD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-0,42</w:t>
            </w:r>
          </w:p>
        </w:tc>
      </w:tr>
      <w:tr w:rsidR="007E705E" w:rsidRPr="007E705E" w14:paraId="3944BF98" w14:textId="77777777" w:rsidTr="007E705E">
        <w:trPr>
          <w:trHeight w:val="288"/>
        </w:trPr>
        <w:tc>
          <w:tcPr>
            <w:tcW w:w="541" w:type="pct"/>
            <w:tcBorders>
              <w:top w:val="nil"/>
              <w:left w:val="nil"/>
              <w:bottom w:val="nil"/>
              <w:right w:val="nil"/>
            </w:tcBorders>
            <w:shd w:val="clear" w:color="auto" w:fill="auto"/>
            <w:vAlign w:val="center"/>
            <w:hideMark/>
          </w:tcPr>
          <w:p w14:paraId="5573FD8A"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10</w:t>
            </w:r>
          </w:p>
        </w:tc>
        <w:tc>
          <w:tcPr>
            <w:tcW w:w="495" w:type="pct"/>
            <w:tcBorders>
              <w:top w:val="nil"/>
              <w:left w:val="nil"/>
              <w:bottom w:val="nil"/>
              <w:right w:val="nil"/>
            </w:tcBorders>
            <w:shd w:val="clear" w:color="auto" w:fill="auto"/>
            <w:noWrap/>
            <w:vAlign w:val="center"/>
            <w:hideMark/>
          </w:tcPr>
          <w:p w14:paraId="5DD26D6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-0,18</w:t>
            </w:r>
          </w:p>
        </w:tc>
        <w:tc>
          <w:tcPr>
            <w:tcW w:w="495" w:type="pct"/>
            <w:tcBorders>
              <w:top w:val="nil"/>
              <w:left w:val="nil"/>
              <w:bottom w:val="nil"/>
              <w:right w:val="nil"/>
            </w:tcBorders>
            <w:shd w:val="clear" w:color="auto" w:fill="auto"/>
            <w:noWrap/>
            <w:vAlign w:val="center"/>
            <w:hideMark/>
          </w:tcPr>
          <w:p w14:paraId="6CBAD85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0,54</w:t>
            </w:r>
          </w:p>
        </w:tc>
        <w:tc>
          <w:tcPr>
            <w:tcW w:w="496" w:type="pct"/>
            <w:tcBorders>
              <w:top w:val="nil"/>
              <w:left w:val="nil"/>
              <w:bottom w:val="nil"/>
              <w:right w:val="nil"/>
            </w:tcBorders>
            <w:shd w:val="clear" w:color="auto" w:fill="auto"/>
            <w:noWrap/>
            <w:vAlign w:val="center"/>
            <w:hideMark/>
          </w:tcPr>
          <w:p w14:paraId="570A3AA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-0,14</w:t>
            </w:r>
          </w:p>
        </w:tc>
        <w:tc>
          <w:tcPr>
            <w:tcW w:w="496" w:type="pct"/>
            <w:tcBorders>
              <w:top w:val="nil"/>
              <w:left w:val="nil"/>
              <w:bottom w:val="nil"/>
              <w:right w:val="nil"/>
            </w:tcBorders>
            <w:shd w:val="clear" w:color="auto" w:fill="auto"/>
            <w:noWrap/>
            <w:vAlign w:val="center"/>
            <w:hideMark/>
          </w:tcPr>
          <w:p w14:paraId="3E77EEC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4,44</w:t>
            </w:r>
          </w:p>
        </w:tc>
        <w:tc>
          <w:tcPr>
            <w:tcW w:w="496" w:type="pct"/>
            <w:tcBorders>
              <w:top w:val="nil"/>
              <w:left w:val="nil"/>
              <w:bottom w:val="nil"/>
              <w:right w:val="nil"/>
            </w:tcBorders>
            <w:shd w:val="clear" w:color="auto" w:fill="auto"/>
            <w:noWrap/>
            <w:vAlign w:val="center"/>
            <w:hideMark/>
          </w:tcPr>
          <w:p w14:paraId="1A11372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-0,03</w:t>
            </w:r>
          </w:p>
        </w:tc>
        <w:tc>
          <w:tcPr>
            <w:tcW w:w="496" w:type="pct"/>
            <w:tcBorders>
              <w:top w:val="nil"/>
              <w:left w:val="nil"/>
              <w:bottom w:val="nil"/>
              <w:right w:val="nil"/>
            </w:tcBorders>
            <w:shd w:val="clear" w:color="auto" w:fill="auto"/>
            <w:noWrap/>
            <w:vAlign w:val="center"/>
            <w:hideMark/>
          </w:tcPr>
          <w:p w14:paraId="217D45E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0,25</w:t>
            </w:r>
          </w:p>
        </w:tc>
        <w:tc>
          <w:tcPr>
            <w:tcW w:w="496" w:type="pct"/>
            <w:tcBorders>
              <w:top w:val="nil"/>
              <w:left w:val="nil"/>
              <w:bottom w:val="nil"/>
              <w:right w:val="nil"/>
            </w:tcBorders>
            <w:shd w:val="clear" w:color="auto" w:fill="auto"/>
            <w:noWrap/>
            <w:vAlign w:val="center"/>
            <w:hideMark/>
          </w:tcPr>
          <w:p w14:paraId="5DEFA959"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w:t>
            </w:r>
          </w:p>
        </w:tc>
        <w:tc>
          <w:tcPr>
            <w:tcW w:w="496" w:type="pct"/>
            <w:tcBorders>
              <w:top w:val="nil"/>
              <w:left w:val="nil"/>
              <w:bottom w:val="nil"/>
              <w:right w:val="nil"/>
            </w:tcBorders>
            <w:shd w:val="clear" w:color="auto" w:fill="auto"/>
            <w:noWrap/>
            <w:vAlign w:val="center"/>
            <w:hideMark/>
          </w:tcPr>
          <w:p w14:paraId="4E40B3E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0,7</w:t>
            </w:r>
          </w:p>
        </w:tc>
        <w:tc>
          <w:tcPr>
            <w:tcW w:w="496" w:type="pct"/>
            <w:tcBorders>
              <w:top w:val="nil"/>
              <w:left w:val="nil"/>
              <w:bottom w:val="nil"/>
              <w:right w:val="nil"/>
            </w:tcBorders>
            <w:shd w:val="clear" w:color="auto" w:fill="auto"/>
            <w:noWrap/>
            <w:vAlign w:val="center"/>
            <w:hideMark/>
          </w:tcPr>
          <w:p w14:paraId="234215A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-0,8</w:t>
            </w:r>
          </w:p>
        </w:tc>
      </w:tr>
      <w:tr w:rsidR="007E705E" w:rsidRPr="007E705E" w14:paraId="305285DD" w14:textId="77777777" w:rsidTr="007E705E">
        <w:trPr>
          <w:trHeight w:val="288"/>
        </w:trPr>
        <w:tc>
          <w:tcPr>
            <w:tcW w:w="541" w:type="pct"/>
            <w:tcBorders>
              <w:top w:val="nil"/>
              <w:left w:val="nil"/>
              <w:bottom w:val="nil"/>
              <w:right w:val="nil"/>
            </w:tcBorders>
            <w:shd w:val="clear" w:color="auto" w:fill="auto"/>
            <w:vAlign w:val="center"/>
            <w:hideMark/>
          </w:tcPr>
          <w:p w14:paraId="1D76F899"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11</w:t>
            </w:r>
          </w:p>
        </w:tc>
        <w:tc>
          <w:tcPr>
            <w:tcW w:w="495" w:type="pct"/>
            <w:tcBorders>
              <w:top w:val="nil"/>
              <w:left w:val="nil"/>
              <w:bottom w:val="nil"/>
              <w:right w:val="nil"/>
            </w:tcBorders>
            <w:shd w:val="clear" w:color="auto" w:fill="auto"/>
            <w:noWrap/>
            <w:vAlign w:val="center"/>
            <w:hideMark/>
          </w:tcPr>
          <w:p w14:paraId="782BB8E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-0,53</w:t>
            </w:r>
          </w:p>
        </w:tc>
        <w:tc>
          <w:tcPr>
            <w:tcW w:w="495" w:type="pct"/>
            <w:tcBorders>
              <w:top w:val="nil"/>
              <w:left w:val="nil"/>
              <w:bottom w:val="nil"/>
              <w:right w:val="nil"/>
            </w:tcBorders>
            <w:shd w:val="clear" w:color="auto" w:fill="auto"/>
            <w:noWrap/>
            <w:vAlign w:val="center"/>
            <w:hideMark/>
          </w:tcPr>
          <w:p w14:paraId="4061866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1,64</w:t>
            </w:r>
          </w:p>
        </w:tc>
        <w:tc>
          <w:tcPr>
            <w:tcW w:w="496" w:type="pct"/>
            <w:tcBorders>
              <w:top w:val="nil"/>
              <w:left w:val="nil"/>
              <w:bottom w:val="nil"/>
              <w:right w:val="nil"/>
            </w:tcBorders>
            <w:shd w:val="clear" w:color="auto" w:fill="auto"/>
            <w:noWrap/>
            <w:vAlign w:val="center"/>
            <w:hideMark/>
          </w:tcPr>
          <w:p w14:paraId="786D18D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0,07</w:t>
            </w:r>
          </w:p>
        </w:tc>
        <w:tc>
          <w:tcPr>
            <w:tcW w:w="496" w:type="pct"/>
            <w:tcBorders>
              <w:top w:val="nil"/>
              <w:left w:val="nil"/>
              <w:bottom w:val="nil"/>
              <w:right w:val="nil"/>
            </w:tcBorders>
            <w:shd w:val="clear" w:color="auto" w:fill="auto"/>
            <w:noWrap/>
            <w:vAlign w:val="center"/>
            <w:hideMark/>
          </w:tcPr>
          <w:p w14:paraId="0C5FF07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0,16</w:t>
            </w:r>
          </w:p>
        </w:tc>
        <w:tc>
          <w:tcPr>
            <w:tcW w:w="496" w:type="pct"/>
            <w:tcBorders>
              <w:top w:val="nil"/>
              <w:left w:val="nil"/>
              <w:bottom w:val="nil"/>
              <w:right w:val="nil"/>
            </w:tcBorders>
            <w:shd w:val="clear" w:color="auto" w:fill="auto"/>
            <w:noWrap/>
            <w:vAlign w:val="center"/>
            <w:hideMark/>
          </w:tcPr>
          <w:p w14:paraId="5799BE5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-0,17</w:t>
            </w:r>
          </w:p>
        </w:tc>
        <w:tc>
          <w:tcPr>
            <w:tcW w:w="496" w:type="pct"/>
            <w:tcBorders>
              <w:top w:val="nil"/>
              <w:left w:val="nil"/>
              <w:bottom w:val="nil"/>
              <w:right w:val="nil"/>
            </w:tcBorders>
            <w:shd w:val="clear" w:color="auto" w:fill="auto"/>
            <w:noWrap/>
            <w:vAlign w:val="center"/>
            <w:hideMark/>
          </w:tcPr>
          <w:p w14:paraId="402885D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-0,06</w:t>
            </w:r>
          </w:p>
        </w:tc>
        <w:tc>
          <w:tcPr>
            <w:tcW w:w="496" w:type="pct"/>
            <w:tcBorders>
              <w:top w:val="nil"/>
              <w:left w:val="nil"/>
              <w:bottom w:val="nil"/>
              <w:right w:val="nil"/>
            </w:tcBorders>
            <w:shd w:val="clear" w:color="auto" w:fill="auto"/>
            <w:noWrap/>
            <w:vAlign w:val="center"/>
            <w:hideMark/>
          </w:tcPr>
          <w:p w14:paraId="6DA29E2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0,19</w:t>
            </w:r>
          </w:p>
        </w:tc>
        <w:tc>
          <w:tcPr>
            <w:tcW w:w="496" w:type="pct"/>
            <w:tcBorders>
              <w:top w:val="nil"/>
              <w:left w:val="nil"/>
              <w:bottom w:val="nil"/>
              <w:right w:val="nil"/>
            </w:tcBorders>
            <w:shd w:val="clear" w:color="auto" w:fill="auto"/>
            <w:noWrap/>
            <w:vAlign w:val="center"/>
            <w:hideMark/>
          </w:tcPr>
          <w:p w14:paraId="129B4333"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0,53</w:t>
            </w:r>
          </w:p>
        </w:tc>
        <w:tc>
          <w:tcPr>
            <w:tcW w:w="496" w:type="pct"/>
            <w:tcBorders>
              <w:top w:val="nil"/>
              <w:left w:val="nil"/>
              <w:bottom w:val="nil"/>
              <w:right w:val="nil"/>
            </w:tcBorders>
            <w:shd w:val="clear" w:color="auto" w:fill="auto"/>
            <w:noWrap/>
            <w:vAlign w:val="center"/>
            <w:hideMark/>
          </w:tcPr>
          <w:p w14:paraId="696DB1F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-0,65</w:t>
            </w:r>
          </w:p>
        </w:tc>
      </w:tr>
      <w:tr w:rsidR="007E705E" w:rsidRPr="007E705E" w14:paraId="13CFB9FF" w14:textId="77777777" w:rsidTr="007E705E">
        <w:trPr>
          <w:trHeight w:val="288"/>
        </w:trPr>
        <w:tc>
          <w:tcPr>
            <w:tcW w:w="541" w:type="pct"/>
            <w:tcBorders>
              <w:top w:val="nil"/>
              <w:left w:val="nil"/>
              <w:bottom w:val="nil"/>
              <w:right w:val="nil"/>
            </w:tcBorders>
            <w:shd w:val="clear" w:color="auto" w:fill="auto"/>
            <w:vAlign w:val="center"/>
            <w:hideMark/>
          </w:tcPr>
          <w:p w14:paraId="68E63D49"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12</w:t>
            </w:r>
          </w:p>
        </w:tc>
        <w:tc>
          <w:tcPr>
            <w:tcW w:w="495" w:type="pct"/>
            <w:tcBorders>
              <w:top w:val="nil"/>
              <w:left w:val="nil"/>
              <w:bottom w:val="nil"/>
              <w:right w:val="nil"/>
            </w:tcBorders>
            <w:shd w:val="clear" w:color="auto" w:fill="auto"/>
            <w:noWrap/>
            <w:vAlign w:val="center"/>
            <w:hideMark/>
          </w:tcPr>
          <w:p w14:paraId="63C9F6B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-0,43</w:t>
            </w:r>
          </w:p>
        </w:tc>
        <w:tc>
          <w:tcPr>
            <w:tcW w:w="495" w:type="pct"/>
            <w:tcBorders>
              <w:top w:val="nil"/>
              <w:left w:val="nil"/>
              <w:bottom w:val="nil"/>
              <w:right w:val="nil"/>
            </w:tcBorders>
            <w:shd w:val="clear" w:color="auto" w:fill="auto"/>
            <w:noWrap/>
            <w:vAlign w:val="center"/>
            <w:hideMark/>
          </w:tcPr>
          <w:p w14:paraId="560B3C4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-0,12</w:t>
            </w:r>
          </w:p>
        </w:tc>
        <w:tc>
          <w:tcPr>
            <w:tcW w:w="496" w:type="pct"/>
            <w:tcBorders>
              <w:top w:val="nil"/>
              <w:left w:val="nil"/>
              <w:bottom w:val="nil"/>
              <w:right w:val="nil"/>
            </w:tcBorders>
            <w:shd w:val="clear" w:color="auto" w:fill="auto"/>
            <w:noWrap/>
            <w:vAlign w:val="center"/>
            <w:hideMark/>
          </w:tcPr>
          <w:p w14:paraId="0814293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6,83</w:t>
            </w:r>
          </w:p>
        </w:tc>
        <w:tc>
          <w:tcPr>
            <w:tcW w:w="496" w:type="pct"/>
            <w:tcBorders>
              <w:top w:val="nil"/>
              <w:left w:val="nil"/>
              <w:bottom w:val="nil"/>
              <w:right w:val="nil"/>
            </w:tcBorders>
            <w:shd w:val="clear" w:color="auto" w:fill="auto"/>
            <w:noWrap/>
            <w:vAlign w:val="center"/>
            <w:hideMark/>
          </w:tcPr>
          <w:p w14:paraId="087CF58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-0,18</w:t>
            </w:r>
          </w:p>
        </w:tc>
        <w:tc>
          <w:tcPr>
            <w:tcW w:w="496" w:type="pct"/>
            <w:tcBorders>
              <w:top w:val="nil"/>
              <w:left w:val="nil"/>
              <w:bottom w:val="nil"/>
              <w:right w:val="nil"/>
            </w:tcBorders>
            <w:shd w:val="clear" w:color="auto" w:fill="auto"/>
            <w:noWrap/>
            <w:vAlign w:val="center"/>
            <w:hideMark/>
          </w:tcPr>
          <w:p w14:paraId="3CE3DC6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0,67</w:t>
            </w:r>
          </w:p>
        </w:tc>
        <w:tc>
          <w:tcPr>
            <w:tcW w:w="496" w:type="pct"/>
            <w:tcBorders>
              <w:top w:val="nil"/>
              <w:left w:val="nil"/>
              <w:bottom w:val="nil"/>
              <w:right w:val="nil"/>
            </w:tcBorders>
            <w:shd w:val="clear" w:color="auto" w:fill="auto"/>
            <w:noWrap/>
            <w:vAlign w:val="center"/>
            <w:hideMark/>
          </w:tcPr>
          <w:p w14:paraId="0C8B93F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0,73</w:t>
            </w:r>
          </w:p>
        </w:tc>
        <w:tc>
          <w:tcPr>
            <w:tcW w:w="496" w:type="pct"/>
            <w:tcBorders>
              <w:top w:val="nil"/>
              <w:left w:val="nil"/>
              <w:bottom w:val="nil"/>
              <w:right w:val="nil"/>
            </w:tcBorders>
            <w:shd w:val="clear" w:color="auto" w:fill="auto"/>
            <w:noWrap/>
            <w:vAlign w:val="center"/>
            <w:hideMark/>
          </w:tcPr>
          <w:p w14:paraId="61B8532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0,89</w:t>
            </w:r>
          </w:p>
        </w:tc>
        <w:tc>
          <w:tcPr>
            <w:tcW w:w="496" w:type="pct"/>
            <w:tcBorders>
              <w:top w:val="nil"/>
              <w:left w:val="nil"/>
              <w:bottom w:val="nil"/>
              <w:right w:val="nil"/>
            </w:tcBorders>
            <w:shd w:val="clear" w:color="auto" w:fill="auto"/>
            <w:noWrap/>
            <w:vAlign w:val="center"/>
            <w:hideMark/>
          </w:tcPr>
          <w:p w14:paraId="775BED7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0,44</w:t>
            </w:r>
          </w:p>
        </w:tc>
        <w:tc>
          <w:tcPr>
            <w:tcW w:w="496" w:type="pct"/>
            <w:tcBorders>
              <w:top w:val="nil"/>
              <w:left w:val="nil"/>
              <w:bottom w:val="nil"/>
              <w:right w:val="nil"/>
            </w:tcBorders>
            <w:shd w:val="clear" w:color="auto" w:fill="auto"/>
            <w:noWrap/>
            <w:vAlign w:val="center"/>
            <w:hideMark/>
          </w:tcPr>
          <w:p w14:paraId="1CB2D63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-0,79</w:t>
            </w:r>
          </w:p>
        </w:tc>
      </w:tr>
      <w:tr w:rsidR="007E705E" w:rsidRPr="007E705E" w14:paraId="4030501B" w14:textId="77777777" w:rsidTr="007E705E">
        <w:trPr>
          <w:trHeight w:val="288"/>
        </w:trPr>
        <w:tc>
          <w:tcPr>
            <w:tcW w:w="541" w:type="pct"/>
            <w:tcBorders>
              <w:top w:val="nil"/>
              <w:left w:val="nil"/>
              <w:bottom w:val="nil"/>
              <w:right w:val="nil"/>
            </w:tcBorders>
            <w:shd w:val="clear" w:color="auto" w:fill="auto"/>
            <w:vAlign w:val="center"/>
            <w:hideMark/>
          </w:tcPr>
          <w:p w14:paraId="231F14D9"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13</w:t>
            </w:r>
          </w:p>
        </w:tc>
        <w:tc>
          <w:tcPr>
            <w:tcW w:w="495" w:type="pct"/>
            <w:tcBorders>
              <w:top w:val="nil"/>
              <w:left w:val="nil"/>
              <w:bottom w:val="nil"/>
              <w:right w:val="nil"/>
            </w:tcBorders>
            <w:shd w:val="clear" w:color="auto" w:fill="auto"/>
            <w:noWrap/>
            <w:vAlign w:val="center"/>
            <w:hideMark/>
          </w:tcPr>
          <w:p w14:paraId="7A6F9EEC"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-0,43</w:t>
            </w:r>
          </w:p>
        </w:tc>
        <w:tc>
          <w:tcPr>
            <w:tcW w:w="495" w:type="pct"/>
            <w:tcBorders>
              <w:top w:val="nil"/>
              <w:left w:val="nil"/>
              <w:bottom w:val="nil"/>
              <w:right w:val="nil"/>
            </w:tcBorders>
            <w:shd w:val="clear" w:color="auto" w:fill="auto"/>
            <w:noWrap/>
            <w:vAlign w:val="center"/>
            <w:hideMark/>
          </w:tcPr>
          <w:p w14:paraId="2730B8A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-0,22</w:t>
            </w:r>
          </w:p>
        </w:tc>
        <w:tc>
          <w:tcPr>
            <w:tcW w:w="496" w:type="pct"/>
            <w:tcBorders>
              <w:top w:val="nil"/>
              <w:left w:val="nil"/>
              <w:bottom w:val="nil"/>
              <w:right w:val="nil"/>
            </w:tcBorders>
            <w:shd w:val="clear" w:color="auto" w:fill="auto"/>
            <w:noWrap/>
            <w:vAlign w:val="center"/>
            <w:hideMark/>
          </w:tcPr>
          <w:p w14:paraId="1327936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7,38</w:t>
            </w:r>
          </w:p>
        </w:tc>
        <w:tc>
          <w:tcPr>
            <w:tcW w:w="496" w:type="pct"/>
            <w:tcBorders>
              <w:top w:val="nil"/>
              <w:left w:val="nil"/>
              <w:bottom w:val="nil"/>
              <w:right w:val="nil"/>
            </w:tcBorders>
            <w:shd w:val="clear" w:color="auto" w:fill="auto"/>
            <w:noWrap/>
            <w:vAlign w:val="center"/>
            <w:hideMark/>
          </w:tcPr>
          <w:p w14:paraId="704E1ED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-0,19</w:t>
            </w:r>
          </w:p>
        </w:tc>
        <w:tc>
          <w:tcPr>
            <w:tcW w:w="496" w:type="pct"/>
            <w:tcBorders>
              <w:top w:val="nil"/>
              <w:left w:val="nil"/>
              <w:bottom w:val="nil"/>
              <w:right w:val="nil"/>
            </w:tcBorders>
            <w:shd w:val="clear" w:color="auto" w:fill="auto"/>
            <w:noWrap/>
            <w:vAlign w:val="center"/>
            <w:hideMark/>
          </w:tcPr>
          <w:p w14:paraId="000140A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-0,09</w:t>
            </w:r>
          </w:p>
        </w:tc>
        <w:tc>
          <w:tcPr>
            <w:tcW w:w="496" w:type="pct"/>
            <w:tcBorders>
              <w:top w:val="nil"/>
              <w:left w:val="nil"/>
              <w:bottom w:val="nil"/>
              <w:right w:val="nil"/>
            </w:tcBorders>
            <w:shd w:val="clear" w:color="auto" w:fill="auto"/>
            <w:noWrap/>
            <w:vAlign w:val="center"/>
            <w:hideMark/>
          </w:tcPr>
          <w:p w14:paraId="4B1ACCF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0,01</w:t>
            </w:r>
          </w:p>
        </w:tc>
        <w:tc>
          <w:tcPr>
            <w:tcW w:w="496" w:type="pct"/>
            <w:tcBorders>
              <w:top w:val="nil"/>
              <w:left w:val="nil"/>
              <w:bottom w:val="nil"/>
              <w:right w:val="nil"/>
            </w:tcBorders>
            <w:shd w:val="clear" w:color="auto" w:fill="auto"/>
            <w:noWrap/>
            <w:vAlign w:val="center"/>
            <w:hideMark/>
          </w:tcPr>
          <w:p w14:paraId="5E37033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0,49</w:t>
            </w:r>
          </w:p>
        </w:tc>
        <w:tc>
          <w:tcPr>
            <w:tcW w:w="496" w:type="pct"/>
            <w:tcBorders>
              <w:top w:val="nil"/>
              <w:left w:val="nil"/>
              <w:bottom w:val="nil"/>
              <w:right w:val="nil"/>
            </w:tcBorders>
            <w:shd w:val="clear" w:color="auto" w:fill="auto"/>
            <w:noWrap/>
            <w:vAlign w:val="center"/>
            <w:hideMark/>
          </w:tcPr>
          <w:p w14:paraId="7F824B1C"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0,89</w:t>
            </w:r>
          </w:p>
        </w:tc>
        <w:tc>
          <w:tcPr>
            <w:tcW w:w="496" w:type="pct"/>
            <w:tcBorders>
              <w:top w:val="nil"/>
              <w:left w:val="nil"/>
              <w:bottom w:val="nil"/>
              <w:right w:val="nil"/>
            </w:tcBorders>
            <w:shd w:val="clear" w:color="auto" w:fill="auto"/>
            <w:noWrap/>
            <w:vAlign w:val="center"/>
            <w:hideMark/>
          </w:tcPr>
          <w:p w14:paraId="448868F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-0,63</w:t>
            </w:r>
          </w:p>
        </w:tc>
      </w:tr>
      <w:tr w:rsidR="007E705E" w:rsidRPr="007E705E" w14:paraId="3DC72DDC" w14:textId="77777777" w:rsidTr="007E705E">
        <w:trPr>
          <w:trHeight w:val="288"/>
        </w:trPr>
        <w:tc>
          <w:tcPr>
            <w:tcW w:w="541" w:type="pct"/>
            <w:tcBorders>
              <w:top w:val="nil"/>
              <w:left w:val="nil"/>
              <w:bottom w:val="nil"/>
              <w:right w:val="nil"/>
            </w:tcBorders>
            <w:shd w:val="clear" w:color="auto" w:fill="auto"/>
            <w:vAlign w:val="center"/>
            <w:hideMark/>
          </w:tcPr>
          <w:p w14:paraId="187DFD5E"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14</w:t>
            </w:r>
          </w:p>
        </w:tc>
        <w:tc>
          <w:tcPr>
            <w:tcW w:w="495" w:type="pct"/>
            <w:tcBorders>
              <w:top w:val="nil"/>
              <w:left w:val="nil"/>
              <w:bottom w:val="nil"/>
              <w:right w:val="nil"/>
            </w:tcBorders>
            <w:shd w:val="clear" w:color="auto" w:fill="auto"/>
            <w:noWrap/>
            <w:vAlign w:val="center"/>
            <w:hideMark/>
          </w:tcPr>
          <w:p w14:paraId="346DC5A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0,35</w:t>
            </w:r>
          </w:p>
        </w:tc>
        <w:tc>
          <w:tcPr>
            <w:tcW w:w="495" w:type="pct"/>
            <w:tcBorders>
              <w:top w:val="nil"/>
              <w:left w:val="nil"/>
              <w:bottom w:val="nil"/>
              <w:right w:val="nil"/>
            </w:tcBorders>
            <w:shd w:val="clear" w:color="auto" w:fill="auto"/>
            <w:noWrap/>
            <w:vAlign w:val="center"/>
            <w:hideMark/>
          </w:tcPr>
          <w:p w14:paraId="724494F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-0,48</w:t>
            </w:r>
          </w:p>
        </w:tc>
        <w:tc>
          <w:tcPr>
            <w:tcW w:w="496" w:type="pct"/>
            <w:tcBorders>
              <w:top w:val="nil"/>
              <w:left w:val="nil"/>
              <w:bottom w:val="nil"/>
              <w:right w:val="nil"/>
            </w:tcBorders>
            <w:shd w:val="clear" w:color="auto" w:fill="auto"/>
            <w:noWrap/>
            <w:vAlign w:val="center"/>
            <w:hideMark/>
          </w:tcPr>
          <w:p w14:paraId="4C12FCB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-0,22</w:t>
            </w:r>
          </w:p>
        </w:tc>
        <w:tc>
          <w:tcPr>
            <w:tcW w:w="496" w:type="pct"/>
            <w:tcBorders>
              <w:top w:val="nil"/>
              <w:left w:val="nil"/>
              <w:bottom w:val="nil"/>
              <w:right w:val="nil"/>
            </w:tcBorders>
            <w:shd w:val="clear" w:color="auto" w:fill="auto"/>
            <w:noWrap/>
            <w:vAlign w:val="center"/>
            <w:hideMark/>
          </w:tcPr>
          <w:p w14:paraId="0F764C4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-0,19</w:t>
            </w:r>
          </w:p>
        </w:tc>
        <w:tc>
          <w:tcPr>
            <w:tcW w:w="496" w:type="pct"/>
            <w:tcBorders>
              <w:top w:val="nil"/>
              <w:left w:val="nil"/>
              <w:bottom w:val="nil"/>
              <w:right w:val="nil"/>
            </w:tcBorders>
            <w:shd w:val="clear" w:color="auto" w:fill="auto"/>
            <w:noWrap/>
            <w:vAlign w:val="center"/>
            <w:hideMark/>
          </w:tcPr>
          <w:p w14:paraId="485A12E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0,02</w:t>
            </w:r>
          </w:p>
        </w:tc>
        <w:tc>
          <w:tcPr>
            <w:tcW w:w="496" w:type="pct"/>
            <w:tcBorders>
              <w:top w:val="nil"/>
              <w:left w:val="nil"/>
              <w:bottom w:val="nil"/>
              <w:right w:val="nil"/>
            </w:tcBorders>
            <w:shd w:val="clear" w:color="auto" w:fill="auto"/>
            <w:noWrap/>
            <w:vAlign w:val="center"/>
            <w:hideMark/>
          </w:tcPr>
          <w:p w14:paraId="42949F4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3,28</w:t>
            </w:r>
          </w:p>
        </w:tc>
        <w:tc>
          <w:tcPr>
            <w:tcW w:w="496" w:type="pct"/>
            <w:tcBorders>
              <w:top w:val="nil"/>
              <w:left w:val="nil"/>
              <w:bottom w:val="nil"/>
              <w:right w:val="nil"/>
            </w:tcBorders>
            <w:shd w:val="clear" w:color="auto" w:fill="auto"/>
            <w:noWrap/>
            <w:vAlign w:val="center"/>
            <w:hideMark/>
          </w:tcPr>
          <w:p w14:paraId="5AAE714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-0,41</w:t>
            </w:r>
          </w:p>
        </w:tc>
        <w:tc>
          <w:tcPr>
            <w:tcW w:w="496" w:type="pct"/>
            <w:tcBorders>
              <w:top w:val="nil"/>
              <w:left w:val="nil"/>
              <w:bottom w:val="nil"/>
              <w:right w:val="nil"/>
            </w:tcBorders>
            <w:shd w:val="clear" w:color="auto" w:fill="auto"/>
            <w:noWrap/>
            <w:vAlign w:val="center"/>
            <w:hideMark/>
          </w:tcPr>
          <w:p w14:paraId="713D9E5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0,27</w:t>
            </w:r>
          </w:p>
        </w:tc>
        <w:tc>
          <w:tcPr>
            <w:tcW w:w="496" w:type="pct"/>
            <w:tcBorders>
              <w:top w:val="nil"/>
              <w:left w:val="nil"/>
              <w:bottom w:val="nil"/>
              <w:right w:val="nil"/>
            </w:tcBorders>
            <w:shd w:val="clear" w:color="auto" w:fill="auto"/>
            <w:noWrap/>
            <w:vAlign w:val="center"/>
            <w:hideMark/>
          </w:tcPr>
          <w:p w14:paraId="63F15E9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-0,22</w:t>
            </w:r>
          </w:p>
        </w:tc>
      </w:tr>
      <w:tr w:rsidR="007E705E" w:rsidRPr="007E705E" w14:paraId="45B5FEB4" w14:textId="77777777" w:rsidTr="007E705E">
        <w:trPr>
          <w:trHeight w:val="288"/>
        </w:trPr>
        <w:tc>
          <w:tcPr>
            <w:tcW w:w="541" w:type="pct"/>
            <w:tcBorders>
              <w:top w:val="nil"/>
              <w:left w:val="nil"/>
              <w:bottom w:val="nil"/>
              <w:right w:val="nil"/>
            </w:tcBorders>
            <w:shd w:val="clear" w:color="auto" w:fill="auto"/>
            <w:vAlign w:val="center"/>
            <w:hideMark/>
          </w:tcPr>
          <w:p w14:paraId="1D372AB0"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15</w:t>
            </w:r>
          </w:p>
        </w:tc>
        <w:tc>
          <w:tcPr>
            <w:tcW w:w="495" w:type="pct"/>
            <w:tcBorders>
              <w:top w:val="nil"/>
              <w:left w:val="nil"/>
              <w:bottom w:val="nil"/>
              <w:right w:val="nil"/>
            </w:tcBorders>
            <w:shd w:val="clear" w:color="auto" w:fill="auto"/>
            <w:noWrap/>
            <w:vAlign w:val="center"/>
            <w:hideMark/>
          </w:tcPr>
          <w:p w14:paraId="686D6CA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0,64</w:t>
            </w:r>
          </w:p>
        </w:tc>
        <w:tc>
          <w:tcPr>
            <w:tcW w:w="495" w:type="pct"/>
            <w:tcBorders>
              <w:top w:val="nil"/>
              <w:left w:val="nil"/>
              <w:bottom w:val="nil"/>
              <w:right w:val="nil"/>
            </w:tcBorders>
            <w:shd w:val="clear" w:color="auto" w:fill="auto"/>
            <w:noWrap/>
            <w:vAlign w:val="center"/>
            <w:hideMark/>
          </w:tcPr>
          <w:p w14:paraId="48EDAD1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0,09</w:t>
            </w:r>
          </w:p>
        </w:tc>
        <w:tc>
          <w:tcPr>
            <w:tcW w:w="496" w:type="pct"/>
            <w:tcBorders>
              <w:top w:val="nil"/>
              <w:left w:val="nil"/>
              <w:bottom w:val="nil"/>
              <w:right w:val="nil"/>
            </w:tcBorders>
            <w:shd w:val="clear" w:color="auto" w:fill="auto"/>
            <w:noWrap/>
            <w:vAlign w:val="center"/>
            <w:hideMark/>
          </w:tcPr>
          <w:p w14:paraId="6116193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-0,13</w:t>
            </w:r>
          </w:p>
        </w:tc>
        <w:tc>
          <w:tcPr>
            <w:tcW w:w="496" w:type="pct"/>
            <w:tcBorders>
              <w:top w:val="nil"/>
              <w:left w:val="nil"/>
              <w:bottom w:val="nil"/>
              <w:right w:val="nil"/>
            </w:tcBorders>
            <w:shd w:val="clear" w:color="auto" w:fill="auto"/>
            <w:noWrap/>
            <w:vAlign w:val="center"/>
            <w:hideMark/>
          </w:tcPr>
          <w:p w14:paraId="27D1D58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-0,05</w:t>
            </w:r>
          </w:p>
        </w:tc>
        <w:tc>
          <w:tcPr>
            <w:tcW w:w="496" w:type="pct"/>
            <w:tcBorders>
              <w:top w:val="nil"/>
              <w:left w:val="nil"/>
              <w:bottom w:val="nil"/>
              <w:right w:val="nil"/>
            </w:tcBorders>
            <w:shd w:val="clear" w:color="auto" w:fill="auto"/>
            <w:noWrap/>
            <w:vAlign w:val="center"/>
            <w:hideMark/>
          </w:tcPr>
          <w:p w14:paraId="37F97CA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-0,03</w:t>
            </w:r>
          </w:p>
        </w:tc>
        <w:tc>
          <w:tcPr>
            <w:tcW w:w="496" w:type="pct"/>
            <w:tcBorders>
              <w:top w:val="nil"/>
              <w:left w:val="nil"/>
              <w:bottom w:val="nil"/>
              <w:right w:val="nil"/>
            </w:tcBorders>
            <w:shd w:val="clear" w:color="auto" w:fill="auto"/>
            <w:noWrap/>
            <w:vAlign w:val="center"/>
            <w:hideMark/>
          </w:tcPr>
          <w:p w14:paraId="792EE52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0,06</w:t>
            </w:r>
          </w:p>
        </w:tc>
        <w:tc>
          <w:tcPr>
            <w:tcW w:w="496" w:type="pct"/>
            <w:tcBorders>
              <w:top w:val="nil"/>
              <w:left w:val="nil"/>
              <w:bottom w:val="nil"/>
              <w:right w:val="nil"/>
            </w:tcBorders>
            <w:shd w:val="clear" w:color="auto" w:fill="auto"/>
            <w:noWrap/>
            <w:vAlign w:val="center"/>
            <w:hideMark/>
          </w:tcPr>
          <w:p w14:paraId="17192F7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-0,04</w:t>
            </w:r>
          </w:p>
        </w:tc>
        <w:tc>
          <w:tcPr>
            <w:tcW w:w="496" w:type="pct"/>
            <w:tcBorders>
              <w:top w:val="nil"/>
              <w:left w:val="nil"/>
              <w:bottom w:val="nil"/>
              <w:right w:val="nil"/>
            </w:tcBorders>
            <w:shd w:val="clear" w:color="auto" w:fill="auto"/>
            <w:noWrap/>
            <w:vAlign w:val="center"/>
            <w:hideMark/>
          </w:tcPr>
          <w:p w14:paraId="3C3F4B5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0,05</w:t>
            </w:r>
          </w:p>
        </w:tc>
        <w:tc>
          <w:tcPr>
            <w:tcW w:w="496" w:type="pct"/>
            <w:tcBorders>
              <w:top w:val="nil"/>
              <w:left w:val="nil"/>
              <w:bottom w:val="nil"/>
              <w:right w:val="nil"/>
            </w:tcBorders>
            <w:shd w:val="clear" w:color="auto" w:fill="auto"/>
            <w:noWrap/>
            <w:vAlign w:val="center"/>
            <w:hideMark/>
          </w:tcPr>
          <w:p w14:paraId="633A1149"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-0,42</w:t>
            </w:r>
          </w:p>
        </w:tc>
      </w:tr>
      <w:tr w:rsidR="007E705E" w:rsidRPr="007E705E" w14:paraId="4AE3DB76" w14:textId="77777777" w:rsidTr="007E705E">
        <w:trPr>
          <w:trHeight w:val="288"/>
        </w:trPr>
        <w:tc>
          <w:tcPr>
            <w:tcW w:w="541" w:type="pct"/>
            <w:tcBorders>
              <w:top w:val="nil"/>
              <w:left w:val="nil"/>
              <w:bottom w:val="nil"/>
              <w:right w:val="nil"/>
            </w:tcBorders>
            <w:shd w:val="clear" w:color="auto" w:fill="auto"/>
            <w:vAlign w:val="center"/>
            <w:hideMark/>
          </w:tcPr>
          <w:p w14:paraId="71F9096B"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16</w:t>
            </w:r>
          </w:p>
        </w:tc>
        <w:tc>
          <w:tcPr>
            <w:tcW w:w="495" w:type="pct"/>
            <w:tcBorders>
              <w:top w:val="nil"/>
              <w:left w:val="nil"/>
              <w:bottom w:val="nil"/>
              <w:right w:val="nil"/>
            </w:tcBorders>
            <w:shd w:val="clear" w:color="auto" w:fill="auto"/>
            <w:noWrap/>
            <w:vAlign w:val="center"/>
            <w:hideMark/>
          </w:tcPr>
          <w:p w14:paraId="79EB396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-0,05</w:t>
            </w:r>
          </w:p>
        </w:tc>
        <w:tc>
          <w:tcPr>
            <w:tcW w:w="495" w:type="pct"/>
            <w:tcBorders>
              <w:top w:val="nil"/>
              <w:left w:val="nil"/>
              <w:bottom w:val="nil"/>
              <w:right w:val="nil"/>
            </w:tcBorders>
            <w:shd w:val="clear" w:color="auto" w:fill="auto"/>
            <w:noWrap/>
            <w:vAlign w:val="center"/>
            <w:hideMark/>
          </w:tcPr>
          <w:p w14:paraId="5005A45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-0,11</w:t>
            </w:r>
          </w:p>
        </w:tc>
        <w:tc>
          <w:tcPr>
            <w:tcW w:w="496" w:type="pct"/>
            <w:tcBorders>
              <w:top w:val="nil"/>
              <w:left w:val="nil"/>
              <w:bottom w:val="nil"/>
              <w:right w:val="nil"/>
            </w:tcBorders>
            <w:shd w:val="clear" w:color="auto" w:fill="auto"/>
            <w:noWrap/>
            <w:vAlign w:val="center"/>
            <w:hideMark/>
          </w:tcPr>
          <w:p w14:paraId="037E96E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-0,16</w:t>
            </w:r>
          </w:p>
        </w:tc>
        <w:tc>
          <w:tcPr>
            <w:tcW w:w="496" w:type="pct"/>
            <w:tcBorders>
              <w:top w:val="nil"/>
              <w:left w:val="nil"/>
              <w:bottom w:val="nil"/>
              <w:right w:val="nil"/>
            </w:tcBorders>
            <w:shd w:val="clear" w:color="auto" w:fill="auto"/>
            <w:noWrap/>
            <w:vAlign w:val="center"/>
            <w:hideMark/>
          </w:tcPr>
          <w:p w14:paraId="2A706BC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-0,11</w:t>
            </w:r>
          </w:p>
        </w:tc>
        <w:tc>
          <w:tcPr>
            <w:tcW w:w="496" w:type="pct"/>
            <w:tcBorders>
              <w:top w:val="nil"/>
              <w:left w:val="nil"/>
              <w:bottom w:val="nil"/>
              <w:right w:val="nil"/>
            </w:tcBorders>
            <w:shd w:val="clear" w:color="auto" w:fill="auto"/>
            <w:noWrap/>
            <w:vAlign w:val="center"/>
            <w:hideMark/>
          </w:tcPr>
          <w:p w14:paraId="35E3397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0,48</w:t>
            </w:r>
          </w:p>
        </w:tc>
        <w:tc>
          <w:tcPr>
            <w:tcW w:w="496" w:type="pct"/>
            <w:tcBorders>
              <w:top w:val="nil"/>
              <w:left w:val="nil"/>
              <w:bottom w:val="nil"/>
              <w:right w:val="nil"/>
            </w:tcBorders>
            <w:shd w:val="clear" w:color="auto" w:fill="auto"/>
            <w:noWrap/>
            <w:vAlign w:val="center"/>
            <w:hideMark/>
          </w:tcPr>
          <w:p w14:paraId="692035F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w:t>
            </w:r>
          </w:p>
        </w:tc>
        <w:tc>
          <w:tcPr>
            <w:tcW w:w="496" w:type="pct"/>
            <w:tcBorders>
              <w:top w:val="nil"/>
              <w:left w:val="nil"/>
              <w:bottom w:val="nil"/>
              <w:right w:val="nil"/>
            </w:tcBorders>
            <w:shd w:val="clear" w:color="auto" w:fill="auto"/>
            <w:noWrap/>
            <w:vAlign w:val="center"/>
            <w:hideMark/>
          </w:tcPr>
          <w:p w14:paraId="13C407C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0,06</w:t>
            </w:r>
          </w:p>
        </w:tc>
        <w:tc>
          <w:tcPr>
            <w:tcW w:w="496" w:type="pct"/>
            <w:tcBorders>
              <w:top w:val="nil"/>
              <w:left w:val="nil"/>
              <w:bottom w:val="nil"/>
              <w:right w:val="nil"/>
            </w:tcBorders>
            <w:shd w:val="clear" w:color="auto" w:fill="auto"/>
            <w:noWrap/>
            <w:vAlign w:val="center"/>
            <w:hideMark/>
          </w:tcPr>
          <w:p w14:paraId="626A063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-0,01</w:t>
            </w:r>
          </w:p>
        </w:tc>
        <w:tc>
          <w:tcPr>
            <w:tcW w:w="496" w:type="pct"/>
            <w:tcBorders>
              <w:top w:val="nil"/>
              <w:left w:val="nil"/>
              <w:bottom w:val="nil"/>
              <w:right w:val="nil"/>
            </w:tcBorders>
            <w:shd w:val="clear" w:color="auto" w:fill="auto"/>
            <w:noWrap/>
            <w:vAlign w:val="center"/>
            <w:hideMark/>
          </w:tcPr>
          <w:p w14:paraId="187E934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-0,04</w:t>
            </w:r>
          </w:p>
        </w:tc>
      </w:tr>
      <w:tr w:rsidR="007E705E" w:rsidRPr="007E705E" w14:paraId="48266D8F" w14:textId="77777777" w:rsidTr="007E705E">
        <w:trPr>
          <w:trHeight w:val="288"/>
        </w:trPr>
        <w:tc>
          <w:tcPr>
            <w:tcW w:w="541" w:type="pct"/>
            <w:tcBorders>
              <w:top w:val="nil"/>
              <w:left w:val="nil"/>
              <w:bottom w:val="nil"/>
              <w:right w:val="nil"/>
            </w:tcBorders>
            <w:shd w:val="clear" w:color="auto" w:fill="auto"/>
            <w:vAlign w:val="center"/>
            <w:hideMark/>
          </w:tcPr>
          <w:p w14:paraId="22671636"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17</w:t>
            </w:r>
          </w:p>
        </w:tc>
        <w:tc>
          <w:tcPr>
            <w:tcW w:w="495" w:type="pct"/>
            <w:tcBorders>
              <w:top w:val="nil"/>
              <w:left w:val="nil"/>
              <w:bottom w:val="nil"/>
              <w:right w:val="nil"/>
            </w:tcBorders>
            <w:shd w:val="clear" w:color="auto" w:fill="auto"/>
            <w:noWrap/>
            <w:vAlign w:val="center"/>
            <w:hideMark/>
          </w:tcPr>
          <w:p w14:paraId="67CBCF03"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0,04</w:t>
            </w:r>
          </w:p>
        </w:tc>
        <w:tc>
          <w:tcPr>
            <w:tcW w:w="495" w:type="pct"/>
            <w:tcBorders>
              <w:top w:val="nil"/>
              <w:left w:val="nil"/>
              <w:bottom w:val="nil"/>
              <w:right w:val="nil"/>
            </w:tcBorders>
            <w:shd w:val="clear" w:color="auto" w:fill="auto"/>
            <w:noWrap/>
            <w:vAlign w:val="center"/>
            <w:hideMark/>
          </w:tcPr>
          <w:p w14:paraId="10D1852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0,55</w:t>
            </w:r>
          </w:p>
        </w:tc>
        <w:tc>
          <w:tcPr>
            <w:tcW w:w="496" w:type="pct"/>
            <w:tcBorders>
              <w:top w:val="nil"/>
              <w:left w:val="nil"/>
              <w:bottom w:val="nil"/>
              <w:right w:val="nil"/>
            </w:tcBorders>
            <w:shd w:val="clear" w:color="auto" w:fill="auto"/>
            <w:noWrap/>
            <w:vAlign w:val="center"/>
            <w:hideMark/>
          </w:tcPr>
          <w:p w14:paraId="50EED61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-0,16</w:t>
            </w:r>
          </w:p>
        </w:tc>
        <w:tc>
          <w:tcPr>
            <w:tcW w:w="496" w:type="pct"/>
            <w:tcBorders>
              <w:top w:val="nil"/>
              <w:left w:val="nil"/>
              <w:bottom w:val="nil"/>
              <w:right w:val="nil"/>
            </w:tcBorders>
            <w:shd w:val="clear" w:color="auto" w:fill="auto"/>
            <w:noWrap/>
            <w:vAlign w:val="center"/>
            <w:hideMark/>
          </w:tcPr>
          <w:p w14:paraId="7597A916"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-0,06</w:t>
            </w:r>
          </w:p>
        </w:tc>
        <w:tc>
          <w:tcPr>
            <w:tcW w:w="496" w:type="pct"/>
            <w:tcBorders>
              <w:top w:val="nil"/>
              <w:left w:val="nil"/>
              <w:bottom w:val="nil"/>
              <w:right w:val="nil"/>
            </w:tcBorders>
            <w:shd w:val="clear" w:color="auto" w:fill="auto"/>
            <w:noWrap/>
            <w:vAlign w:val="center"/>
            <w:hideMark/>
          </w:tcPr>
          <w:p w14:paraId="563E9971"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-0,27</w:t>
            </w:r>
          </w:p>
        </w:tc>
        <w:tc>
          <w:tcPr>
            <w:tcW w:w="496" w:type="pct"/>
            <w:tcBorders>
              <w:top w:val="nil"/>
              <w:left w:val="nil"/>
              <w:bottom w:val="nil"/>
              <w:right w:val="nil"/>
            </w:tcBorders>
            <w:shd w:val="clear" w:color="auto" w:fill="auto"/>
            <w:noWrap/>
            <w:vAlign w:val="center"/>
            <w:hideMark/>
          </w:tcPr>
          <w:p w14:paraId="3A9165FC"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-0,26</w:t>
            </w:r>
          </w:p>
        </w:tc>
        <w:tc>
          <w:tcPr>
            <w:tcW w:w="496" w:type="pct"/>
            <w:tcBorders>
              <w:top w:val="nil"/>
              <w:left w:val="nil"/>
              <w:bottom w:val="nil"/>
              <w:right w:val="nil"/>
            </w:tcBorders>
            <w:shd w:val="clear" w:color="auto" w:fill="auto"/>
            <w:noWrap/>
            <w:vAlign w:val="center"/>
            <w:hideMark/>
          </w:tcPr>
          <w:p w14:paraId="7702378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0,15</w:t>
            </w:r>
          </w:p>
        </w:tc>
        <w:tc>
          <w:tcPr>
            <w:tcW w:w="496" w:type="pct"/>
            <w:tcBorders>
              <w:top w:val="nil"/>
              <w:left w:val="nil"/>
              <w:bottom w:val="nil"/>
              <w:right w:val="nil"/>
            </w:tcBorders>
            <w:shd w:val="clear" w:color="auto" w:fill="auto"/>
            <w:noWrap/>
            <w:vAlign w:val="center"/>
            <w:hideMark/>
          </w:tcPr>
          <w:p w14:paraId="2B19451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-0,02</w:t>
            </w:r>
          </w:p>
        </w:tc>
        <w:tc>
          <w:tcPr>
            <w:tcW w:w="496" w:type="pct"/>
            <w:tcBorders>
              <w:top w:val="nil"/>
              <w:left w:val="nil"/>
              <w:bottom w:val="nil"/>
              <w:right w:val="nil"/>
            </w:tcBorders>
            <w:shd w:val="clear" w:color="auto" w:fill="auto"/>
            <w:noWrap/>
            <w:vAlign w:val="center"/>
            <w:hideMark/>
          </w:tcPr>
          <w:p w14:paraId="037C070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w:t>
            </w:r>
          </w:p>
        </w:tc>
      </w:tr>
      <w:tr w:rsidR="007E705E" w:rsidRPr="007E705E" w14:paraId="45A9B989" w14:textId="77777777" w:rsidTr="007E705E">
        <w:trPr>
          <w:trHeight w:val="288"/>
        </w:trPr>
        <w:tc>
          <w:tcPr>
            <w:tcW w:w="541" w:type="pct"/>
            <w:tcBorders>
              <w:top w:val="nil"/>
              <w:left w:val="nil"/>
              <w:bottom w:val="nil"/>
              <w:right w:val="nil"/>
            </w:tcBorders>
            <w:shd w:val="clear" w:color="auto" w:fill="auto"/>
            <w:vAlign w:val="center"/>
            <w:hideMark/>
          </w:tcPr>
          <w:p w14:paraId="0545F4DF"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18</w:t>
            </w:r>
          </w:p>
        </w:tc>
        <w:tc>
          <w:tcPr>
            <w:tcW w:w="495" w:type="pct"/>
            <w:tcBorders>
              <w:top w:val="nil"/>
              <w:left w:val="nil"/>
              <w:bottom w:val="nil"/>
              <w:right w:val="nil"/>
            </w:tcBorders>
            <w:shd w:val="clear" w:color="auto" w:fill="auto"/>
            <w:noWrap/>
            <w:vAlign w:val="center"/>
            <w:hideMark/>
          </w:tcPr>
          <w:p w14:paraId="67CFD465"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-0,9</w:t>
            </w:r>
          </w:p>
        </w:tc>
        <w:tc>
          <w:tcPr>
            <w:tcW w:w="495" w:type="pct"/>
            <w:tcBorders>
              <w:top w:val="nil"/>
              <w:left w:val="nil"/>
              <w:bottom w:val="nil"/>
              <w:right w:val="nil"/>
            </w:tcBorders>
            <w:shd w:val="clear" w:color="auto" w:fill="auto"/>
            <w:noWrap/>
            <w:vAlign w:val="center"/>
            <w:hideMark/>
          </w:tcPr>
          <w:p w14:paraId="2B14082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-0,43</w:t>
            </w:r>
          </w:p>
        </w:tc>
        <w:tc>
          <w:tcPr>
            <w:tcW w:w="496" w:type="pct"/>
            <w:tcBorders>
              <w:top w:val="nil"/>
              <w:left w:val="nil"/>
              <w:bottom w:val="nil"/>
              <w:right w:val="nil"/>
            </w:tcBorders>
            <w:shd w:val="clear" w:color="auto" w:fill="auto"/>
            <w:noWrap/>
            <w:vAlign w:val="center"/>
            <w:hideMark/>
          </w:tcPr>
          <w:p w14:paraId="3A8A65E3"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w:t>
            </w:r>
          </w:p>
        </w:tc>
        <w:tc>
          <w:tcPr>
            <w:tcW w:w="496" w:type="pct"/>
            <w:tcBorders>
              <w:top w:val="nil"/>
              <w:left w:val="nil"/>
              <w:bottom w:val="nil"/>
              <w:right w:val="nil"/>
            </w:tcBorders>
            <w:shd w:val="clear" w:color="auto" w:fill="auto"/>
            <w:noWrap/>
            <w:vAlign w:val="center"/>
            <w:hideMark/>
          </w:tcPr>
          <w:p w14:paraId="6A73908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-0,21</w:t>
            </w:r>
          </w:p>
        </w:tc>
        <w:tc>
          <w:tcPr>
            <w:tcW w:w="496" w:type="pct"/>
            <w:tcBorders>
              <w:top w:val="nil"/>
              <w:left w:val="nil"/>
              <w:bottom w:val="nil"/>
              <w:right w:val="nil"/>
            </w:tcBorders>
            <w:shd w:val="clear" w:color="auto" w:fill="auto"/>
            <w:noWrap/>
            <w:vAlign w:val="center"/>
            <w:hideMark/>
          </w:tcPr>
          <w:p w14:paraId="6E7B72F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w:t>
            </w:r>
          </w:p>
        </w:tc>
        <w:tc>
          <w:tcPr>
            <w:tcW w:w="496" w:type="pct"/>
            <w:tcBorders>
              <w:top w:val="nil"/>
              <w:left w:val="nil"/>
              <w:bottom w:val="nil"/>
              <w:right w:val="nil"/>
            </w:tcBorders>
            <w:shd w:val="clear" w:color="auto" w:fill="auto"/>
            <w:noWrap/>
            <w:vAlign w:val="center"/>
            <w:hideMark/>
          </w:tcPr>
          <w:p w14:paraId="10F5455F"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-0,36</w:t>
            </w:r>
          </w:p>
        </w:tc>
        <w:tc>
          <w:tcPr>
            <w:tcW w:w="496" w:type="pct"/>
            <w:tcBorders>
              <w:top w:val="nil"/>
              <w:left w:val="nil"/>
              <w:bottom w:val="nil"/>
              <w:right w:val="nil"/>
            </w:tcBorders>
            <w:shd w:val="clear" w:color="auto" w:fill="auto"/>
            <w:noWrap/>
            <w:vAlign w:val="center"/>
            <w:hideMark/>
          </w:tcPr>
          <w:p w14:paraId="2C72FB7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-0,63</w:t>
            </w:r>
          </w:p>
        </w:tc>
        <w:tc>
          <w:tcPr>
            <w:tcW w:w="496" w:type="pct"/>
            <w:tcBorders>
              <w:top w:val="nil"/>
              <w:left w:val="nil"/>
              <w:bottom w:val="nil"/>
              <w:right w:val="nil"/>
            </w:tcBorders>
            <w:shd w:val="clear" w:color="auto" w:fill="auto"/>
            <w:noWrap/>
            <w:vAlign w:val="center"/>
            <w:hideMark/>
          </w:tcPr>
          <w:p w14:paraId="5225052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-0,72</w:t>
            </w:r>
          </w:p>
        </w:tc>
        <w:tc>
          <w:tcPr>
            <w:tcW w:w="496" w:type="pct"/>
            <w:tcBorders>
              <w:top w:val="nil"/>
              <w:left w:val="nil"/>
              <w:bottom w:val="nil"/>
              <w:right w:val="nil"/>
            </w:tcBorders>
            <w:shd w:val="clear" w:color="auto" w:fill="auto"/>
            <w:noWrap/>
            <w:vAlign w:val="center"/>
            <w:hideMark/>
          </w:tcPr>
          <w:p w14:paraId="7143809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1,33</w:t>
            </w:r>
          </w:p>
        </w:tc>
      </w:tr>
      <w:tr w:rsidR="007E705E" w:rsidRPr="007E705E" w14:paraId="517E4F18" w14:textId="77777777" w:rsidTr="007E705E">
        <w:trPr>
          <w:trHeight w:val="288"/>
        </w:trPr>
        <w:tc>
          <w:tcPr>
            <w:tcW w:w="541" w:type="pct"/>
            <w:tcBorders>
              <w:top w:val="nil"/>
              <w:left w:val="nil"/>
              <w:bottom w:val="nil"/>
              <w:right w:val="nil"/>
            </w:tcBorders>
            <w:shd w:val="clear" w:color="auto" w:fill="auto"/>
            <w:vAlign w:val="center"/>
            <w:hideMark/>
          </w:tcPr>
          <w:p w14:paraId="1B3FA718"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19</w:t>
            </w:r>
          </w:p>
        </w:tc>
        <w:tc>
          <w:tcPr>
            <w:tcW w:w="495" w:type="pct"/>
            <w:tcBorders>
              <w:top w:val="nil"/>
              <w:left w:val="nil"/>
              <w:bottom w:val="nil"/>
              <w:right w:val="nil"/>
            </w:tcBorders>
            <w:shd w:val="clear" w:color="auto" w:fill="auto"/>
            <w:noWrap/>
            <w:vAlign w:val="center"/>
            <w:hideMark/>
          </w:tcPr>
          <w:p w14:paraId="73FA13E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-0,61</w:t>
            </w:r>
          </w:p>
        </w:tc>
        <w:tc>
          <w:tcPr>
            <w:tcW w:w="495" w:type="pct"/>
            <w:tcBorders>
              <w:top w:val="nil"/>
              <w:left w:val="nil"/>
              <w:bottom w:val="nil"/>
              <w:right w:val="nil"/>
            </w:tcBorders>
            <w:shd w:val="clear" w:color="auto" w:fill="auto"/>
            <w:noWrap/>
            <w:vAlign w:val="center"/>
            <w:hideMark/>
          </w:tcPr>
          <w:p w14:paraId="5BD9F94D"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-0,34</w:t>
            </w:r>
          </w:p>
        </w:tc>
        <w:tc>
          <w:tcPr>
            <w:tcW w:w="496" w:type="pct"/>
            <w:tcBorders>
              <w:top w:val="nil"/>
              <w:left w:val="nil"/>
              <w:bottom w:val="nil"/>
              <w:right w:val="nil"/>
            </w:tcBorders>
            <w:shd w:val="clear" w:color="auto" w:fill="auto"/>
            <w:noWrap/>
            <w:vAlign w:val="center"/>
            <w:hideMark/>
          </w:tcPr>
          <w:p w14:paraId="543DF954"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-0,22</w:t>
            </w:r>
          </w:p>
        </w:tc>
        <w:tc>
          <w:tcPr>
            <w:tcW w:w="496" w:type="pct"/>
            <w:tcBorders>
              <w:top w:val="nil"/>
              <w:left w:val="nil"/>
              <w:bottom w:val="nil"/>
              <w:right w:val="nil"/>
            </w:tcBorders>
            <w:shd w:val="clear" w:color="auto" w:fill="auto"/>
            <w:noWrap/>
            <w:vAlign w:val="center"/>
            <w:hideMark/>
          </w:tcPr>
          <w:p w14:paraId="6892FD1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-0,16</w:t>
            </w:r>
          </w:p>
        </w:tc>
        <w:tc>
          <w:tcPr>
            <w:tcW w:w="496" w:type="pct"/>
            <w:tcBorders>
              <w:top w:val="nil"/>
              <w:left w:val="nil"/>
              <w:bottom w:val="nil"/>
              <w:right w:val="nil"/>
            </w:tcBorders>
            <w:shd w:val="clear" w:color="auto" w:fill="auto"/>
            <w:noWrap/>
            <w:vAlign w:val="center"/>
            <w:hideMark/>
          </w:tcPr>
          <w:p w14:paraId="6A04DCB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-0,31</w:t>
            </w:r>
          </w:p>
        </w:tc>
        <w:tc>
          <w:tcPr>
            <w:tcW w:w="496" w:type="pct"/>
            <w:tcBorders>
              <w:top w:val="nil"/>
              <w:left w:val="nil"/>
              <w:bottom w:val="nil"/>
              <w:right w:val="nil"/>
            </w:tcBorders>
            <w:shd w:val="clear" w:color="auto" w:fill="auto"/>
            <w:noWrap/>
            <w:vAlign w:val="center"/>
            <w:hideMark/>
          </w:tcPr>
          <w:p w14:paraId="5794EFAA"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-0,29</w:t>
            </w:r>
          </w:p>
        </w:tc>
        <w:tc>
          <w:tcPr>
            <w:tcW w:w="496" w:type="pct"/>
            <w:tcBorders>
              <w:top w:val="nil"/>
              <w:left w:val="nil"/>
              <w:bottom w:val="nil"/>
              <w:right w:val="nil"/>
            </w:tcBorders>
            <w:shd w:val="clear" w:color="auto" w:fill="auto"/>
            <w:noWrap/>
            <w:vAlign w:val="center"/>
            <w:hideMark/>
          </w:tcPr>
          <w:p w14:paraId="07BB1EA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-0,51</w:t>
            </w:r>
          </w:p>
        </w:tc>
        <w:tc>
          <w:tcPr>
            <w:tcW w:w="496" w:type="pct"/>
            <w:tcBorders>
              <w:top w:val="nil"/>
              <w:left w:val="nil"/>
              <w:bottom w:val="nil"/>
              <w:right w:val="nil"/>
            </w:tcBorders>
            <w:shd w:val="clear" w:color="auto" w:fill="auto"/>
            <w:noWrap/>
            <w:vAlign w:val="center"/>
            <w:hideMark/>
          </w:tcPr>
          <w:p w14:paraId="3093DAF7"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-0,44</w:t>
            </w:r>
          </w:p>
        </w:tc>
        <w:tc>
          <w:tcPr>
            <w:tcW w:w="496" w:type="pct"/>
            <w:tcBorders>
              <w:top w:val="nil"/>
              <w:left w:val="nil"/>
              <w:bottom w:val="nil"/>
              <w:right w:val="nil"/>
            </w:tcBorders>
            <w:shd w:val="clear" w:color="auto" w:fill="auto"/>
            <w:noWrap/>
            <w:vAlign w:val="center"/>
            <w:hideMark/>
          </w:tcPr>
          <w:p w14:paraId="3343F79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0,9</w:t>
            </w:r>
          </w:p>
        </w:tc>
      </w:tr>
      <w:tr w:rsidR="007E705E" w:rsidRPr="007E705E" w14:paraId="3B14DDD9" w14:textId="77777777" w:rsidTr="007E705E">
        <w:trPr>
          <w:trHeight w:val="300"/>
        </w:trPr>
        <w:tc>
          <w:tcPr>
            <w:tcW w:w="541" w:type="pct"/>
            <w:tcBorders>
              <w:top w:val="nil"/>
              <w:left w:val="nil"/>
              <w:bottom w:val="single" w:sz="8" w:space="0" w:color="auto"/>
              <w:right w:val="nil"/>
            </w:tcBorders>
            <w:shd w:val="clear" w:color="auto" w:fill="auto"/>
            <w:vAlign w:val="center"/>
            <w:hideMark/>
          </w:tcPr>
          <w:p w14:paraId="75AD337E" w14:textId="77777777" w:rsidR="007E705E" w:rsidRPr="007E705E" w:rsidRDefault="007E705E" w:rsidP="007E705E">
            <w:pPr>
              <w:keepNext/>
              <w:spacing w:after="0" w:line="240" w:lineRule="auto"/>
              <w:ind w:right="-113"/>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20</w:t>
            </w:r>
          </w:p>
        </w:tc>
        <w:tc>
          <w:tcPr>
            <w:tcW w:w="495" w:type="pct"/>
            <w:tcBorders>
              <w:top w:val="nil"/>
              <w:left w:val="nil"/>
              <w:bottom w:val="single" w:sz="8" w:space="0" w:color="auto"/>
              <w:right w:val="nil"/>
            </w:tcBorders>
            <w:shd w:val="clear" w:color="auto" w:fill="auto"/>
            <w:noWrap/>
            <w:vAlign w:val="center"/>
            <w:hideMark/>
          </w:tcPr>
          <w:p w14:paraId="109D589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-0,2</w:t>
            </w:r>
          </w:p>
        </w:tc>
        <w:tc>
          <w:tcPr>
            <w:tcW w:w="495" w:type="pct"/>
            <w:tcBorders>
              <w:top w:val="nil"/>
              <w:left w:val="nil"/>
              <w:bottom w:val="single" w:sz="8" w:space="0" w:color="auto"/>
              <w:right w:val="nil"/>
            </w:tcBorders>
            <w:shd w:val="clear" w:color="auto" w:fill="auto"/>
            <w:noWrap/>
            <w:vAlign w:val="center"/>
            <w:hideMark/>
          </w:tcPr>
          <w:p w14:paraId="7F5B8CD0"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-0,35</w:t>
            </w:r>
          </w:p>
        </w:tc>
        <w:tc>
          <w:tcPr>
            <w:tcW w:w="496" w:type="pct"/>
            <w:tcBorders>
              <w:top w:val="nil"/>
              <w:left w:val="nil"/>
              <w:bottom w:val="single" w:sz="8" w:space="0" w:color="auto"/>
              <w:right w:val="nil"/>
            </w:tcBorders>
            <w:shd w:val="clear" w:color="auto" w:fill="auto"/>
            <w:noWrap/>
            <w:vAlign w:val="center"/>
            <w:hideMark/>
          </w:tcPr>
          <w:p w14:paraId="7635F51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-0,19</w:t>
            </w:r>
          </w:p>
        </w:tc>
        <w:tc>
          <w:tcPr>
            <w:tcW w:w="496" w:type="pct"/>
            <w:tcBorders>
              <w:top w:val="nil"/>
              <w:left w:val="nil"/>
              <w:bottom w:val="single" w:sz="8" w:space="0" w:color="auto"/>
              <w:right w:val="nil"/>
            </w:tcBorders>
            <w:shd w:val="clear" w:color="auto" w:fill="auto"/>
            <w:noWrap/>
            <w:vAlign w:val="center"/>
            <w:hideMark/>
          </w:tcPr>
          <w:p w14:paraId="0F08FC3B"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-0,13</w:t>
            </w:r>
          </w:p>
        </w:tc>
        <w:tc>
          <w:tcPr>
            <w:tcW w:w="496" w:type="pct"/>
            <w:tcBorders>
              <w:top w:val="nil"/>
              <w:left w:val="nil"/>
              <w:bottom w:val="single" w:sz="8" w:space="0" w:color="auto"/>
              <w:right w:val="nil"/>
            </w:tcBorders>
            <w:shd w:val="clear" w:color="auto" w:fill="auto"/>
            <w:noWrap/>
            <w:vAlign w:val="center"/>
            <w:hideMark/>
          </w:tcPr>
          <w:p w14:paraId="66C11ACE"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-0,1</w:t>
            </w:r>
          </w:p>
        </w:tc>
        <w:tc>
          <w:tcPr>
            <w:tcW w:w="496" w:type="pct"/>
            <w:tcBorders>
              <w:top w:val="nil"/>
              <w:left w:val="nil"/>
              <w:bottom w:val="single" w:sz="8" w:space="0" w:color="auto"/>
              <w:right w:val="nil"/>
            </w:tcBorders>
            <w:shd w:val="clear" w:color="auto" w:fill="auto"/>
            <w:noWrap/>
            <w:vAlign w:val="center"/>
            <w:hideMark/>
          </w:tcPr>
          <w:p w14:paraId="192E3398"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-0,06</w:t>
            </w:r>
          </w:p>
        </w:tc>
        <w:tc>
          <w:tcPr>
            <w:tcW w:w="496" w:type="pct"/>
            <w:tcBorders>
              <w:top w:val="nil"/>
              <w:left w:val="nil"/>
              <w:bottom w:val="single" w:sz="8" w:space="0" w:color="auto"/>
              <w:right w:val="nil"/>
            </w:tcBorders>
            <w:shd w:val="clear" w:color="auto" w:fill="auto"/>
            <w:noWrap/>
            <w:vAlign w:val="center"/>
            <w:hideMark/>
          </w:tcPr>
          <w:p w14:paraId="1C7E112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-0,32</w:t>
            </w:r>
          </w:p>
        </w:tc>
        <w:tc>
          <w:tcPr>
            <w:tcW w:w="496" w:type="pct"/>
            <w:tcBorders>
              <w:top w:val="nil"/>
              <w:left w:val="nil"/>
              <w:bottom w:val="single" w:sz="8" w:space="0" w:color="auto"/>
              <w:right w:val="nil"/>
            </w:tcBorders>
            <w:shd w:val="clear" w:color="auto" w:fill="auto"/>
            <w:noWrap/>
            <w:vAlign w:val="center"/>
            <w:hideMark/>
          </w:tcPr>
          <w:p w14:paraId="2B6400B2"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-0,3</w:t>
            </w:r>
          </w:p>
        </w:tc>
        <w:tc>
          <w:tcPr>
            <w:tcW w:w="496" w:type="pct"/>
            <w:tcBorders>
              <w:top w:val="nil"/>
              <w:left w:val="nil"/>
              <w:bottom w:val="single" w:sz="8" w:space="0" w:color="auto"/>
              <w:right w:val="nil"/>
            </w:tcBorders>
            <w:shd w:val="clear" w:color="auto" w:fill="auto"/>
            <w:noWrap/>
            <w:vAlign w:val="center"/>
            <w:hideMark/>
          </w:tcPr>
          <w:p w14:paraId="367B811C" w14:textId="77777777" w:rsidR="007E705E" w:rsidRPr="007E705E" w:rsidRDefault="007E705E" w:rsidP="007E705E">
            <w:pPr>
              <w:keepNext/>
              <w:spacing w:after="0" w:line="240" w:lineRule="auto"/>
              <w:jc w:val="center"/>
              <w:rPr>
                <w:rFonts w:ascii="Times New Roman" w:eastAsia="Times New Roman" w:hAnsi="Times New Roman" w:cs="Times New Roman"/>
                <w:sz w:val="24"/>
                <w:szCs w:val="24"/>
                <w:lang w:eastAsia="pt-BR"/>
              </w:rPr>
            </w:pPr>
            <w:r w:rsidRPr="007E705E">
              <w:rPr>
                <w:rFonts w:ascii="Times New Roman" w:eastAsia="Times New Roman" w:hAnsi="Times New Roman" w:cs="Times New Roman"/>
                <w:sz w:val="24"/>
                <w:szCs w:val="24"/>
                <w:lang w:eastAsia="pt-BR"/>
              </w:rPr>
              <w:t>0,5</w:t>
            </w:r>
          </w:p>
        </w:tc>
      </w:tr>
      <w:tr w:rsidR="007E705E" w:rsidRPr="00AC07D3" w14:paraId="19AE7273" w14:textId="77777777" w:rsidTr="007E705E">
        <w:trPr>
          <w:cantSplit/>
          <w:trHeight w:val="288"/>
        </w:trPr>
        <w:tc>
          <w:tcPr>
            <w:tcW w:w="541" w:type="pct"/>
            <w:tcBorders>
              <w:top w:val="nil"/>
              <w:left w:val="nil"/>
              <w:bottom w:val="nil"/>
              <w:right w:val="nil"/>
            </w:tcBorders>
            <w:shd w:val="clear" w:color="auto" w:fill="auto"/>
            <w:vAlign w:val="center"/>
            <w:hideMark/>
          </w:tcPr>
          <w:p w14:paraId="2A8F9D08"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BDF</w:t>
            </w:r>
            <w:proofErr w:type="spellEnd"/>
          </w:p>
        </w:tc>
        <w:tc>
          <w:tcPr>
            <w:tcW w:w="4459" w:type="pct"/>
            <w:gridSpan w:val="9"/>
            <w:tcBorders>
              <w:top w:val="single" w:sz="8" w:space="0" w:color="auto"/>
              <w:left w:val="nil"/>
              <w:bottom w:val="nil"/>
              <w:right w:val="nil"/>
            </w:tcBorders>
            <w:shd w:val="clear" w:color="auto" w:fill="auto"/>
            <w:vAlign w:val="center"/>
            <w:hideMark/>
          </w:tcPr>
          <w:p w14:paraId="62881585"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Atividades nas quais as inovações são amplamente dependentes de produtos dominados pelo fornecedor</w:t>
            </w:r>
          </w:p>
        </w:tc>
      </w:tr>
      <w:tr w:rsidR="007E705E" w:rsidRPr="00AC07D3" w14:paraId="3DAB6286" w14:textId="77777777" w:rsidTr="007E705E">
        <w:trPr>
          <w:cantSplit/>
          <w:trHeight w:val="288"/>
        </w:trPr>
        <w:tc>
          <w:tcPr>
            <w:tcW w:w="541" w:type="pct"/>
            <w:tcBorders>
              <w:top w:val="nil"/>
              <w:left w:val="nil"/>
              <w:bottom w:val="nil"/>
              <w:right w:val="nil"/>
            </w:tcBorders>
            <w:shd w:val="clear" w:color="auto" w:fill="auto"/>
            <w:vAlign w:val="center"/>
            <w:hideMark/>
          </w:tcPr>
          <w:p w14:paraId="5469652A"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IIE</w:t>
            </w:r>
            <w:proofErr w:type="spellEnd"/>
          </w:p>
        </w:tc>
        <w:tc>
          <w:tcPr>
            <w:tcW w:w="4459" w:type="pct"/>
            <w:gridSpan w:val="9"/>
            <w:tcBorders>
              <w:top w:val="nil"/>
              <w:left w:val="nil"/>
              <w:bottom w:val="nil"/>
              <w:right w:val="nil"/>
            </w:tcBorders>
            <w:shd w:val="clear" w:color="auto" w:fill="auto"/>
            <w:vAlign w:val="center"/>
            <w:hideMark/>
          </w:tcPr>
          <w:p w14:paraId="6A5AEFB8"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Atividades nas quais as inovações são baseadas na intensificação da escala</w:t>
            </w:r>
          </w:p>
        </w:tc>
      </w:tr>
      <w:tr w:rsidR="007E705E" w:rsidRPr="00AC07D3" w14:paraId="0320E075" w14:textId="77777777" w:rsidTr="007E705E">
        <w:trPr>
          <w:cantSplit/>
          <w:trHeight w:val="288"/>
        </w:trPr>
        <w:tc>
          <w:tcPr>
            <w:tcW w:w="541" w:type="pct"/>
            <w:tcBorders>
              <w:top w:val="nil"/>
              <w:left w:val="nil"/>
              <w:bottom w:val="nil"/>
              <w:right w:val="nil"/>
            </w:tcBorders>
            <w:shd w:val="clear" w:color="auto" w:fill="auto"/>
            <w:vAlign w:val="center"/>
            <w:hideMark/>
          </w:tcPr>
          <w:p w14:paraId="72EF921B"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IPE</w:t>
            </w:r>
            <w:proofErr w:type="spellEnd"/>
          </w:p>
        </w:tc>
        <w:tc>
          <w:tcPr>
            <w:tcW w:w="4459" w:type="pct"/>
            <w:gridSpan w:val="9"/>
            <w:tcBorders>
              <w:top w:val="nil"/>
              <w:left w:val="nil"/>
              <w:bottom w:val="nil"/>
              <w:right w:val="nil"/>
            </w:tcBorders>
            <w:shd w:val="clear" w:color="auto" w:fill="auto"/>
            <w:vAlign w:val="center"/>
            <w:hideMark/>
          </w:tcPr>
          <w:p w14:paraId="6BC5176F"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Atividades que fornecem bens industriais especializados</w:t>
            </w:r>
          </w:p>
        </w:tc>
      </w:tr>
      <w:tr w:rsidR="007E705E" w:rsidRPr="00AC07D3" w14:paraId="64C59975" w14:textId="77777777" w:rsidTr="007E705E">
        <w:trPr>
          <w:cantSplit/>
          <w:trHeight w:val="288"/>
        </w:trPr>
        <w:tc>
          <w:tcPr>
            <w:tcW w:w="541" w:type="pct"/>
            <w:tcBorders>
              <w:top w:val="nil"/>
              <w:left w:val="nil"/>
              <w:bottom w:val="nil"/>
              <w:right w:val="nil"/>
            </w:tcBorders>
            <w:shd w:val="clear" w:color="auto" w:fill="auto"/>
            <w:vAlign w:val="center"/>
            <w:hideMark/>
          </w:tcPr>
          <w:p w14:paraId="1F4FA7F8"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IBC</w:t>
            </w:r>
          </w:p>
        </w:tc>
        <w:tc>
          <w:tcPr>
            <w:tcW w:w="4459" w:type="pct"/>
            <w:gridSpan w:val="9"/>
            <w:tcBorders>
              <w:top w:val="nil"/>
              <w:left w:val="nil"/>
              <w:bottom w:val="nil"/>
              <w:right w:val="nil"/>
            </w:tcBorders>
            <w:shd w:val="clear" w:color="auto" w:fill="auto"/>
            <w:vAlign w:val="center"/>
            <w:hideMark/>
          </w:tcPr>
          <w:p w14:paraId="4DEBA92A"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Atividades nas quais as inovações são baseadas, sobretudo, na ciência</w:t>
            </w:r>
          </w:p>
        </w:tc>
      </w:tr>
      <w:tr w:rsidR="007E705E" w:rsidRPr="0063503B" w14:paraId="44A3AFA8" w14:textId="77777777" w:rsidTr="007E705E">
        <w:trPr>
          <w:cantSplit/>
          <w:trHeight w:val="288"/>
        </w:trPr>
        <w:tc>
          <w:tcPr>
            <w:tcW w:w="541" w:type="pct"/>
            <w:tcBorders>
              <w:top w:val="nil"/>
              <w:left w:val="nil"/>
              <w:bottom w:val="nil"/>
              <w:right w:val="nil"/>
            </w:tcBorders>
            <w:shd w:val="clear" w:color="auto" w:fill="auto"/>
            <w:vAlign w:val="center"/>
            <w:hideMark/>
          </w:tcPr>
          <w:p w14:paraId="0B9CF83F"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SDF</w:t>
            </w:r>
          </w:p>
        </w:tc>
        <w:tc>
          <w:tcPr>
            <w:tcW w:w="4459" w:type="pct"/>
            <w:gridSpan w:val="9"/>
            <w:tcBorders>
              <w:top w:val="nil"/>
              <w:left w:val="nil"/>
              <w:bottom w:val="nil"/>
              <w:right w:val="nil"/>
            </w:tcBorders>
            <w:shd w:val="clear" w:color="auto" w:fill="auto"/>
            <w:vAlign w:val="center"/>
            <w:hideMark/>
          </w:tcPr>
          <w:p w14:paraId="1FEC3B17"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Serviços dominados pelo fornecedor</w:t>
            </w:r>
          </w:p>
        </w:tc>
      </w:tr>
      <w:tr w:rsidR="007E705E" w:rsidRPr="00AC07D3" w14:paraId="3DECB45A" w14:textId="77777777" w:rsidTr="007E705E">
        <w:trPr>
          <w:cantSplit/>
          <w:trHeight w:val="288"/>
        </w:trPr>
        <w:tc>
          <w:tcPr>
            <w:tcW w:w="541" w:type="pct"/>
            <w:tcBorders>
              <w:top w:val="nil"/>
              <w:left w:val="nil"/>
              <w:bottom w:val="nil"/>
              <w:right w:val="nil"/>
            </w:tcBorders>
            <w:shd w:val="clear" w:color="auto" w:fill="auto"/>
            <w:vAlign w:val="center"/>
            <w:hideMark/>
          </w:tcPr>
          <w:p w14:paraId="569692C0"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FSE</w:t>
            </w:r>
          </w:p>
        </w:tc>
        <w:tc>
          <w:tcPr>
            <w:tcW w:w="4459" w:type="pct"/>
            <w:gridSpan w:val="9"/>
            <w:tcBorders>
              <w:top w:val="nil"/>
              <w:left w:val="nil"/>
              <w:bottom w:val="nil"/>
              <w:right w:val="nil"/>
            </w:tcBorders>
            <w:shd w:val="clear" w:color="auto" w:fill="auto"/>
            <w:vAlign w:val="center"/>
            <w:hideMark/>
          </w:tcPr>
          <w:p w14:paraId="6988BDF8"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Atividades nas quais predominam fornecedores de serviços especializados</w:t>
            </w:r>
          </w:p>
        </w:tc>
      </w:tr>
      <w:tr w:rsidR="007E705E" w:rsidRPr="00AC07D3" w14:paraId="76675857" w14:textId="77777777" w:rsidTr="007E705E">
        <w:trPr>
          <w:cantSplit/>
          <w:trHeight w:val="288"/>
        </w:trPr>
        <w:tc>
          <w:tcPr>
            <w:tcW w:w="541" w:type="pct"/>
            <w:tcBorders>
              <w:top w:val="nil"/>
              <w:left w:val="nil"/>
              <w:bottom w:val="nil"/>
              <w:right w:val="nil"/>
            </w:tcBorders>
            <w:shd w:val="clear" w:color="auto" w:fill="auto"/>
            <w:vAlign w:val="center"/>
            <w:hideMark/>
          </w:tcPr>
          <w:p w14:paraId="3CCFB1B1"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SBI</w:t>
            </w:r>
            <w:proofErr w:type="spellEnd"/>
          </w:p>
        </w:tc>
        <w:tc>
          <w:tcPr>
            <w:tcW w:w="4459" w:type="pct"/>
            <w:gridSpan w:val="9"/>
            <w:tcBorders>
              <w:top w:val="nil"/>
              <w:left w:val="nil"/>
              <w:bottom w:val="nil"/>
              <w:right w:val="nil"/>
            </w:tcBorders>
            <w:shd w:val="clear" w:color="auto" w:fill="auto"/>
            <w:vAlign w:val="center"/>
            <w:hideMark/>
          </w:tcPr>
          <w:p w14:paraId="06E0BAB5"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Serviços nos quais se destacam inovações organizacionais</w:t>
            </w:r>
          </w:p>
        </w:tc>
      </w:tr>
      <w:tr w:rsidR="007E705E" w:rsidRPr="00AC07D3" w14:paraId="69A92AB1" w14:textId="77777777" w:rsidTr="007E705E">
        <w:trPr>
          <w:cantSplit/>
          <w:trHeight w:val="288"/>
        </w:trPr>
        <w:tc>
          <w:tcPr>
            <w:tcW w:w="541" w:type="pct"/>
            <w:tcBorders>
              <w:top w:val="nil"/>
              <w:left w:val="nil"/>
              <w:bottom w:val="nil"/>
              <w:right w:val="nil"/>
            </w:tcBorders>
            <w:shd w:val="clear" w:color="auto" w:fill="auto"/>
            <w:vAlign w:val="center"/>
            <w:hideMark/>
          </w:tcPr>
          <w:p w14:paraId="75B4F059"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CDS</w:t>
            </w:r>
          </w:p>
        </w:tc>
        <w:tc>
          <w:tcPr>
            <w:tcW w:w="4459" w:type="pct"/>
            <w:gridSpan w:val="9"/>
            <w:tcBorders>
              <w:top w:val="nil"/>
              <w:left w:val="nil"/>
              <w:bottom w:val="nil"/>
              <w:right w:val="nil"/>
            </w:tcBorders>
            <w:shd w:val="clear" w:color="auto" w:fill="auto"/>
            <w:vAlign w:val="center"/>
            <w:hideMark/>
          </w:tcPr>
          <w:p w14:paraId="39757228"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Atividades nas quais as inovações são impulsionadas por demandas de clientes</w:t>
            </w:r>
          </w:p>
        </w:tc>
      </w:tr>
      <w:tr w:rsidR="007E705E" w:rsidRPr="00AC07D3" w14:paraId="386FBF62" w14:textId="77777777" w:rsidTr="007E705E">
        <w:trPr>
          <w:cantSplit/>
          <w:trHeight w:val="300"/>
        </w:trPr>
        <w:tc>
          <w:tcPr>
            <w:tcW w:w="541" w:type="pct"/>
            <w:tcBorders>
              <w:top w:val="nil"/>
              <w:left w:val="nil"/>
              <w:bottom w:val="single" w:sz="8" w:space="0" w:color="auto"/>
              <w:right w:val="nil"/>
            </w:tcBorders>
            <w:shd w:val="clear" w:color="auto" w:fill="auto"/>
            <w:vAlign w:val="center"/>
            <w:hideMark/>
          </w:tcPr>
          <w:p w14:paraId="19D7B10E" w14:textId="77777777" w:rsidR="007E705E" w:rsidRPr="0063503B" w:rsidRDefault="007E705E" w:rsidP="00077615">
            <w:pPr>
              <w:keepNext/>
              <w:spacing w:after="0" w:line="240" w:lineRule="auto"/>
              <w:jc w:val="right"/>
              <w:rPr>
                <w:rFonts w:ascii="Times New Roman" w:eastAsia="Times New Roman" w:hAnsi="Times New Roman" w:cs="Times New Roman"/>
                <w:szCs w:val="24"/>
                <w:lang w:eastAsia="pt-BR"/>
              </w:rPr>
            </w:pPr>
            <w:proofErr w:type="spellStart"/>
            <w:r w:rsidRPr="0063503B">
              <w:rPr>
                <w:rFonts w:ascii="Times New Roman" w:eastAsia="Times New Roman" w:hAnsi="Times New Roman" w:cs="Times New Roman"/>
                <w:szCs w:val="24"/>
                <w:lang w:eastAsia="pt-BR"/>
              </w:rPr>
              <w:t>SNM</w:t>
            </w:r>
            <w:proofErr w:type="spellEnd"/>
          </w:p>
        </w:tc>
        <w:tc>
          <w:tcPr>
            <w:tcW w:w="4459" w:type="pct"/>
            <w:gridSpan w:val="9"/>
            <w:tcBorders>
              <w:top w:val="nil"/>
              <w:left w:val="nil"/>
              <w:bottom w:val="single" w:sz="8" w:space="0" w:color="auto"/>
              <w:right w:val="nil"/>
            </w:tcBorders>
            <w:shd w:val="clear" w:color="auto" w:fill="auto"/>
            <w:vAlign w:val="center"/>
            <w:hideMark/>
          </w:tcPr>
          <w:p w14:paraId="02B01705" w14:textId="77777777" w:rsidR="007E705E" w:rsidRPr="0063503B" w:rsidRDefault="007E705E" w:rsidP="007E705E">
            <w:pPr>
              <w:keepNext/>
              <w:spacing w:after="0" w:line="240" w:lineRule="auto"/>
              <w:ind w:right="-113"/>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Serviços de organização tipicamente não mercantil</w:t>
            </w:r>
          </w:p>
        </w:tc>
      </w:tr>
    </w:tbl>
    <w:p w14:paraId="320DDEA8" w14:textId="77777777" w:rsidR="007E705E" w:rsidRPr="008740CF" w:rsidRDefault="007E705E" w:rsidP="007E705E">
      <w:pPr>
        <w:spacing w:after="0" w:line="360" w:lineRule="auto"/>
        <w:rPr>
          <w:rFonts w:ascii="Times New Roman" w:hAnsi="Times New Roman" w:cs="Times New Roman"/>
          <w:sz w:val="24"/>
          <w:szCs w:val="24"/>
        </w:rPr>
      </w:pPr>
      <w:r w:rsidRPr="008740CF">
        <w:rPr>
          <w:rFonts w:ascii="Times New Roman" w:hAnsi="Times New Roman" w:cs="Times New Roman"/>
          <w:sz w:val="24"/>
          <w:szCs w:val="24"/>
        </w:rPr>
        <w:t>Fonte: Processamentos especiais do autor com base em Brasil (2021).</w:t>
      </w:r>
    </w:p>
    <w:p w14:paraId="2AFF53E1" w14:textId="77777777" w:rsidR="0038066E" w:rsidRDefault="0038066E" w:rsidP="0038066E">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A disparidade também é salientada na análise do atributo relativo aos </w:t>
      </w:r>
      <w:proofErr w:type="spellStart"/>
      <w:r w:rsidRPr="000139D9">
        <w:rPr>
          <w:rFonts w:ascii="Times New Roman" w:hAnsi="Times New Roman" w:cs="Times New Roman"/>
          <w:sz w:val="24"/>
          <w:szCs w:val="24"/>
        </w:rPr>
        <w:t>SNM</w:t>
      </w:r>
      <w:proofErr w:type="spellEnd"/>
      <w:r w:rsidRPr="000139D9">
        <w:rPr>
          <w:rFonts w:ascii="Times New Roman" w:hAnsi="Times New Roman" w:cs="Times New Roman"/>
          <w:sz w:val="24"/>
          <w:szCs w:val="24"/>
        </w:rPr>
        <w:t xml:space="preserve">, que envolvem atividades cujos agentes têm potencial de indução de inovações muito menor quando comparado ao dos demais grupos. No padrão 19, o valor é de 0,9, antípoda do padrão 1, que, em relação aos </w:t>
      </w:r>
      <w:proofErr w:type="spellStart"/>
      <w:r w:rsidRPr="000139D9">
        <w:rPr>
          <w:rFonts w:ascii="Times New Roman" w:hAnsi="Times New Roman" w:cs="Times New Roman"/>
          <w:sz w:val="24"/>
          <w:szCs w:val="24"/>
        </w:rPr>
        <w:t>SNM</w:t>
      </w:r>
      <w:proofErr w:type="spellEnd"/>
      <w:r w:rsidRPr="000139D9">
        <w:rPr>
          <w:rFonts w:ascii="Times New Roman" w:hAnsi="Times New Roman" w:cs="Times New Roman"/>
          <w:sz w:val="24"/>
          <w:szCs w:val="24"/>
        </w:rPr>
        <w:t xml:space="preserve">, registra -0,95. Os valores do padrão 19, no que se refere às </w:t>
      </w:r>
      <w:proofErr w:type="spellStart"/>
      <w:r w:rsidRPr="000139D9">
        <w:rPr>
          <w:rFonts w:ascii="Times New Roman" w:hAnsi="Times New Roman" w:cs="Times New Roman"/>
          <w:sz w:val="24"/>
          <w:szCs w:val="24"/>
        </w:rPr>
        <w:t>IIE</w:t>
      </w:r>
      <w:proofErr w:type="spellEnd"/>
      <w:r w:rsidRPr="000139D9">
        <w:rPr>
          <w:rFonts w:ascii="Times New Roman" w:hAnsi="Times New Roman" w:cs="Times New Roman"/>
          <w:sz w:val="24"/>
          <w:szCs w:val="24"/>
        </w:rPr>
        <w:t>, é de -</w:t>
      </w:r>
      <w:r w:rsidRPr="000139D9">
        <w:rPr>
          <w:rFonts w:ascii="Times New Roman" w:hAnsi="Times New Roman" w:cs="Times New Roman"/>
          <w:sz w:val="24"/>
          <w:szCs w:val="24"/>
        </w:rPr>
        <w:lastRenderedPageBreak/>
        <w:t xml:space="preserve">0,34, mais uma vez dessemelhante do padrão 1, cujo valor é 0,37. A dissimilaridade de comportamento registra-se também no atributo relativo aos SDF: -0,31 para o padrão 19 e 0,52 para o padrão 1. Da mesma forma, há disparidade no que diz respeito aos </w:t>
      </w:r>
      <w:proofErr w:type="spellStart"/>
      <w:r w:rsidRPr="000139D9">
        <w:rPr>
          <w:rFonts w:ascii="Times New Roman" w:hAnsi="Times New Roman" w:cs="Times New Roman"/>
          <w:sz w:val="24"/>
          <w:szCs w:val="24"/>
        </w:rPr>
        <w:t>SBI</w:t>
      </w:r>
      <w:proofErr w:type="spellEnd"/>
      <w:r w:rsidRPr="000139D9">
        <w:rPr>
          <w:rFonts w:ascii="Times New Roman" w:hAnsi="Times New Roman" w:cs="Times New Roman"/>
          <w:sz w:val="24"/>
          <w:szCs w:val="24"/>
        </w:rPr>
        <w:t>: -0,32 é o valor médio do atributo no padrão 19, enquanto o valor do padrão 1 é 0,58 (Tabela 2).</w:t>
      </w:r>
    </w:p>
    <w:p w14:paraId="2041B97B" w14:textId="77777777" w:rsidR="0038066E" w:rsidRPr="000139D9" w:rsidRDefault="0038066E" w:rsidP="0038066E">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A disparidade também é salientada na análise do atributo relativo aos </w:t>
      </w:r>
      <w:proofErr w:type="spellStart"/>
      <w:r w:rsidRPr="000139D9">
        <w:rPr>
          <w:rFonts w:ascii="Times New Roman" w:hAnsi="Times New Roman" w:cs="Times New Roman"/>
          <w:sz w:val="24"/>
          <w:szCs w:val="24"/>
        </w:rPr>
        <w:t>SNM</w:t>
      </w:r>
      <w:proofErr w:type="spellEnd"/>
      <w:r w:rsidRPr="000139D9">
        <w:rPr>
          <w:rFonts w:ascii="Times New Roman" w:hAnsi="Times New Roman" w:cs="Times New Roman"/>
          <w:sz w:val="24"/>
          <w:szCs w:val="24"/>
        </w:rPr>
        <w:t xml:space="preserve">, que envolvem atividades cujos agentes têm potencial de indução de inovações muito menor quando comparado ao dos demais grupos. No padrão 19, o valor é de 0,9, antípoda do padrão 1, que, em relação aos </w:t>
      </w:r>
      <w:proofErr w:type="spellStart"/>
      <w:r w:rsidRPr="000139D9">
        <w:rPr>
          <w:rFonts w:ascii="Times New Roman" w:hAnsi="Times New Roman" w:cs="Times New Roman"/>
          <w:sz w:val="24"/>
          <w:szCs w:val="24"/>
        </w:rPr>
        <w:t>SNM</w:t>
      </w:r>
      <w:proofErr w:type="spellEnd"/>
      <w:r w:rsidRPr="000139D9">
        <w:rPr>
          <w:rFonts w:ascii="Times New Roman" w:hAnsi="Times New Roman" w:cs="Times New Roman"/>
          <w:sz w:val="24"/>
          <w:szCs w:val="24"/>
        </w:rPr>
        <w:t xml:space="preserve">, registra -0,95. Os valores do padrão 19, no que se refere às </w:t>
      </w:r>
      <w:proofErr w:type="spellStart"/>
      <w:r w:rsidRPr="000139D9">
        <w:rPr>
          <w:rFonts w:ascii="Times New Roman" w:hAnsi="Times New Roman" w:cs="Times New Roman"/>
          <w:sz w:val="24"/>
          <w:szCs w:val="24"/>
        </w:rPr>
        <w:t>IIE</w:t>
      </w:r>
      <w:proofErr w:type="spellEnd"/>
      <w:r w:rsidRPr="000139D9">
        <w:rPr>
          <w:rFonts w:ascii="Times New Roman" w:hAnsi="Times New Roman" w:cs="Times New Roman"/>
          <w:sz w:val="24"/>
          <w:szCs w:val="24"/>
        </w:rPr>
        <w:t xml:space="preserve">, é de -0,34, mais uma vez dessemelhante do padrão 1, cujo valor é 0,37. A dissimilaridade de comportamento registra-se também no atributo relativo aos SDF: -0,31 para o padrão 19 e 0,52 para o padrão 1. Da mesma forma, há disparidade no que diz respeito aos </w:t>
      </w:r>
      <w:proofErr w:type="spellStart"/>
      <w:r w:rsidRPr="000139D9">
        <w:rPr>
          <w:rFonts w:ascii="Times New Roman" w:hAnsi="Times New Roman" w:cs="Times New Roman"/>
          <w:sz w:val="24"/>
          <w:szCs w:val="24"/>
        </w:rPr>
        <w:t>SBI</w:t>
      </w:r>
      <w:proofErr w:type="spellEnd"/>
      <w:r w:rsidRPr="000139D9">
        <w:rPr>
          <w:rFonts w:ascii="Times New Roman" w:hAnsi="Times New Roman" w:cs="Times New Roman"/>
          <w:sz w:val="24"/>
          <w:szCs w:val="24"/>
        </w:rPr>
        <w:t>: -0,32 é o valor médio do atributo no padrão 19, enquanto o valor do padrão 1 é 0,58 (Tabela 2).</w:t>
      </w:r>
    </w:p>
    <w:p w14:paraId="3DE578EF"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O padrão 15, que abarca a porção sul da região de Carajás, apresenta uma combinação em relação às </w:t>
      </w:r>
      <w:proofErr w:type="spellStart"/>
      <w:r w:rsidRPr="000139D9">
        <w:rPr>
          <w:rFonts w:ascii="Times New Roman" w:hAnsi="Times New Roman" w:cs="Times New Roman"/>
          <w:sz w:val="24"/>
          <w:szCs w:val="24"/>
        </w:rPr>
        <w:t>IPE</w:t>
      </w:r>
      <w:proofErr w:type="spellEnd"/>
      <w:r w:rsidRPr="000139D9">
        <w:rPr>
          <w:rFonts w:ascii="Times New Roman" w:hAnsi="Times New Roman" w:cs="Times New Roman"/>
          <w:sz w:val="24"/>
          <w:szCs w:val="24"/>
        </w:rPr>
        <w:t xml:space="preserve">, às IBC, aos SDF e aos </w:t>
      </w:r>
      <w:proofErr w:type="spellStart"/>
      <w:r w:rsidRPr="000139D9">
        <w:rPr>
          <w:rFonts w:ascii="Times New Roman" w:hAnsi="Times New Roman" w:cs="Times New Roman"/>
          <w:sz w:val="24"/>
          <w:szCs w:val="24"/>
        </w:rPr>
        <w:t>SBI</w:t>
      </w:r>
      <w:proofErr w:type="spellEnd"/>
      <w:r w:rsidRPr="000139D9">
        <w:rPr>
          <w:rFonts w:ascii="Times New Roman" w:hAnsi="Times New Roman" w:cs="Times New Roman"/>
          <w:sz w:val="24"/>
          <w:szCs w:val="24"/>
        </w:rPr>
        <w:t xml:space="preserve"> que se alinha com tendências registradas no padrão 19, com diferenças relevantes de gradação; já em relação às </w:t>
      </w:r>
      <w:proofErr w:type="spellStart"/>
      <w:r w:rsidRPr="000139D9">
        <w:rPr>
          <w:rFonts w:ascii="Times New Roman" w:hAnsi="Times New Roman" w:cs="Times New Roman"/>
          <w:sz w:val="24"/>
          <w:szCs w:val="24"/>
        </w:rPr>
        <w:t>IIE</w:t>
      </w:r>
      <w:proofErr w:type="spellEnd"/>
      <w:r w:rsidRPr="000139D9">
        <w:rPr>
          <w:rFonts w:ascii="Times New Roman" w:hAnsi="Times New Roman" w:cs="Times New Roman"/>
          <w:sz w:val="24"/>
          <w:szCs w:val="24"/>
        </w:rPr>
        <w:t xml:space="preserve">, às FSE e aos </w:t>
      </w:r>
      <w:proofErr w:type="spellStart"/>
      <w:r w:rsidRPr="000139D9">
        <w:rPr>
          <w:rFonts w:ascii="Times New Roman" w:hAnsi="Times New Roman" w:cs="Times New Roman"/>
          <w:sz w:val="24"/>
          <w:szCs w:val="24"/>
        </w:rPr>
        <w:t>SNM</w:t>
      </w:r>
      <w:proofErr w:type="spellEnd"/>
      <w:r w:rsidRPr="000139D9">
        <w:rPr>
          <w:rFonts w:ascii="Times New Roman" w:hAnsi="Times New Roman" w:cs="Times New Roman"/>
          <w:sz w:val="24"/>
          <w:szCs w:val="24"/>
        </w:rPr>
        <w:t xml:space="preserve">, apresenta comportamento oposto ao do padrão 19; nesses aspectos, os valores médios do padrão 15 seguem direção similar à dos valores do padrão 1, também com grandes diferenças de nuança. A maior especificidade do padrão 15 encontra-se no grupo atinente às </w:t>
      </w:r>
      <w:proofErr w:type="spellStart"/>
      <w:r w:rsidRPr="000139D9">
        <w:rPr>
          <w:rFonts w:ascii="Times New Roman" w:hAnsi="Times New Roman" w:cs="Times New Roman"/>
          <w:sz w:val="24"/>
          <w:szCs w:val="24"/>
        </w:rPr>
        <w:t>BDF</w:t>
      </w:r>
      <w:proofErr w:type="spellEnd"/>
      <w:r w:rsidRPr="000139D9">
        <w:rPr>
          <w:rFonts w:ascii="Times New Roman" w:hAnsi="Times New Roman" w:cs="Times New Roman"/>
          <w:sz w:val="24"/>
          <w:szCs w:val="24"/>
        </w:rPr>
        <w:t>, cujo valor médio é o maior entre todos os recortes subnacionais: 0,64. Trata-se do reflexo da maciça presença de produção agrícola e da pecuária bovina, amplamente dependentes de insumos e de implementos dominados por agentes externos à região e ao país (Tabela 2).</w:t>
      </w:r>
    </w:p>
    <w:p w14:paraId="275D304F" w14:textId="5F3F00D0" w:rsidR="007E705E" w:rsidRPr="00F170BB" w:rsidRDefault="00F170BB" w:rsidP="008740CF">
      <w:pPr>
        <w:pStyle w:val="Ttulo4"/>
        <w:spacing w:before="0" w:after="0" w:line="360" w:lineRule="auto"/>
        <w:rPr>
          <w:rFonts w:ascii="Times New Roman" w:eastAsiaTheme="minorHAnsi" w:hAnsi="Times New Roman" w:cs="Times New Roman"/>
          <w:b/>
          <w:bCs/>
          <w:i w:val="0"/>
          <w:iCs w:val="0"/>
          <w:lang w:val="pt-BR"/>
        </w:rPr>
      </w:pPr>
      <w:r w:rsidRPr="00F170BB">
        <w:rPr>
          <w:rFonts w:ascii="Times New Roman" w:eastAsiaTheme="minorHAnsi" w:hAnsi="Times New Roman" w:cs="Times New Roman"/>
          <w:b/>
          <w:bCs/>
          <w:i w:val="0"/>
          <w:iCs w:val="0"/>
          <w:lang w:val="pt-BR"/>
        </w:rPr>
        <w:t>4</w:t>
      </w:r>
      <w:r w:rsidR="007E705E" w:rsidRPr="00F170BB">
        <w:rPr>
          <w:rFonts w:ascii="Times New Roman" w:eastAsiaTheme="minorHAnsi" w:hAnsi="Times New Roman" w:cs="Times New Roman"/>
          <w:b/>
          <w:bCs/>
          <w:i w:val="0"/>
          <w:iCs w:val="0"/>
          <w:lang w:val="pt-BR"/>
        </w:rPr>
        <w:t>.1 Agropecuária e trajetórias tecnológicas na região</w:t>
      </w:r>
    </w:p>
    <w:p w14:paraId="3D13051D"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No caso das atividades agropecuárias, é importante destacar os fundamentos da reprodução social dos agentes locais e da articulação deles com os padrões espaciais pela importância regional tanto econômica quanto social dessas atividades, porque foram responsáveis, em 2017, por 8,6 % do valor adicionado na região (IBGE, 2019a) e por, em 2010, 29% das pessoas encontrarem-se ocupadas nessas atividades (IBGE, 2012). Merecem relevo também pelo fato de que as trajetórias tecnológicas trilhadas envolvem, majoritariamente, laços </w:t>
      </w:r>
      <w:r w:rsidRPr="000139D9">
        <w:rPr>
          <w:rFonts w:ascii="Times New Roman" w:hAnsi="Times New Roman" w:cs="Times New Roman"/>
          <w:sz w:val="24"/>
          <w:szCs w:val="24"/>
        </w:rPr>
        <w:lastRenderedPageBreak/>
        <w:t xml:space="preserve">sociais com </w:t>
      </w:r>
      <w:bookmarkStart w:id="18" w:name="_Hlk76824005"/>
      <w:r w:rsidRPr="000139D9">
        <w:rPr>
          <w:rFonts w:ascii="Times New Roman" w:hAnsi="Times New Roman" w:cs="Times New Roman"/>
          <w:sz w:val="24"/>
          <w:szCs w:val="24"/>
        </w:rPr>
        <w:t xml:space="preserve">processos produtivos responsáveis </w:t>
      </w:r>
      <w:bookmarkEnd w:id="18"/>
      <w:r w:rsidRPr="000139D9">
        <w:rPr>
          <w:rFonts w:ascii="Times New Roman" w:hAnsi="Times New Roman" w:cs="Times New Roman"/>
          <w:sz w:val="24"/>
          <w:szCs w:val="24"/>
        </w:rPr>
        <w:t>pela degradação ambiental nessa região do bioma Amazônia (Figura 1).</w:t>
      </w:r>
    </w:p>
    <w:p w14:paraId="1DB80F24"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A despeito da complexidade e variedade de estruturas de produção, da sua variação regional e das heterogeneidades de agentes e de estruturas que fundamentam a dinâmica agrária na Amazônia, Costa (2009) apresenta pertinente metodologia de delineamento das trajetórias tecnológicas ou trajetórias </w:t>
      </w:r>
      <w:proofErr w:type="spellStart"/>
      <w:r w:rsidRPr="000139D9">
        <w:rPr>
          <w:rFonts w:ascii="Times New Roman" w:hAnsi="Times New Roman" w:cs="Times New Roman"/>
          <w:sz w:val="24"/>
          <w:szCs w:val="24"/>
        </w:rPr>
        <w:t>tecnoprodutivas</w:t>
      </w:r>
      <w:proofErr w:type="spellEnd"/>
      <w:r w:rsidRPr="000139D9">
        <w:rPr>
          <w:rFonts w:ascii="Times New Roman" w:hAnsi="Times New Roman" w:cs="Times New Roman"/>
          <w:sz w:val="24"/>
          <w:szCs w:val="24"/>
        </w:rPr>
        <w:t xml:space="preserve"> na Amazônia. Recorrendo-se à mesma estratégia e aos dados dos Censos agropecuários de 1995/6, 2006 e 2017 (IBGE, 1998, 2009 e 2019b.), é possível identificar e avaliar a evolução de trajetórias tecnológicas distintas na economia agrária da região de Carajás.</w:t>
      </w:r>
    </w:p>
    <w:p w14:paraId="7DE56130" w14:textId="4C2813E5" w:rsidR="007E705E" w:rsidRDefault="007E705E" w:rsidP="00961A7E">
      <w:pPr>
        <w:spacing w:after="0" w:line="360" w:lineRule="auto"/>
        <w:ind w:firstLine="709"/>
        <w:jc w:val="both"/>
        <w:rPr>
          <w:rFonts w:ascii="Times New Roman" w:hAnsi="Times New Roman" w:cs="Times New Roman"/>
          <w:szCs w:val="24"/>
        </w:rPr>
      </w:pPr>
      <w:r w:rsidRPr="000139D9">
        <w:rPr>
          <w:rFonts w:ascii="Times New Roman" w:hAnsi="Times New Roman" w:cs="Times New Roman"/>
          <w:sz w:val="24"/>
          <w:szCs w:val="24"/>
        </w:rPr>
        <w:t xml:space="preserve">Distinguindo inicialmente entre a forma de produção que agrega trajetórias tecnológicas conduzidas por agentes camponeses, caracterizadas pela centralidade da família nos processos decisórios e como ofertante de força de trabalho da unidade produtiva; e aquela que comporta trajetórias dirigidas por agentes patronais, que dependem da força de trabalho assalariada, é possível inferir trajetórias </w:t>
      </w:r>
      <w:proofErr w:type="spellStart"/>
      <w:r w:rsidRPr="000139D9">
        <w:rPr>
          <w:rFonts w:ascii="Times New Roman" w:hAnsi="Times New Roman" w:cs="Times New Roman"/>
          <w:sz w:val="24"/>
          <w:szCs w:val="24"/>
        </w:rPr>
        <w:t>tecnoprodutivas</w:t>
      </w:r>
      <w:proofErr w:type="spellEnd"/>
      <w:r w:rsidRPr="000139D9">
        <w:rPr>
          <w:rFonts w:ascii="Times New Roman" w:hAnsi="Times New Roman" w:cs="Times New Roman"/>
          <w:sz w:val="24"/>
          <w:szCs w:val="24"/>
        </w:rPr>
        <w:t xml:space="preserve"> que se desenvolvem enfrentando-se em disputa materializada no embate entre as estruturas que suportam os processos produtivos e o ambiente institucional que age sobre aquelas. No caso da concorrência entre formas de produção na região de Carajás, quando se toma como referência 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xml:space="preserve"> da produção agropecuária, há significativa retração da predominância espacial da forma de produção camponesa</w:t>
      </w:r>
      <w:r w:rsidR="00961A7E">
        <w:rPr>
          <w:rFonts w:ascii="Times New Roman" w:hAnsi="Times New Roman" w:cs="Times New Roman"/>
          <w:sz w:val="24"/>
          <w:szCs w:val="24"/>
        </w:rPr>
        <w:t>.</w:t>
      </w:r>
    </w:p>
    <w:p w14:paraId="63CE632D" w14:textId="6CB38EC4" w:rsidR="007E705E" w:rsidRDefault="007E705E" w:rsidP="008E3E10">
      <w:pPr>
        <w:spacing w:after="0" w:line="360" w:lineRule="auto"/>
        <w:ind w:firstLine="709"/>
        <w:jc w:val="both"/>
        <w:rPr>
          <w:rFonts w:ascii="Times New Roman" w:hAnsi="Times New Roman" w:cs="Times New Roman"/>
          <w:sz w:val="24"/>
          <w:szCs w:val="24"/>
        </w:rPr>
      </w:pPr>
      <w:r w:rsidRPr="008E3E10">
        <w:rPr>
          <w:rFonts w:ascii="Times New Roman" w:hAnsi="Times New Roman" w:cs="Times New Roman"/>
          <w:sz w:val="24"/>
          <w:szCs w:val="24"/>
        </w:rPr>
        <w:t xml:space="preserve">Dentre trajetórias tecnológicas baseadas no trabalho assalariado as mais relevantes incluem uma com predominância de produtos da pecuária de corte, outra centrada na produção de lavouras temporárias (especialmente soja e milho) e uma com a primazia de lavouras permanentes (sobretudo, açaí - </w:t>
      </w:r>
      <w:r w:rsidRPr="008E3E10">
        <w:rPr>
          <w:rFonts w:ascii="Times New Roman" w:hAnsi="Times New Roman" w:cs="Times New Roman"/>
          <w:i/>
          <w:iCs/>
          <w:sz w:val="24"/>
          <w:szCs w:val="24"/>
        </w:rPr>
        <w:t xml:space="preserve">Euterpe </w:t>
      </w:r>
      <w:proofErr w:type="spellStart"/>
      <w:r w:rsidRPr="008E3E10">
        <w:rPr>
          <w:rFonts w:ascii="Times New Roman" w:hAnsi="Times New Roman" w:cs="Times New Roman"/>
          <w:i/>
          <w:iCs/>
          <w:sz w:val="24"/>
          <w:szCs w:val="24"/>
        </w:rPr>
        <w:t>oleracea</w:t>
      </w:r>
      <w:proofErr w:type="spellEnd"/>
      <w:r w:rsidRPr="008E3E10">
        <w:rPr>
          <w:rFonts w:ascii="Times New Roman" w:hAnsi="Times New Roman" w:cs="Times New Roman"/>
          <w:sz w:val="24"/>
          <w:szCs w:val="24"/>
        </w:rPr>
        <w:t>). Dentre as mais relevantes baseadas no trabalho familiar existe uma na qual é dominante as lavouras permanentes (mormente banana</w:t>
      </w:r>
      <w:r w:rsidRPr="008E3E10">
        <w:rPr>
          <w:sz w:val="24"/>
          <w:szCs w:val="24"/>
        </w:rPr>
        <w:t xml:space="preserve"> </w:t>
      </w:r>
      <w:r w:rsidRPr="008E3E10">
        <w:rPr>
          <w:rFonts w:ascii="Times New Roman" w:hAnsi="Times New Roman" w:cs="Times New Roman"/>
          <w:sz w:val="24"/>
          <w:szCs w:val="24"/>
        </w:rPr>
        <w:t xml:space="preserve">e cacau - </w:t>
      </w:r>
      <w:proofErr w:type="spellStart"/>
      <w:r w:rsidRPr="008E3E10">
        <w:rPr>
          <w:rFonts w:ascii="Times New Roman" w:hAnsi="Times New Roman" w:cs="Times New Roman"/>
          <w:i/>
          <w:iCs/>
          <w:sz w:val="24"/>
          <w:szCs w:val="24"/>
        </w:rPr>
        <w:t>Theobroma</w:t>
      </w:r>
      <w:proofErr w:type="spellEnd"/>
      <w:r w:rsidRPr="008E3E10">
        <w:rPr>
          <w:rFonts w:ascii="Times New Roman" w:hAnsi="Times New Roman" w:cs="Times New Roman"/>
          <w:i/>
          <w:iCs/>
          <w:sz w:val="24"/>
          <w:szCs w:val="24"/>
        </w:rPr>
        <w:t xml:space="preserve"> </w:t>
      </w:r>
      <w:proofErr w:type="spellStart"/>
      <w:r w:rsidRPr="008E3E10">
        <w:rPr>
          <w:rFonts w:ascii="Times New Roman" w:hAnsi="Times New Roman" w:cs="Times New Roman"/>
          <w:i/>
          <w:iCs/>
          <w:sz w:val="24"/>
          <w:szCs w:val="24"/>
        </w:rPr>
        <w:t>cacao</w:t>
      </w:r>
      <w:proofErr w:type="spellEnd"/>
      <w:r w:rsidRPr="008E3E10">
        <w:rPr>
          <w:rFonts w:ascii="Times New Roman" w:hAnsi="Times New Roman" w:cs="Times New Roman"/>
          <w:sz w:val="24"/>
          <w:szCs w:val="24"/>
        </w:rPr>
        <w:t xml:space="preserve">), uma com preeminência em culturas temporárias (principalmente abacaxi e mandioca - </w:t>
      </w:r>
      <w:proofErr w:type="spellStart"/>
      <w:r w:rsidRPr="008E3E10">
        <w:rPr>
          <w:rFonts w:ascii="Times New Roman" w:hAnsi="Times New Roman" w:cs="Times New Roman"/>
          <w:i/>
          <w:iCs/>
          <w:sz w:val="24"/>
          <w:szCs w:val="24"/>
        </w:rPr>
        <w:t>Manihot</w:t>
      </w:r>
      <w:proofErr w:type="spellEnd"/>
      <w:r w:rsidRPr="008E3E10">
        <w:rPr>
          <w:rFonts w:ascii="Times New Roman" w:hAnsi="Times New Roman" w:cs="Times New Roman"/>
          <w:i/>
          <w:iCs/>
          <w:sz w:val="24"/>
          <w:szCs w:val="24"/>
        </w:rPr>
        <w:t xml:space="preserve"> </w:t>
      </w:r>
      <w:proofErr w:type="spellStart"/>
      <w:r w:rsidRPr="008E3E10">
        <w:rPr>
          <w:rFonts w:ascii="Times New Roman" w:hAnsi="Times New Roman" w:cs="Times New Roman"/>
          <w:i/>
          <w:iCs/>
          <w:sz w:val="24"/>
          <w:szCs w:val="24"/>
        </w:rPr>
        <w:t>esculenta</w:t>
      </w:r>
      <w:proofErr w:type="spellEnd"/>
      <w:r w:rsidRPr="008E3E10">
        <w:rPr>
          <w:rFonts w:ascii="Times New Roman" w:hAnsi="Times New Roman" w:cs="Times New Roman"/>
          <w:sz w:val="24"/>
          <w:szCs w:val="24"/>
        </w:rPr>
        <w:t xml:space="preserve">) e outra com a preponderância de pecuária de corte (Figura </w:t>
      </w:r>
      <w:r w:rsidR="00CD1FF6">
        <w:rPr>
          <w:rFonts w:ascii="Times New Roman" w:hAnsi="Times New Roman" w:cs="Times New Roman"/>
          <w:sz w:val="24"/>
          <w:szCs w:val="24"/>
        </w:rPr>
        <w:t>1</w:t>
      </w:r>
      <w:r w:rsidRPr="008E3E10">
        <w:rPr>
          <w:rFonts w:ascii="Times New Roman" w:hAnsi="Times New Roman" w:cs="Times New Roman"/>
          <w:sz w:val="24"/>
          <w:szCs w:val="24"/>
        </w:rPr>
        <w:t>).</w:t>
      </w:r>
    </w:p>
    <w:p w14:paraId="04700DFF" w14:textId="6AD97CE9" w:rsidR="003861E8" w:rsidRPr="000139D9" w:rsidRDefault="003861E8" w:rsidP="003861E8">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Regionalmente, dentre as trajetórias sustentadas pelo trabalho assalariado, aquela vinculada à pecuária bovina de corte é a amplamente dominante. Em 2017, foi responsável por 41,1% do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xml:space="preserve"> da agropecuária. Entre 1996 e 2017, essa trajetória contou com taxa de </w:t>
      </w:r>
      <w:r w:rsidRPr="000139D9">
        <w:rPr>
          <w:rFonts w:ascii="Times New Roman" w:hAnsi="Times New Roman" w:cs="Times New Roman"/>
          <w:sz w:val="24"/>
          <w:szCs w:val="24"/>
        </w:rPr>
        <w:lastRenderedPageBreak/>
        <w:t xml:space="preserve">crescimento médio de 7,32% a.a. A trajetória centrada na produção de culturas anuais, que 1996 ainda era pouco expressiva regionalmente, em 2017 alcançou 21,25% da participação no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xml:space="preserve"> da agropecuária, resultado do elevadíssimo crescimento ocorrido no último intervalo censitário </w:t>
      </w:r>
      <w:r w:rsidRPr="000139D9">
        <w:rPr>
          <w:rFonts w:ascii="Times New Roman" w:hAnsi="Times New Roman"/>
          <w:sz w:val="24"/>
          <w:szCs w:val="24"/>
        </w:rPr>
        <w:t>–</w:t>
      </w:r>
      <w:r w:rsidRPr="000139D9">
        <w:rPr>
          <w:rFonts w:ascii="Times New Roman" w:hAnsi="Times New Roman" w:cs="Times New Roman"/>
          <w:sz w:val="24"/>
          <w:szCs w:val="24"/>
        </w:rPr>
        <w:t xml:space="preserve"> entre 2006 e 2017 (</w:t>
      </w:r>
      <w:r w:rsidRPr="009A79FB">
        <w:rPr>
          <w:rFonts w:ascii="Times New Roman" w:hAnsi="Times New Roman" w:cs="Times New Roman"/>
          <w:sz w:val="24"/>
          <w:szCs w:val="24"/>
        </w:rPr>
        <w:t>Figura</w:t>
      </w:r>
      <w:r w:rsidRPr="000139D9">
        <w:rPr>
          <w:rFonts w:ascii="Times New Roman" w:hAnsi="Times New Roman" w:cs="Times New Roman"/>
          <w:sz w:val="24"/>
          <w:szCs w:val="24"/>
        </w:rPr>
        <w:t xml:space="preserve"> </w:t>
      </w:r>
      <w:r w:rsidR="009A79FB">
        <w:rPr>
          <w:rFonts w:ascii="Times New Roman" w:hAnsi="Times New Roman" w:cs="Times New Roman"/>
          <w:sz w:val="24"/>
          <w:szCs w:val="24"/>
        </w:rPr>
        <w:t>2</w:t>
      </w:r>
      <w:r w:rsidRPr="000139D9">
        <w:rPr>
          <w:rFonts w:ascii="Times New Roman" w:hAnsi="Times New Roman" w:cs="Times New Roman"/>
          <w:sz w:val="24"/>
          <w:szCs w:val="24"/>
        </w:rPr>
        <w:t>). Uma terceira trajetória, que se distingue das demais pela importância das culturas perenes, a que justamente é a mais compatível com uma “</w:t>
      </w:r>
      <w:bookmarkStart w:id="19" w:name="_Hlk97200492"/>
      <w:r w:rsidRPr="000139D9">
        <w:rPr>
          <w:rFonts w:ascii="Times New Roman" w:hAnsi="Times New Roman" w:cs="Times New Roman"/>
          <w:sz w:val="24"/>
          <w:szCs w:val="24"/>
        </w:rPr>
        <w:t>alternativa às trajetórias de alto impacto entrópico</w:t>
      </w:r>
      <w:bookmarkEnd w:id="19"/>
      <w:r w:rsidRPr="000139D9">
        <w:rPr>
          <w:rFonts w:ascii="Times New Roman" w:hAnsi="Times New Roman" w:cs="Times New Roman"/>
          <w:sz w:val="24"/>
          <w:szCs w:val="24"/>
        </w:rPr>
        <w:t xml:space="preserve">” (COSTA, 2012, p. 170), manteve-se pouco expressiva em termos regionais, representando, em 2017, 8,15% do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xml:space="preserve"> da agropecuária, participação resultante de crescimento oscilante no período; nele se registrou a ampliação da produção do açaí (Figura </w:t>
      </w:r>
      <w:r w:rsidR="009A79FB">
        <w:rPr>
          <w:rFonts w:ascii="Times New Roman" w:hAnsi="Times New Roman" w:cs="Times New Roman"/>
          <w:sz w:val="24"/>
          <w:szCs w:val="24"/>
        </w:rPr>
        <w:t>2</w:t>
      </w:r>
      <w:r w:rsidRPr="000139D9">
        <w:rPr>
          <w:rFonts w:ascii="Times New Roman" w:hAnsi="Times New Roman" w:cs="Times New Roman"/>
          <w:sz w:val="24"/>
          <w:szCs w:val="24"/>
        </w:rPr>
        <w:t>).</w:t>
      </w:r>
    </w:p>
    <w:p w14:paraId="7FBF8F2F" w14:textId="10D39DB0" w:rsidR="007E705E" w:rsidRPr="007C2178" w:rsidRDefault="007E705E" w:rsidP="000139D9">
      <w:pPr>
        <w:keepNext/>
        <w:spacing w:after="0" w:line="360" w:lineRule="auto"/>
        <w:jc w:val="both"/>
        <w:rPr>
          <w:rFonts w:ascii="Times New Roman" w:hAnsi="Times New Roman" w:cs="Times New Roman"/>
          <w:i/>
          <w:iCs/>
          <w:sz w:val="24"/>
          <w:szCs w:val="24"/>
        </w:rPr>
      </w:pPr>
      <w:r w:rsidRPr="007C2178">
        <w:rPr>
          <w:rFonts w:ascii="Times New Roman" w:hAnsi="Times New Roman" w:cs="Times New Roman"/>
          <w:i/>
          <w:iCs/>
          <w:sz w:val="24"/>
          <w:szCs w:val="24"/>
        </w:rPr>
        <w:t xml:space="preserve">Figura </w:t>
      </w:r>
      <w:r w:rsidR="009A79FB" w:rsidRPr="007C2178">
        <w:rPr>
          <w:rFonts w:ascii="Times New Roman" w:hAnsi="Times New Roman" w:cs="Times New Roman"/>
          <w:i/>
          <w:iCs/>
          <w:sz w:val="24"/>
          <w:szCs w:val="24"/>
        </w:rPr>
        <w:t>2</w:t>
      </w:r>
      <w:r w:rsidRPr="007C2178">
        <w:rPr>
          <w:rFonts w:ascii="Times New Roman" w:hAnsi="Times New Roman" w:cs="Times New Roman"/>
          <w:i/>
          <w:iCs/>
          <w:sz w:val="24"/>
          <w:szCs w:val="24"/>
        </w:rPr>
        <w:t xml:space="preserve">: Evolução do valor bruto da produção das trajetórias </w:t>
      </w:r>
      <w:proofErr w:type="spellStart"/>
      <w:r w:rsidRPr="007C2178">
        <w:rPr>
          <w:rFonts w:ascii="Times New Roman" w:hAnsi="Times New Roman" w:cs="Times New Roman"/>
          <w:i/>
          <w:iCs/>
          <w:sz w:val="24"/>
          <w:szCs w:val="24"/>
        </w:rPr>
        <w:t>tecnoprodutivas</w:t>
      </w:r>
      <w:proofErr w:type="spellEnd"/>
      <w:r w:rsidRPr="007C2178">
        <w:rPr>
          <w:rFonts w:ascii="Times New Roman" w:hAnsi="Times New Roman" w:cs="Times New Roman"/>
          <w:i/>
          <w:iCs/>
          <w:sz w:val="24"/>
          <w:szCs w:val="24"/>
        </w:rPr>
        <w:t xml:space="preserve"> do agrário da região de Carajás, 1996-2017.</w:t>
      </w:r>
    </w:p>
    <w:p w14:paraId="72E4F61B" w14:textId="77777777" w:rsidR="007E705E" w:rsidRPr="0063503B" w:rsidRDefault="007E705E" w:rsidP="007E705E">
      <w:pPr>
        <w:spacing w:after="0" w:line="360" w:lineRule="auto"/>
        <w:rPr>
          <w:rFonts w:ascii="Times New Roman" w:hAnsi="Times New Roman" w:cs="Times New Roman"/>
          <w:szCs w:val="24"/>
        </w:rPr>
      </w:pPr>
      <w:r>
        <w:rPr>
          <w:noProof/>
        </w:rPr>
        <w:drawing>
          <wp:inline distT="0" distB="0" distL="0" distR="0" wp14:anchorId="2A2B22A8" wp14:editId="53DD46DF">
            <wp:extent cx="6120130" cy="2846705"/>
            <wp:effectExtent l="0" t="0" r="0" b="0"/>
            <wp:docPr id="16" name="Gráfico 16">
              <a:extLst xmlns:a="http://schemas.openxmlformats.org/drawingml/2006/main">
                <a:ext uri="{FF2B5EF4-FFF2-40B4-BE49-F238E27FC236}">
                  <a16:creationId xmlns:a16="http://schemas.microsoft.com/office/drawing/2014/main" id="{E1F1B42E-6974-4B95-AA51-0DF7ED83B0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4C269B6" w14:textId="6BEEB72E" w:rsidR="007E705E" w:rsidRPr="000139D9" w:rsidRDefault="007E705E" w:rsidP="008E3E10">
      <w:pPr>
        <w:spacing w:after="0" w:line="360" w:lineRule="auto"/>
        <w:rPr>
          <w:rFonts w:ascii="Times New Roman" w:hAnsi="Times New Roman" w:cs="Times New Roman"/>
          <w:sz w:val="24"/>
          <w:szCs w:val="24"/>
        </w:rPr>
      </w:pPr>
      <w:r w:rsidRPr="000139D9">
        <w:rPr>
          <w:rFonts w:ascii="Times New Roman" w:hAnsi="Times New Roman" w:cs="Times New Roman"/>
          <w:sz w:val="24"/>
          <w:szCs w:val="24"/>
        </w:rPr>
        <w:t>Fonte: Monteiro (2022</w:t>
      </w:r>
      <w:r w:rsidR="00BA4CA4">
        <w:rPr>
          <w:rFonts w:ascii="Times New Roman" w:hAnsi="Times New Roman" w:cs="Times New Roman"/>
          <w:sz w:val="24"/>
          <w:szCs w:val="24"/>
        </w:rPr>
        <w:t>b</w:t>
      </w:r>
      <w:r w:rsidRPr="000139D9">
        <w:rPr>
          <w:rFonts w:ascii="Times New Roman" w:hAnsi="Times New Roman" w:cs="Times New Roman"/>
          <w:sz w:val="24"/>
          <w:szCs w:val="24"/>
        </w:rPr>
        <w:t>).</w:t>
      </w:r>
    </w:p>
    <w:p w14:paraId="58E43889" w14:textId="60C10D32"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No segmento que congrega as trajetórias baseadas, majoritariamente, na força de trabalho familiar, entre 1995 e 2017, houve a redução da importância absoluta da trajetória liderada pelas culturas temporárias e por sua crescente especialização na produção de mandioca, abacaxi e milho; noutra trajetória, diferenciada pela importância das culturas permanentes e dinâmicas agroflorestais, também houve persistente crescimento, 4,35% a.a., impulsionado sobretudo, pela ampliação da ´produção do cacau, mesmo assim sua participação ainda é pouco </w:t>
      </w:r>
      <w:r w:rsidRPr="000139D9">
        <w:rPr>
          <w:rFonts w:ascii="Times New Roman" w:hAnsi="Times New Roman" w:cs="Times New Roman"/>
          <w:sz w:val="24"/>
          <w:szCs w:val="24"/>
        </w:rPr>
        <w:lastRenderedPageBreak/>
        <w:t xml:space="preserve">expressiva em relação ao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xml:space="preserve"> da agropecuária regional, alcançando naquele ano 2,08%; por fim, a trajetória caracterizada pela predominância do gado bovino de corte, também registrou crescimento no período (2,91% a.a.), marcado pela crescente especialização em rebanhos de corte e pela redução da importância relativa da produção de leite, sendo a trajetória camponesa mais regionalmente mais relevante representando aproximadamente 1/4 do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xml:space="preserve"> da agropecuária regional (Figura </w:t>
      </w:r>
      <w:r w:rsidR="00BC4390">
        <w:rPr>
          <w:rFonts w:ascii="Times New Roman" w:hAnsi="Times New Roman" w:cs="Times New Roman"/>
          <w:sz w:val="24"/>
          <w:szCs w:val="24"/>
        </w:rPr>
        <w:t>2</w:t>
      </w:r>
      <w:r w:rsidRPr="000139D9">
        <w:rPr>
          <w:rFonts w:ascii="Times New Roman" w:hAnsi="Times New Roman" w:cs="Times New Roman"/>
          <w:sz w:val="24"/>
          <w:szCs w:val="24"/>
        </w:rPr>
        <w:t>).</w:t>
      </w:r>
    </w:p>
    <w:p w14:paraId="4659CEBD" w14:textId="3B7032E5"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De forma que, na região de Carajás, o conjunto das trajetórias sustentadas pelo trabalho assalariado obtiveram ampliação na participação relativa no valor bruto da produção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agropecuária regional de 46,8%, em 1996, para 70,5 %, em 2017; alargamento vinculado ao incremento do número de estabelecimentos, das terras controladas por essas trajetórias, que passaram de 5,4 milhões para 8 milhões de ha assentados em taxas de crescimento médio de 7,55% a.a., 1,9% e 7,95% a.a</w:t>
      </w:r>
      <w:r w:rsidR="007C2178">
        <w:rPr>
          <w:rFonts w:ascii="Times New Roman" w:hAnsi="Times New Roman" w:cs="Times New Roman"/>
          <w:sz w:val="24"/>
          <w:szCs w:val="24"/>
        </w:rPr>
        <w:t>.</w:t>
      </w:r>
      <w:r w:rsidRPr="000139D9">
        <w:rPr>
          <w:rFonts w:ascii="Times New Roman" w:hAnsi="Times New Roman" w:cs="Times New Roman"/>
          <w:sz w:val="24"/>
          <w:szCs w:val="24"/>
        </w:rPr>
        <w:t xml:space="preserve">, respectivamente (Tabela </w:t>
      </w:r>
      <w:r w:rsidR="00B94E66">
        <w:rPr>
          <w:rFonts w:ascii="Times New Roman" w:hAnsi="Times New Roman" w:cs="Times New Roman"/>
          <w:sz w:val="24"/>
          <w:szCs w:val="24"/>
        </w:rPr>
        <w:t>3</w:t>
      </w:r>
      <w:r w:rsidRPr="000139D9">
        <w:rPr>
          <w:rFonts w:ascii="Times New Roman" w:hAnsi="Times New Roman" w:cs="Times New Roman"/>
          <w:sz w:val="24"/>
          <w:szCs w:val="24"/>
        </w:rPr>
        <w:t xml:space="preserve">). Em relação às trajetórias baseadas no trabalho familiar, as áreas permaneceram inalteradas, ocupando 2,6 milhões de ha e, evidentemente, houve a retração na participação relativa deste segmento para 29,5% do </w:t>
      </w:r>
      <w:proofErr w:type="spellStart"/>
      <w:r w:rsidRPr="000139D9">
        <w:rPr>
          <w:rFonts w:ascii="Times New Roman" w:hAnsi="Times New Roman" w:cs="Times New Roman"/>
          <w:sz w:val="24"/>
          <w:szCs w:val="24"/>
        </w:rPr>
        <w:t>VAB</w:t>
      </w:r>
      <w:proofErr w:type="spellEnd"/>
      <w:r w:rsidRPr="000139D9">
        <w:rPr>
          <w:rFonts w:ascii="Times New Roman" w:hAnsi="Times New Roman" w:cs="Times New Roman"/>
          <w:sz w:val="24"/>
          <w:szCs w:val="24"/>
        </w:rPr>
        <w:t xml:space="preserve"> agropecuário.</w:t>
      </w:r>
    </w:p>
    <w:p w14:paraId="7E5D02DF" w14:textId="77777777" w:rsidR="007E705E"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Por conseguinte, parcela do elevado crescimento do produto social da região se deve à consolidação e ao rápido incremento de trajetórias sustentadas por culturas temporárias e por bovinos de corte que se afirmam como as amplamente dominantes no agrário regional, encontrando residual contraponto em trajetórias baseadas em sistemas agroflorestais e culturas permanentes. A conformação das trajetórias </w:t>
      </w:r>
      <w:bookmarkStart w:id="20" w:name="_Hlk97993991"/>
      <w:proofErr w:type="spellStart"/>
      <w:r w:rsidRPr="000139D9">
        <w:rPr>
          <w:rFonts w:ascii="Times New Roman" w:hAnsi="Times New Roman" w:cs="Times New Roman"/>
          <w:sz w:val="24"/>
          <w:szCs w:val="24"/>
        </w:rPr>
        <w:t>tecnoprodutivas</w:t>
      </w:r>
      <w:bookmarkEnd w:id="20"/>
      <w:proofErr w:type="spellEnd"/>
      <w:r w:rsidRPr="000139D9">
        <w:rPr>
          <w:rFonts w:ascii="Times New Roman" w:hAnsi="Times New Roman" w:cs="Times New Roman"/>
          <w:sz w:val="24"/>
          <w:szCs w:val="24"/>
        </w:rPr>
        <w:t xml:space="preserve"> camponesas encontra-se direta e profundamente vinculada à ampliação na produção do uso de adubos e corretivos químicos e de combustíveis fósseis, tanto que, entre 1996 e 2017, as taxas de acréscimo anual médio das despesas com a aquisição de adubos e corretivos, de agrotóxicos e de combustíveis foram, respectivamente, de 11,02%, 15,56% e 7,32%, muito superiores à taxa de crescimento médio anual do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xml:space="preserve"> que, no período, foi de 2,54%. Nas trajetórias patronais, a tendência de significativa ampliação na quimificação da produção também foi observada. Enquanto no período a taxa de incremento médio anual do </w:t>
      </w:r>
      <w:proofErr w:type="spellStart"/>
      <w:r w:rsidRPr="000139D9">
        <w:rPr>
          <w:rFonts w:ascii="Times New Roman" w:hAnsi="Times New Roman" w:cs="Times New Roman"/>
          <w:sz w:val="24"/>
          <w:szCs w:val="24"/>
        </w:rPr>
        <w:t>VBP</w:t>
      </w:r>
      <w:proofErr w:type="spellEnd"/>
      <w:r w:rsidRPr="000139D9">
        <w:rPr>
          <w:rFonts w:ascii="Times New Roman" w:hAnsi="Times New Roman" w:cs="Times New Roman"/>
          <w:sz w:val="24"/>
          <w:szCs w:val="24"/>
        </w:rPr>
        <w:t xml:space="preserve"> dessas trajetórias foi de 7,55%, as relativas às despesas com adubos e corretivos e com agrotóxicos alcançaram 28,81% e 18,25%, respectivamente (Tabela 3).</w:t>
      </w:r>
    </w:p>
    <w:p w14:paraId="07B726F6" w14:textId="77777777" w:rsidR="00E051A3" w:rsidRPr="000139D9" w:rsidRDefault="00E051A3" w:rsidP="00E051A3">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lastRenderedPageBreak/>
        <w:t xml:space="preserve">As dinâmicas de ampliação da quimificação e de avolumamento da dependência de combustíveis fósseis registrados nas trajetórias </w:t>
      </w:r>
      <w:proofErr w:type="spellStart"/>
      <w:r w:rsidRPr="000139D9">
        <w:rPr>
          <w:rFonts w:ascii="Times New Roman" w:hAnsi="Times New Roman" w:cs="Times New Roman"/>
          <w:sz w:val="24"/>
          <w:szCs w:val="24"/>
        </w:rPr>
        <w:t>tecnoprodutivas</w:t>
      </w:r>
      <w:proofErr w:type="spellEnd"/>
      <w:r w:rsidRPr="000139D9">
        <w:rPr>
          <w:rFonts w:ascii="Times New Roman" w:hAnsi="Times New Roman" w:cs="Times New Roman"/>
          <w:sz w:val="24"/>
          <w:szCs w:val="24"/>
        </w:rPr>
        <w:t xml:space="preserve"> do agrário da região de Carajás guardam grande aderência ao que foi inferido em relação à combinação de capacidades e de variedades de fontes de inovação que caracterizam a região, sobretudo a representada pelo padrão 15 (Figura </w:t>
      </w:r>
      <w:r>
        <w:rPr>
          <w:rFonts w:ascii="Times New Roman" w:hAnsi="Times New Roman" w:cs="Times New Roman"/>
          <w:sz w:val="24"/>
          <w:szCs w:val="24"/>
        </w:rPr>
        <w:t>2</w:t>
      </w:r>
      <w:r w:rsidRPr="000139D9">
        <w:rPr>
          <w:rFonts w:ascii="Times New Roman" w:hAnsi="Times New Roman" w:cs="Times New Roman"/>
          <w:sz w:val="24"/>
          <w:szCs w:val="24"/>
        </w:rPr>
        <w:t>), isto porque no agrário as trajetórias majoritárias e que se fortalecem são ampla, crescente e excessivamente dependentes de insumos químicos e mecânicos de origem extrarregional.</w:t>
      </w:r>
    </w:p>
    <w:p w14:paraId="51441986" w14:textId="77777777" w:rsidR="007E705E" w:rsidRPr="000139D9" w:rsidRDefault="007E705E" w:rsidP="00C74F03">
      <w:pPr>
        <w:keepNext/>
        <w:spacing w:after="0" w:line="360" w:lineRule="auto"/>
        <w:jc w:val="both"/>
        <w:rPr>
          <w:rFonts w:ascii="Times New Roman" w:hAnsi="Times New Roman" w:cs="Times New Roman"/>
          <w:i/>
          <w:iCs/>
          <w:sz w:val="24"/>
          <w:szCs w:val="24"/>
        </w:rPr>
      </w:pPr>
      <w:r w:rsidRPr="000139D9">
        <w:rPr>
          <w:rFonts w:ascii="Times New Roman" w:hAnsi="Times New Roman" w:cs="Times New Roman"/>
          <w:i/>
          <w:iCs/>
          <w:sz w:val="24"/>
          <w:szCs w:val="24"/>
        </w:rPr>
        <w:t xml:space="preserve">Tabela 3 – </w:t>
      </w:r>
      <w:r w:rsidRPr="000139D9">
        <w:rPr>
          <w:rFonts w:ascii="Times New Roman" w:eastAsia="Times New Roman" w:hAnsi="Times New Roman" w:cs="Times New Roman"/>
          <w:i/>
          <w:iCs/>
          <w:sz w:val="24"/>
          <w:szCs w:val="24"/>
          <w:lang w:eastAsia="pt-BR"/>
        </w:rPr>
        <w:t>Taxas de crescimento médio anual</w:t>
      </w:r>
      <w:r w:rsidRPr="000139D9">
        <w:rPr>
          <w:rFonts w:ascii="Times New Roman" w:hAnsi="Times New Roman" w:cs="Times New Roman"/>
          <w:i/>
          <w:iCs/>
          <w:sz w:val="24"/>
          <w:szCs w:val="24"/>
        </w:rPr>
        <w:t xml:space="preserve"> de atributos selecionadas de trajetórias </w:t>
      </w:r>
      <w:proofErr w:type="spellStart"/>
      <w:r w:rsidRPr="000139D9">
        <w:rPr>
          <w:rFonts w:ascii="Times New Roman" w:hAnsi="Times New Roman" w:cs="Times New Roman"/>
          <w:i/>
          <w:iCs/>
          <w:sz w:val="24"/>
          <w:szCs w:val="24"/>
        </w:rPr>
        <w:t>tecnoprodutivas</w:t>
      </w:r>
      <w:proofErr w:type="spellEnd"/>
      <w:r w:rsidRPr="000139D9">
        <w:rPr>
          <w:rFonts w:ascii="Times New Roman" w:hAnsi="Times New Roman" w:cs="Times New Roman"/>
          <w:i/>
          <w:iCs/>
          <w:sz w:val="24"/>
          <w:szCs w:val="24"/>
        </w:rPr>
        <w:t xml:space="preserve"> do agrário de Carajás (1995/96 e 2017).</w:t>
      </w:r>
    </w:p>
    <w:tbl>
      <w:tblPr>
        <w:tblW w:w="5000" w:type="pct"/>
        <w:tblLayout w:type="fixed"/>
        <w:tblCellMar>
          <w:left w:w="70" w:type="dxa"/>
          <w:right w:w="70" w:type="dxa"/>
        </w:tblCellMar>
        <w:tblLook w:val="04A0" w:firstRow="1" w:lastRow="0" w:firstColumn="1" w:lastColumn="0" w:noHBand="0" w:noVBand="1"/>
      </w:tblPr>
      <w:tblGrid>
        <w:gridCol w:w="4267"/>
        <w:gridCol w:w="2137"/>
        <w:gridCol w:w="2667"/>
      </w:tblGrid>
      <w:tr w:rsidR="007E705E" w:rsidRPr="00AC07D3" w14:paraId="55AF77EF" w14:textId="77777777" w:rsidTr="002553CE">
        <w:trPr>
          <w:trHeight w:hRule="exact" w:val="397"/>
        </w:trPr>
        <w:tc>
          <w:tcPr>
            <w:tcW w:w="2352" w:type="pct"/>
            <w:tcBorders>
              <w:top w:val="single" w:sz="4" w:space="0" w:color="auto"/>
              <w:left w:val="nil"/>
              <w:bottom w:val="single" w:sz="4" w:space="0" w:color="auto"/>
              <w:right w:val="single" w:sz="4" w:space="0" w:color="auto"/>
            </w:tcBorders>
            <w:shd w:val="clear" w:color="auto" w:fill="auto"/>
            <w:vAlign w:val="center"/>
            <w:hideMark/>
          </w:tcPr>
          <w:p w14:paraId="3C9414E7" w14:textId="77777777" w:rsidR="007E705E" w:rsidRPr="0063503B" w:rsidRDefault="007E705E" w:rsidP="002553CE">
            <w:pPr>
              <w:keepNext/>
              <w:spacing w:after="0"/>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Atributo </w:t>
            </w:r>
          </w:p>
        </w:tc>
        <w:tc>
          <w:tcPr>
            <w:tcW w:w="2648" w:type="pct"/>
            <w:gridSpan w:val="2"/>
            <w:tcBorders>
              <w:top w:val="single" w:sz="4" w:space="0" w:color="auto"/>
              <w:left w:val="nil"/>
              <w:bottom w:val="single" w:sz="4" w:space="0" w:color="auto"/>
              <w:right w:val="nil"/>
            </w:tcBorders>
            <w:shd w:val="clear" w:color="auto" w:fill="auto"/>
            <w:noWrap/>
            <w:vAlign w:val="center"/>
            <w:hideMark/>
          </w:tcPr>
          <w:p w14:paraId="17F2B8FD" w14:textId="77777777" w:rsidR="007E705E" w:rsidRPr="0063503B" w:rsidRDefault="007E705E" w:rsidP="002553CE">
            <w:pPr>
              <w:keepNext/>
              <w:spacing w:after="0"/>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 xml:space="preserve">Taxas de crescimento médio anual </w:t>
            </w:r>
            <w:r>
              <w:rPr>
                <w:rFonts w:ascii="Times New Roman" w:eastAsia="Times New Roman" w:hAnsi="Times New Roman" w:cs="Times New Roman"/>
                <w:szCs w:val="24"/>
                <w:lang w:eastAsia="pt-BR"/>
              </w:rPr>
              <w:t>d</w:t>
            </w:r>
            <w:r w:rsidRPr="0063503B">
              <w:rPr>
                <w:rFonts w:ascii="Times New Roman" w:eastAsia="Times New Roman" w:hAnsi="Times New Roman" w:cs="Times New Roman"/>
                <w:szCs w:val="24"/>
                <w:lang w:eastAsia="pt-BR"/>
              </w:rPr>
              <w:t>as trajetórias</w:t>
            </w:r>
          </w:p>
        </w:tc>
      </w:tr>
      <w:tr w:rsidR="007E705E" w:rsidRPr="0063503B" w14:paraId="340A9412" w14:textId="77777777" w:rsidTr="002553CE">
        <w:trPr>
          <w:trHeight w:hRule="exact" w:val="397"/>
        </w:trPr>
        <w:tc>
          <w:tcPr>
            <w:tcW w:w="2352" w:type="pct"/>
            <w:tcBorders>
              <w:top w:val="single" w:sz="4" w:space="0" w:color="auto"/>
              <w:left w:val="nil"/>
              <w:bottom w:val="single" w:sz="4" w:space="0" w:color="auto"/>
              <w:right w:val="nil"/>
            </w:tcBorders>
            <w:shd w:val="clear" w:color="auto" w:fill="auto"/>
            <w:vAlign w:val="center"/>
            <w:hideMark/>
          </w:tcPr>
          <w:p w14:paraId="4798E43D" w14:textId="77777777" w:rsidR="007E705E" w:rsidRPr="0063503B" w:rsidRDefault="007E705E" w:rsidP="002553CE">
            <w:pPr>
              <w:keepNext/>
              <w:spacing w:after="0"/>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 </w:t>
            </w:r>
          </w:p>
        </w:tc>
        <w:tc>
          <w:tcPr>
            <w:tcW w:w="1178" w:type="pct"/>
            <w:tcBorders>
              <w:top w:val="single" w:sz="4" w:space="0" w:color="auto"/>
              <w:left w:val="single" w:sz="4" w:space="0" w:color="auto"/>
              <w:bottom w:val="single" w:sz="4" w:space="0" w:color="auto"/>
              <w:right w:val="nil"/>
            </w:tcBorders>
            <w:shd w:val="clear" w:color="auto" w:fill="auto"/>
            <w:noWrap/>
            <w:vAlign w:val="center"/>
            <w:hideMark/>
          </w:tcPr>
          <w:p w14:paraId="4F78DEE3" w14:textId="77777777" w:rsidR="007E705E" w:rsidRPr="0063503B" w:rsidRDefault="007E705E" w:rsidP="002553CE">
            <w:pPr>
              <w:keepNext/>
              <w:spacing w:after="0"/>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Patronais</w:t>
            </w:r>
          </w:p>
        </w:tc>
        <w:tc>
          <w:tcPr>
            <w:tcW w:w="1470" w:type="pct"/>
            <w:tcBorders>
              <w:top w:val="single" w:sz="4" w:space="0" w:color="auto"/>
              <w:left w:val="nil"/>
              <w:bottom w:val="single" w:sz="4" w:space="0" w:color="auto"/>
            </w:tcBorders>
            <w:shd w:val="clear" w:color="auto" w:fill="auto"/>
            <w:noWrap/>
            <w:vAlign w:val="center"/>
            <w:hideMark/>
          </w:tcPr>
          <w:p w14:paraId="6B0B856D" w14:textId="77777777" w:rsidR="007E705E" w:rsidRPr="0063503B" w:rsidRDefault="007E705E" w:rsidP="002553CE">
            <w:pPr>
              <w:keepNext/>
              <w:spacing w:after="0"/>
              <w:jc w:val="center"/>
              <w:rPr>
                <w:rFonts w:ascii="Times New Roman" w:eastAsia="Times New Roman" w:hAnsi="Times New Roman" w:cs="Times New Roman"/>
                <w:szCs w:val="24"/>
                <w:lang w:eastAsia="pt-BR"/>
              </w:rPr>
            </w:pPr>
            <w:r w:rsidRPr="0063503B">
              <w:rPr>
                <w:rFonts w:ascii="Times New Roman" w:eastAsia="Times New Roman" w:hAnsi="Times New Roman" w:cs="Times New Roman"/>
                <w:szCs w:val="24"/>
                <w:lang w:eastAsia="pt-BR"/>
              </w:rPr>
              <w:t>Camponesas</w:t>
            </w:r>
          </w:p>
        </w:tc>
      </w:tr>
      <w:tr w:rsidR="007E705E" w:rsidRPr="000139D9" w14:paraId="687CF503" w14:textId="77777777" w:rsidTr="002553CE">
        <w:trPr>
          <w:trHeight w:hRule="exact" w:val="397"/>
        </w:trPr>
        <w:tc>
          <w:tcPr>
            <w:tcW w:w="2352" w:type="pct"/>
            <w:tcBorders>
              <w:top w:val="nil"/>
              <w:left w:val="nil"/>
              <w:bottom w:val="nil"/>
              <w:right w:val="nil"/>
            </w:tcBorders>
            <w:shd w:val="clear" w:color="auto" w:fill="auto"/>
            <w:vAlign w:val="center"/>
            <w:hideMark/>
          </w:tcPr>
          <w:p w14:paraId="14DF388E" w14:textId="77777777" w:rsidR="007E705E" w:rsidRPr="000139D9" w:rsidRDefault="007E705E" w:rsidP="002553CE">
            <w:pPr>
              <w:keepNext/>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Número de estabelecimentos</w:t>
            </w:r>
            <w:r w:rsidRPr="000139D9">
              <w:rPr>
                <w:rFonts w:ascii="Times New Roman" w:eastAsia="Times New Roman" w:hAnsi="Times New Roman" w:cs="Times New Roman"/>
                <w:sz w:val="24"/>
                <w:szCs w:val="24"/>
                <w:vertAlign w:val="superscript"/>
                <w:lang w:eastAsia="pt-BR"/>
              </w:rPr>
              <w:t>1</w:t>
            </w:r>
          </w:p>
        </w:tc>
        <w:tc>
          <w:tcPr>
            <w:tcW w:w="1178" w:type="pct"/>
            <w:tcBorders>
              <w:top w:val="nil"/>
              <w:left w:val="single" w:sz="4" w:space="0" w:color="auto"/>
              <w:bottom w:val="nil"/>
              <w:right w:val="nil"/>
            </w:tcBorders>
            <w:shd w:val="clear" w:color="auto" w:fill="auto"/>
            <w:noWrap/>
            <w:vAlign w:val="center"/>
            <w:hideMark/>
          </w:tcPr>
          <w:p w14:paraId="52895409"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7,95%</w:t>
            </w:r>
          </w:p>
        </w:tc>
        <w:tc>
          <w:tcPr>
            <w:tcW w:w="1470" w:type="pct"/>
            <w:tcBorders>
              <w:top w:val="nil"/>
              <w:left w:val="nil"/>
              <w:bottom w:val="nil"/>
            </w:tcBorders>
            <w:shd w:val="clear" w:color="auto" w:fill="auto"/>
            <w:noWrap/>
            <w:vAlign w:val="center"/>
            <w:hideMark/>
          </w:tcPr>
          <w:p w14:paraId="7969BCCD"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1,10%</w:t>
            </w:r>
          </w:p>
        </w:tc>
      </w:tr>
      <w:tr w:rsidR="007E705E" w:rsidRPr="000139D9" w14:paraId="7CAF8738" w14:textId="77777777" w:rsidTr="002553CE">
        <w:trPr>
          <w:trHeight w:hRule="exact" w:val="397"/>
        </w:trPr>
        <w:tc>
          <w:tcPr>
            <w:tcW w:w="2352" w:type="pct"/>
            <w:tcBorders>
              <w:top w:val="nil"/>
              <w:left w:val="nil"/>
              <w:bottom w:val="nil"/>
              <w:right w:val="nil"/>
            </w:tcBorders>
            <w:shd w:val="clear" w:color="auto" w:fill="auto"/>
            <w:vAlign w:val="center"/>
            <w:hideMark/>
          </w:tcPr>
          <w:p w14:paraId="1CD06DB3" w14:textId="77777777" w:rsidR="007E705E" w:rsidRPr="000139D9" w:rsidRDefault="007E705E" w:rsidP="002553CE">
            <w:pPr>
              <w:keepNext/>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Área dos estabelecimentos</w:t>
            </w:r>
            <w:r w:rsidRPr="000139D9">
              <w:rPr>
                <w:rFonts w:ascii="Times New Roman" w:eastAsia="Times New Roman" w:hAnsi="Times New Roman" w:cs="Times New Roman"/>
                <w:sz w:val="24"/>
                <w:szCs w:val="24"/>
                <w:vertAlign w:val="superscript"/>
                <w:lang w:eastAsia="pt-BR"/>
              </w:rPr>
              <w:t>1</w:t>
            </w:r>
          </w:p>
        </w:tc>
        <w:tc>
          <w:tcPr>
            <w:tcW w:w="1178" w:type="pct"/>
            <w:tcBorders>
              <w:top w:val="nil"/>
              <w:left w:val="single" w:sz="4" w:space="0" w:color="auto"/>
              <w:bottom w:val="nil"/>
              <w:right w:val="nil"/>
            </w:tcBorders>
            <w:shd w:val="clear" w:color="auto" w:fill="auto"/>
            <w:noWrap/>
            <w:vAlign w:val="center"/>
            <w:hideMark/>
          </w:tcPr>
          <w:p w14:paraId="030D3E4D"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1,90%</w:t>
            </w:r>
          </w:p>
        </w:tc>
        <w:tc>
          <w:tcPr>
            <w:tcW w:w="1470" w:type="pct"/>
            <w:tcBorders>
              <w:top w:val="nil"/>
              <w:left w:val="nil"/>
              <w:bottom w:val="nil"/>
            </w:tcBorders>
            <w:shd w:val="clear" w:color="auto" w:fill="auto"/>
            <w:noWrap/>
            <w:vAlign w:val="center"/>
            <w:hideMark/>
          </w:tcPr>
          <w:p w14:paraId="2E1BD462"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-0,01%</w:t>
            </w:r>
          </w:p>
        </w:tc>
      </w:tr>
      <w:tr w:rsidR="007E705E" w:rsidRPr="000139D9" w14:paraId="371D4D3A" w14:textId="77777777" w:rsidTr="002553CE">
        <w:trPr>
          <w:trHeight w:hRule="exact" w:val="397"/>
        </w:trPr>
        <w:tc>
          <w:tcPr>
            <w:tcW w:w="2352" w:type="pct"/>
            <w:tcBorders>
              <w:top w:val="nil"/>
              <w:left w:val="nil"/>
              <w:bottom w:val="nil"/>
              <w:right w:val="nil"/>
            </w:tcBorders>
            <w:shd w:val="clear" w:color="auto" w:fill="auto"/>
            <w:vAlign w:val="center"/>
            <w:hideMark/>
          </w:tcPr>
          <w:p w14:paraId="74E37B75" w14:textId="77777777" w:rsidR="007E705E" w:rsidRPr="000139D9" w:rsidRDefault="007E705E" w:rsidP="002553CE">
            <w:pPr>
              <w:keepNext/>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Valor bruto da produção</w:t>
            </w:r>
            <w:r w:rsidRPr="000139D9">
              <w:rPr>
                <w:rFonts w:ascii="Times New Roman" w:eastAsia="Times New Roman" w:hAnsi="Times New Roman" w:cs="Times New Roman"/>
                <w:sz w:val="24"/>
                <w:szCs w:val="24"/>
                <w:vertAlign w:val="superscript"/>
                <w:lang w:eastAsia="pt-BR"/>
              </w:rPr>
              <w:t>2</w:t>
            </w:r>
          </w:p>
        </w:tc>
        <w:tc>
          <w:tcPr>
            <w:tcW w:w="1178" w:type="pct"/>
            <w:tcBorders>
              <w:top w:val="nil"/>
              <w:left w:val="single" w:sz="4" w:space="0" w:color="auto"/>
              <w:bottom w:val="nil"/>
              <w:right w:val="nil"/>
            </w:tcBorders>
            <w:shd w:val="clear" w:color="auto" w:fill="auto"/>
            <w:noWrap/>
            <w:vAlign w:val="center"/>
            <w:hideMark/>
          </w:tcPr>
          <w:p w14:paraId="56042B1E"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7,55%</w:t>
            </w:r>
          </w:p>
        </w:tc>
        <w:tc>
          <w:tcPr>
            <w:tcW w:w="1470" w:type="pct"/>
            <w:tcBorders>
              <w:top w:val="nil"/>
              <w:left w:val="nil"/>
              <w:bottom w:val="nil"/>
            </w:tcBorders>
            <w:shd w:val="clear" w:color="auto" w:fill="auto"/>
            <w:noWrap/>
            <w:vAlign w:val="center"/>
            <w:hideMark/>
          </w:tcPr>
          <w:p w14:paraId="78F70239"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2,54%</w:t>
            </w:r>
          </w:p>
        </w:tc>
      </w:tr>
      <w:tr w:rsidR="007E705E" w:rsidRPr="000139D9" w14:paraId="35EF121A" w14:textId="77777777" w:rsidTr="002553CE">
        <w:trPr>
          <w:trHeight w:hRule="exact" w:val="397"/>
        </w:trPr>
        <w:tc>
          <w:tcPr>
            <w:tcW w:w="2352" w:type="pct"/>
            <w:tcBorders>
              <w:top w:val="nil"/>
              <w:left w:val="nil"/>
              <w:bottom w:val="nil"/>
              <w:right w:val="nil"/>
            </w:tcBorders>
            <w:shd w:val="clear" w:color="auto" w:fill="auto"/>
            <w:vAlign w:val="center"/>
            <w:hideMark/>
          </w:tcPr>
          <w:p w14:paraId="7A28821C" w14:textId="77777777" w:rsidR="007E705E" w:rsidRPr="000139D9" w:rsidRDefault="007E705E" w:rsidP="002553CE">
            <w:pPr>
              <w:keepNext/>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Despesas com adubos e corretivos</w:t>
            </w:r>
            <w:r w:rsidRPr="000139D9">
              <w:rPr>
                <w:rFonts w:ascii="Times New Roman" w:eastAsia="Times New Roman" w:hAnsi="Times New Roman" w:cs="Times New Roman"/>
                <w:sz w:val="24"/>
                <w:szCs w:val="24"/>
                <w:vertAlign w:val="superscript"/>
                <w:lang w:eastAsia="pt-BR"/>
              </w:rPr>
              <w:t>2</w:t>
            </w:r>
          </w:p>
        </w:tc>
        <w:tc>
          <w:tcPr>
            <w:tcW w:w="1178" w:type="pct"/>
            <w:tcBorders>
              <w:top w:val="nil"/>
              <w:left w:val="single" w:sz="4" w:space="0" w:color="auto"/>
              <w:bottom w:val="nil"/>
              <w:right w:val="nil"/>
            </w:tcBorders>
            <w:shd w:val="clear" w:color="auto" w:fill="auto"/>
            <w:noWrap/>
            <w:vAlign w:val="center"/>
            <w:hideMark/>
          </w:tcPr>
          <w:p w14:paraId="7F14566B"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28,81%</w:t>
            </w:r>
          </w:p>
        </w:tc>
        <w:tc>
          <w:tcPr>
            <w:tcW w:w="1470" w:type="pct"/>
            <w:tcBorders>
              <w:top w:val="nil"/>
              <w:left w:val="nil"/>
              <w:bottom w:val="nil"/>
            </w:tcBorders>
            <w:shd w:val="clear" w:color="auto" w:fill="auto"/>
            <w:noWrap/>
            <w:vAlign w:val="center"/>
            <w:hideMark/>
          </w:tcPr>
          <w:p w14:paraId="4A443697"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11,02%</w:t>
            </w:r>
          </w:p>
        </w:tc>
      </w:tr>
      <w:tr w:rsidR="007E705E" w:rsidRPr="000139D9" w14:paraId="336D0D8C" w14:textId="77777777" w:rsidTr="002553CE">
        <w:trPr>
          <w:trHeight w:hRule="exact" w:val="397"/>
        </w:trPr>
        <w:tc>
          <w:tcPr>
            <w:tcW w:w="2352" w:type="pct"/>
            <w:tcBorders>
              <w:top w:val="nil"/>
              <w:left w:val="nil"/>
              <w:bottom w:val="nil"/>
              <w:right w:val="nil"/>
            </w:tcBorders>
            <w:shd w:val="clear" w:color="auto" w:fill="auto"/>
            <w:vAlign w:val="center"/>
            <w:hideMark/>
          </w:tcPr>
          <w:p w14:paraId="2F9641B8" w14:textId="77777777" w:rsidR="007E705E" w:rsidRPr="000139D9" w:rsidRDefault="007E705E" w:rsidP="002553CE">
            <w:pPr>
              <w:keepNext/>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Despesas com agrotóxicos</w:t>
            </w:r>
            <w:r w:rsidRPr="000139D9">
              <w:rPr>
                <w:rFonts w:ascii="Times New Roman" w:eastAsia="Times New Roman" w:hAnsi="Times New Roman" w:cs="Times New Roman"/>
                <w:sz w:val="24"/>
                <w:szCs w:val="24"/>
                <w:vertAlign w:val="superscript"/>
                <w:lang w:eastAsia="pt-BR"/>
              </w:rPr>
              <w:t>2</w:t>
            </w:r>
          </w:p>
        </w:tc>
        <w:tc>
          <w:tcPr>
            <w:tcW w:w="1178" w:type="pct"/>
            <w:tcBorders>
              <w:top w:val="nil"/>
              <w:left w:val="single" w:sz="4" w:space="0" w:color="auto"/>
              <w:bottom w:val="nil"/>
              <w:right w:val="nil"/>
            </w:tcBorders>
            <w:shd w:val="clear" w:color="auto" w:fill="auto"/>
            <w:noWrap/>
            <w:vAlign w:val="center"/>
            <w:hideMark/>
          </w:tcPr>
          <w:p w14:paraId="3263F441"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18,25%</w:t>
            </w:r>
          </w:p>
        </w:tc>
        <w:tc>
          <w:tcPr>
            <w:tcW w:w="1470" w:type="pct"/>
            <w:tcBorders>
              <w:top w:val="nil"/>
              <w:left w:val="nil"/>
              <w:bottom w:val="nil"/>
            </w:tcBorders>
            <w:shd w:val="clear" w:color="auto" w:fill="auto"/>
            <w:noWrap/>
            <w:vAlign w:val="center"/>
            <w:hideMark/>
          </w:tcPr>
          <w:p w14:paraId="3F9E353C"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15,56%</w:t>
            </w:r>
          </w:p>
        </w:tc>
      </w:tr>
      <w:tr w:rsidR="007E705E" w:rsidRPr="000139D9" w14:paraId="5A355E08" w14:textId="77777777" w:rsidTr="008E3E10">
        <w:trPr>
          <w:trHeight w:hRule="exact" w:val="557"/>
        </w:trPr>
        <w:tc>
          <w:tcPr>
            <w:tcW w:w="2352" w:type="pct"/>
            <w:tcBorders>
              <w:top w:val="nil"/>
              <w:left w:val="nil"/>
              <w:bottom w:val="single" w:sz="4" w:space="0" w:color="auto"/>
              <w:right w:val="nil"/>
            </w:tcBorders>
            <w:shd w:val="clear" w:color="auto" w:fill="auto"/>
            <w:vAlign w:val="center"/>
            <w:hideMark/>
          </w:tcPr>
          <w:p w14:paraId="79AD8A06" w14:textId="77777777" w:rsidR="007E705E" w:rsidRPr="000139D9" w:rsidRDefault="007E705E" w:rsidP="002553CE">
            <w:pPr>
              <w:keepNext/>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Despesas com combustíveis e lubrificantes</w:t>
            </w:r>
            <w:r w:rsidRPr="000139D9">
              <w:rPr>
                <w:rFonts w:ascii="Times New Roman" w:eastAsia="Times New Roman" w:hAnsi="Times New Roman" w:cs="Times New Roman"/>
                <w:sz w:val="24"/>
                <w:szCs w:val="24"/>
                <w:vertAlign w:val="superscript"/>
                <w:lang w:eastAsia="pt-BR"/>
              </w:rPr>
              <w:t>2</w:t>
            </w:r>
          </w:p>
        </w:tc>
        <w:tc>
          <w:tcPr>
            <w:tcW w:w="1178" w:type="pct"/>
            <w:tcBorders>
              <w:top w:val="nil"/>
              <w:left w:val="single" w:sz="4" w:space="0" w:color="auto"/>
              <w:bottom w:val="single" w:sz="4" w:space="0" w:color="auto"/>
              <w:right w:val="nil"/>
            </w:tcBorders>
            <w:shd w:val="clear" w:color="auto" w:fill="auto"/>
            <w:noWrap/>
            <w:vAlign w:val="center"/>
            <w:hideMark/>
          </w:tcPr>
          <w:p w14:paraId="1195040A"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6,66%</w:t>
            </w:r>
          </w:p>
        </w:tc>
        <w:tc>
          <w:tcPr>
            <w:tcW w:w="1470" w:type="pct"/>
            <w:tcBorders>
              <w:top w:val="nil"/>
              <w:left w:val="nil"/>
              <w:bottom w:val="single" w:sz="4" w:space="0" w:color="auto"/>
            </w:tcBorders>
            <w:shd w:val="clear" w:color="auto" w:fill="auto"/>
            <w:noWrap/>
            <w:vAlign w:val="center"/>
            <w:hideMark/>
          </w:tcPr>
          <w:p w14:paraId="1CC8B0DA" w14:textId="77777777" w:rsidR="007E705E" w:rsidRPr="000139D9" w:rsidRDefault="007E705E" w:rsidP="002553CE">
            <w:pPr>
              <w:keepNext/>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7,32%</w:t>
            </w:r>
          </w:p>
        </w:tc>
      </w:tr>
    </w:tbl>
    <w:p w14:paraId="617B1981" w14:textId="36F630C3" w:rsidR="007E705E" w:rsidRPr="00BC4390" w:rsidRDefault="007E705E" w:rsidP="00961A7E">
      <w:pPr>
        <w:pStyle w:val="SemEspaamento"/>
        <w:keepNext/>
        <w:spacing w:line="360" w:lineRule="auto"/>
        <w:ind w:firstLine="0"/>
        <w:rPr>
          <w:rFonts w:ascii="Times New Roman" w:hAnsi="Times New Roman" w:cs="Times New Roman"/>
          <w:szCs w:val="24"/>
          <w:lang w:val="pt-BR"/>
        </w:rPr>
      </w:pPr>
      <w:r w:rsidRPr="0063503B">
        <w:rPr>
          <w:rFonts w:ascii="Times New Roman" w:hAnsi="Times New Roman" w:cs="Times New Roman"/>
          <w:szCs w:val="24"/>
          <w:lang w:val="pt-BR"/>
        </w:rPr>
        <w:t xml:space="preserve">Notas: </w:t>
      </w:r>
      <w:r w:rsidRPr="0063503B">
        <w:rPr>
          <w:rFonts w:ascii="Times New Roman" w:hAnsi="Times New Roman" w:cs="Times New Roman"/>
          <w:szCs w:val="24"/>
          <w:vertAlign w:val="superscript"/>
          <w:lang w:val="pt-BR"/>
        </w:rPr>
        <w:t>1</w:t>
      </w:r>
      <w:r w:rsidRPr="0063503B">
        <w:rPr>
          <w:rFonts w:ascii="Times New Roman" w:hAnsi="Times New Roman" w:cs="Times New Roman"/>
          <w:szCs w:val="24"/>
          <w:lang w:val="pt-BR"/>
        </w:rPr>
        <w:t xml:space="preserve">Dados referem-se a 31-12-95; </w:t>
      </w:r>
      <w:r w:rsidRPr="0063503B">
        <w:rPr>
          <w:rFonts w:ascii="Times New Roman" w:hAnsi="Times New Roman" w:cs="Times New Roman"/>
          <w:szCs w:val="24"/>
          <w:vertAlign w:val="superscript"/>
          <w:lang w:val="pt-BR"/>
        </w:rPr>
        <w:t>2</w:t>
      </w:r>
      <w:r w:rsidRPr="0063503B">
        <w:rPr>
          <w:rFonts w:ascii="Times New Roman" w:hAnsi="Times New Roman" w:cs="Times New Roman"/>
          <w:szCs w:val="24"/>
          <w:lang w:val="pt-BR"/>
        </w:rPr>
        <w:t>Referem-se a julho de 1996 corrigidos para julho de 2017.</w:t>
      </w:r>
      <w:r w:rsidR="00961A7E">
        <w:rPr>
          <w:rFonts w:ascii="Times New Roman" w:hAnsi="Times New Roman" w:cs="Times New Roman"/>
          <w:szCs w:val="24"/>
          <w:lang w:val="pt-BR"/>
        </w:rPr>
        <w:t xml:space="preserve"> </w:t>
      </w:r>
      <w:r w:rsidRPr="00BC4390">
        <w:rPr>
          <w:rFonts w:ascii="Times New Roman" w:hAnsi="Times New Roman" w:cs="Times New Roman"/>
          <w:szCs w:val="24"/>
          <w:lang w:val="pt-BR"/>
        </w:rPr>
        <w:t>Fonte: Monteiro (2022</w:t>
      </w:r>
      <w:r w:rsidR="006070A5">
        <w:rPr>
          <w:rFonts w:ascii="Times New Roman" w:hAnsi="Times New Roman" w:cs="Times New Roman"/>
          <w:szCs w:val="24"/>
          <w:lang w:val="pt-BR"/>
        </w:rPr>
        <w:t>b</w:t>
      </w:r>
      <w:r w:rsidRPr="00BC4390">
        <w:rPr>
          <w:rFonts w:ascii="Times New Roman" w:hAnsi="Times New Roman" w:cs="Times New Roman"/>
          <w:szCs w:val="24"/>
          <w:lang w:val="pt-BR"/>
        </w:rPr>
        <w:t>).</w:t>
      </w:r>
    </w:p>
    <w:p w14:paraId="52CD33C3"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A fabricação e a inovação ligadas ao maquinário agrícola a que se recorre são altamente concentradas em pouquíssimas corporações com liderança setorial e presença global – um segmento industrial que oferece enormes barreiras à entrada de concorrentes (</w:t>
      </w:r>
      <w:proofErr w:type="spellStart"/>
      <w:r w:rsidRPr="000139D9">
        <w:rPr>
          <w:rFonts w:ascii="Times New Roman" w:hAnsi="Times New Roman" w:cs="Times New Roman"/>
          <w:sz w:val="24"/>
          <w:szCs w:val="24"/>
        </w:rPr>
        <w:t>SAFDAR</w:t>
      </w:r>
      <w:proofErr w:type="spellEnd"/>
      <w:r w:rsidRPr="000139D9">
        <w:rPr>
          <w:rFonts w:ascii="Times New Roman" w:hAnsi="Times New Roman" w:cs="Times New Roman"/>
          <w:sz w:val="24"/>
          <w:szCs w:val="24"/>
        </w:rPr>
        <w:t xml:space="preserve">; VAN </w:t>
      </w:r>
      <w:proofErr w:type="spellStart"/>
      <w:r w:rsidRPr="000139D9">
        <w:rPr>
          <w:rFonts w:ascii="Times New Roman" w:hAnsi="Times New Roman" w:cs="Times New Roman"/>
          <w:sz w:val="24"/>
          <w:szCs w:val="24"/>
        </w:rPr>
        <w:t>GEVELT</w:t>
      </w:r>
      <w:proofErr w:type="spellEnd"/>
      <w:r w:rsidRPr="000139D9">
        <w:rPr>
          <w:rFonts w:ascii="Times New Roman" w:hAnsi="Times New Roman" w:cs="Times New Roman"/>
          <w:sz w:val="24"/>
          <w:szCs w:val="24"/>
        </w:rPr>
        <w:t>, 2020). A produção e a inovação dos insumos químicos também o são. Em 2017, 74% do mercado mundial de defensivos agrícolas eram comandados por cinco corporações que estão ampliando rapidamente o controle também do mercado de sementes (</w:t>
      </w:r>
      <w:bookmarkStart w:id="21" w:name="_Hlk80364177"/>
      <w:proofErr w:type="spellStart"/>
      <w:r w:rsidRPr="000139D9">
        <w:rPr>
          <w:rFonts w:ascii="Times New Roman" w:hAnsi="Times New Roman" w:cs="Times New Roman"/>
          <w:sz w:val="24"/>
          <w:szCs w:val="24"/>
        </w:rPr>
        <w:t>TSOLOMYTI</w:t>
      </w:r>
      <w:proofErr w:type="spellEnd"/>
      <w:r w:rsidRPr="000139D9">
        <w:rPr>
          <w:rFonts w:ascii="Times New Roman" w:hAnsi="Times New Roman" w:cs="Times New Roman"/>
          <w:sz w:val="24"/>
          <w:szCs w:val="24"/>
        </w:rPr>
        <w:t xml:space="preserve">; </w:t>
      </w:r>
      <w:proofErr w:type="spellStart"/>
      <w:r w:rsidRPr="000139D9">
        <w:rPr>
          <w:rFonts w:ascii="Times New Roman" w:hAnsi="Times New Roman" w:cs="Times New Roman"/>
          <w:sz w:val="24"/>
          <w:szCs w:val="24"/>
        </w:rPr>
        <w:t>MAGOUTAS</w:t>
      </w:r>
      <w:proofErr w:type="spellEnd"/>
      <w:r w:rsidRPr="000139D9">
        <w:rPr>
          <w:rFonts w:ascii="Times New Roman" w:hAnsi="Times New Roman" w:cs="Times New Roman"/>
          <w:sz w:val="24"/>
          <w:szCs w:val="24"/>
        </w:rPr>
        <w:t xml:space="preserve">; </w:t>
      </w:r>
      <w:proofErr w:type="spellStart"/>
      <w:r w:rsidRPr="000139D9">
        <w:rPr>
          <w:rFonts w:ascii="Times New Roman" w:hAnsi="Times New Roman" w:cs="Times New Roman"/>
          <w:sz w:val="24"/>
          <w:szCs w:val="24"/>
        </w:rPr>
        <w:t>TSOULFAS</w:t>
      </w:r>
      <w:proofErr w:type="spellEnd"/>
      <w:r w:rsidRPr="000139D9">
        <w:rPr>
          <w:rFonts w:ascii="Times New Roman" w:hAnsi="Times New Roman" w:cs="Times New Roman"/>
          <w:sz w:val="24"/>
          <w:szCs w:val="24"/>
        </w:rPr>
        <w:t>, 2021, p. 294</w:t>
      </w:r>
      <w:bookmarkEnd w:id="21"/>
      <w:r w:rsidRPr="000139D9">
        <w:rPr>
          <w:rFonts w:ascii="Times New Roman" w:hAnsi="Times New Roman" w:cs="Times New Roman"/>
          <w:sz w:val="24"/>
          <w:szCs w:val="24"/>
        </w:rPr>
        <w:t xml:space="preserve">). </w:t>
      </w:r>
    </w:p>
    <w:p w14:paraId="2547AE10"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O problema adicional é que se trata de dependência que conflita com o uso sustentável dos recursos naturais do bioma Amazônia no qual a região está inserida (Figura 1). Com efeito, para sustentar os crescentes plantios de pastagens e de culturas anuais, recorre-se a insumos </w:t>
      </w:r>
      <w:r w:rsidRPr="000139D9">
        <w:rPr>
          <w:rFonts w:ascii="Times New Roman" w:hAnsi="Times New Roman" w:cs="Times New Roman"/>
          <w:sz w:val="24"/>
          <w:szCs w:val="24"/>
        </w:rPr>
        <w:lastRenderedPageBreak/>
        <w:t>mecânicos e químicos que envolvem riscos e mudanças ambientais, uma vez que o peso das máquinas provoca degradação física do solo, erosão e outros problemas (</w:t>
      </w:r>
      <w:bookmarkStart w:id="22" w:name="_Hlk80364301"/>
      <w:r w:rsidRPr="000139D9">
        <w:rPr>
          <w:rFonts w:ascii="Times New Roman" w:hAnsi="Times New Roman" w:cs="Times New Roman"/>
          <w:sz w:val="24"/>
          <w:szCs w:val="24"/>
        </w:rPr>
        <w:t>OSMAN, 2014)</w:t>
      </w:r>
      <w:bookmarkEnd w:id="22"/>
      <w:r w:rsidRPr="000139D9">
        <w:rPr>
          <w:rFonts w:ascii="Times New Roman" w:hAnsi="Times New Roman" w:cs="Times New Roman"/>
          <w:sz w:val="24"/>
          <w:szCs w:val="24"/>
        </w:rPr>
        <w:t>, o uso de pesticidas causa danos à microflora (</w:t>
      </w:r>
      <w:bookmarkStart w:id="23" w:name="_Hlk80364332"/>
      <w:proofErr w:type="spellStart"/>
      <w:r w:rsidRPr="000139D9">
        <w:rPr>
          <w:rFonts w:ascii="Times New Roman" w:hAnsi="Times New Roman" w:cs="Times New Roman"/>
          <w:sz w:val="24"/>
          <w:szCs w:val="24"/>
        </w:rPr>
        <w:t>MEENA</w:t>
      </w:r>
      <w:proofErr w:type="spellEnd"/>
      <w:r w:rsidRPr="000139D9">
        <w:rPr>
          <w:rFonts w:ascii="Times New Roman" w:hAnsi="Times New Roman" w:cs="Times New Roman"/>
          <w:iCs/>
          <w:sz w:val="24"/>
          <w:szCs w:val="24"/>
        </w:rPr>
        <w:t xml:space="preserve"> </w:t>
      </w:r>
      <w:r w:rsidRPr="000139D9">
        <w:rPr>
          <w:rFonts w:ascii="Times New Roman" w:hAnsi="Times New Roman" w:cs="Times New Roman"/>
          <w:i/>
          <w:iCs/>
          <w:sz w:val="24"/>
          <w:szCs w:val="24"/>
        </w:rPr>
        <w:t>et al.</w:t>
      </w:r>
      <w:r w:rsidRPr="000139D9">
        <w:rPr>
          <w:rFonts w:ascii="Times New Roman" w:hAnsi="Times New Roman" w:cs="Times New Roman"/>
          <w:sz w:val="24"/>
          <w:szCs w:val="24"/>
        </w:rPr>
        <w:t>, 2020</w:t>
      </w:r>
      <w:bookmarkEnd w:id="23"/>
      <w:r w:rsidRPr="000139D9">
        <w:rPr>
          <w:rFonts w:ascii="Times New Roman" w:hAnsi="Times New Roman" w:cs="Times New Roman"/>
          <w:sz w:val="24"/>
          <w:szCs w:val="24"/>
        </w:rPr>
        <w:t>), à microfauna dos solos (</w:t>
      </w:r>
      <w:bookmarkStart w:id="24" w:name="_Hlk80364347"/>
      <w:proofErr w:type="spellStart"/>
      <w:r w:rsidRPr="000139D9">
        <w:rPr>
          <w:rFonts w:ascii="Times New Roman" w:hAnsi="Times New Roman" w:cs="Times New Roman"/>
          <w:sz w:val="24"/>
          <w:szCs w:val="24"/>
        </w:rPr>
        <w:t>PRASHAR</w:t>
      </w:r>
      <w:proofErr w:type="spellEnd"/>
      <w:r w:rsidRPr="000139D9">
        <w:rPr>
          <w:rFonts w:ascii="Times New Roman" w:hAnsi="Times New Roman" w:cs="Times New Roman"/>
          <w:sz w:val="24"/>
          <w:szCs w:val="24"/>
        </w:rPr>
        <w:t>; SHAH, 2016</w:t>
      </w:r>
      <w:bookmarkEnd w:id="24"/>
      <w:r w:rsidRPr="000139D9">
        <w:rPr>
          <w:rFonts w:ascii="Times New Roman" w:hAnsi="Times New Roman" w:cs="Times New Roman"/>
          <w:sz w:val="24"/>
          <w:szCs w:val="24"/>
        </w:rPr>
        <w:t>) e à vida selvagem (</w:t>
      </w:r>
      <w:bookmarkStart w:id="25" w:name="_Hlk80364369"/>
      <w:proofErr w:type="spellStart"/>
      <w:r w:rsidRPr="000139D9">
        <w:rPr>
          <w:rFonts w:ascii="Times New Roman" w:hAnsi="Times New Roman" w:cs="Times New Roman"/>
          <w:sz w:val="24"/>
          <w:szCs w:val="24"/>
        </w:rPr>
        <w:t>ENSERINK</w:t>
      </w:r>
      <w:proofErr w:type="spellEnd"/>
      <w:r w:rsidRPr="000139D9">
        <w:rPr>
          <w:rFonts w:ascii="Times New Roman" w:hAnsi="Times New Roman" w:cs="Times New Roman"/>
          <w:sz w:val="24"/>
          <w:szCs w:val="24"/>
        </w:rPr>
        <w:t xml:space="preserve"> </w:t>
      </w:r>
      <w:r w:rsidRPr="000139D9">
        <w:rPr>
          <w:rFonts w:ascii="Times New Roman" w:hAnsi="Times New Roman" w:cs="Times New Roman"/>
          <w:i/>
          <w:iCs/>
          <w:sz w:val="24"/>
          <w:szCs w:val="24"/>
        </w:rPr>
        <w:t>et al.</w:t>
      </w:r>
      <w:r w:rsidRPr="000139D9">
        <w:rPr>
          <w:rFonts w:ascii="Times New Roman" w:hAnsi="Times New Roman" w:cs="Times New Roman"/>
          <w:iCs/>
          <w:sz w:val="24"/>
          <w:szCs w:val="24"/>
        </w:rPr>
        <w:t>,</w:t>
      </w:r>
      <w:r w:rsidRPr="000139D9">
        <w:rPr>
          <w:rFonts w:ascii="Times New Roman" w:hAnsi="Times New Roman" w:cs="Times New Roman"/>
          <w:sz w:val="24"/>
          <w:szCs w:val="24"/>
        </w:rPr>
        <w:t xml:space="preserve"> 2013</w:t>
      </w:r>
      <w:bookmarkEnd w:id="25"/>
      <w:r w:rsidRPr="000139D9">
        <w:rPr>
          <w:rFonts w:ascii="Times New Roman" w:hAnsi="Times New Roman" w:cs="Times New Roman"/>
          <w:sz w:val="24"/>
          <w:szCs w:val="24"/>
        </w:rPr>
        <w:t>) com grande impacto sobre insetos polinizadores (</w:t>
      </w:r>
      <w:bookmarkStart w:id="26" w:name="_Hlk80364392"/>
      <w:r w:rsidRPr="000139D9">
        <w:rPr>
          <w:rFonts w:ascii="Times New Roman" w:hAnsi="Times New Roman" w:cs="Times New Roman"/>
          <w:sz w:val="24"/>
          <w:szCs w:val="24"/>
        </w:rPr>
        <w:t xml:space="preserve">VOGEL, </w:t>
      </w:r>
      <w:hyperlink r:id="rId11" w:anchor="10" w:history="1">
        <w:r w:rsidRPr="000139D9">
          <w:rPr>
            <w:rFonts w:ascii="Times New Roman" w:hAnsi="Times New Roman" w:cs="Times New Roman"/>
            <w:sz w:val="24"/>
            <w:szCs w:val="24"/>
          </w:rPr>
          <w:t>2017</w:t>
        </w:r>
      </w:hyperlink>
      <w:bookmarkEnd w:id="26"/>
      <w:r w:rsidRPr="000139D9">
        <w:rPr>
          <w:rFonts w:ascii="Times New Roman" w:hAnsi="Times New Roman" w:cs="Times New Roman"/>
          <w:sz w:val="24"/>
          <w:szCs w:val="24"/>
        </w:rPr>
        <w:t>), o que degrada todo o ecossistema a longo prazo. Além disso, microrganismos, insetos e ervas daninhas desenvolvem resistência aos pesticidas (</w:t>
      </w:r>
      <w:bookmarkStart w:id="27" w:name="_Hlk80364618"/>
      <w:proofErr w:type="spellStart"/>
      <w:r w:rsidRPr="000139D9">
        <w:rPr>
          <w:rFonts w:ascii="Times New Roman" w:hAnsi="Times New Roman" w:cs="Times New Roman"/>
          <w:sz w:val="24"/>
          <w:szCs w:val="24"/>
        </w:rPr>
        <w:t>SPARKS</w:t>
      </w:r>
      <w:proofErr w:type="spellEnd"/>
      <w:r w:rsidRPr="000139D9">
        <w:rPr>
          <w:rFonts w:ascii="Times New Roman" w:hAnsi="Times New Roman" w:cs="Times New Roman"/>
          <w:sz w:val="24"/>
          <w:szCs w:val="24"/>
        </w:rPr>
        <w:t xml:space="preserve">; </w:t>
      </w:r>
      <w:proofErr w:type="spellStart"/>
      <w:r w:rsidRPr="000139D9">
        <w:rPr>
          <w:rFonts w:ascii="Times New Roman" w:hAnsi="Times New Roman" w:cs="Times New Roman"/>
          <w:sz w:val="24"/>
          <w:szCs w:val="24"/>
        </w:rPr>
        <w:t>LORSBACH</w:t>
      </w:r>
      <w:proofErr w:type="spellEnd"/>
      <w:r w:rsidRPr="000139D9">
        <w:rPr>
          <w:rFonts w:ascii="Times New Roman" w:hAnsi="Times New Roman" w:cs="Times New Roman"/>
          <w:sz w:val="24"/>
          <w:szCs w:val="24"/>
        </w:rPr>
        <w:t xml:space="preserve">, </w:t>
      </w:r>
      <w:hyperlink r:id="rId12" w:anchor="10" w:history="1">
        <w:r w:rsidRPr="000139D9">
          <w:rPr>
            <w:rFonts w:ascii="Times New Roman" w:hAnsi="Times New Roman" w:cs="Times New Roman"/>
            <w:sz w:val="24"/>
            <w:szCs w:val="24"/>
          </w:rPr>
          <w:t>2017</w:t>
        </w:r>
      </w:hyperlink>
      <w:bookmarkEnd w:id="27"/>
      <w:r w:rsidRPr="000139D9">
        <w:rPr>
          <w:rFonts w:ascii="Times New Roman" w:hAnsi="Times New Roman" w:cs="Times New Roman"/>
          <w:sz w:val="24"/>
          <w:szCs w:val="24"/>
        </w:rPr>
        <w:t>), e as culturas passam a requerer cargas adicionais.</w:t>
      </w:r>
    </w:p>
    <w:p w14:paraId="49ED56B5"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Para solucionar os problemas com que se defrontam, os agentes que comandam as trajetórias tecnológicas amplamente dominantes no agrário regional não se aproximam de novas estratégias, que inclusive podem ser ambientalmente sustentáveis, e não o fazem uma vez que a prática pretérita tem resultado em retornos econômicos crescentes, de forma que o aprendizado cotidiano promove, dentre estes agentes, a consolidação de suas convicções e cria uma dependência do caminho, já que recorrem a sua base de conhecimento, criada a partir de experiências do passado (ARTHUR, 1994, p. 133). </w:t>
      </w:r>
    </w:p>
    <w:p w14:paraId="31242EC1"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Assim, agentes regionalmente relevantes no agrário tornam-se obstáculos à introdução de um novo paradigma de desenvolvimento na região ao promoverem uma “fuga para frente”, na qual recorrem a novos, diferentes equipamentos mecânicos, sementes, formulações de agroquímicos, tecnologias de adubação e de fixação do nitrogênio no solo etc., tudo vinculado ao paradigma no qual são referenciados de maneira que são refratários à adoção de paradigmas alternativos.</w:t>
      </w:r>
    </w:p>
    <w:p w14:paraId="54226326" w14:textId="048D3292" w:rsidR="007E705E" w:rsidRPr="008E3E10" w:rsidRDefault="00077FF0" w:rsidP="008E3E10">
      <w:pPr>
        <w:pStyle w:val="Ttulo4"/>
        <w:spacing w:before="0" w:after="0" w:line="360" w:lineRule="auto"/>
        <w:rPr>
          <w:rFonts w:ascii="Times New Roman" w:hAnsi="Times New Roman" w:cs="Times New Roman"/>
          <w:b/>
          <w:bCs/>
          <w:lang w:val="pt-BR"/>
        </w:rPr>
      </w:pPr>
      <w:r>
        <w:rPr>
          <w:rFonts w:ascii="Times New Roman" w:hAnsi="Times New Roman" w:cs="Times New Roman"/>
          <w:b/>
          <w:bCs/>
          <w:lang w:val="pt-BR"/>
        </w:rPr>
        <w:t>4</w:t>
      </w:r>
      <w:r w:rsidR="007E705E" w:rsidRPr="008E3E10">
        <w:rPr>
          <w:rFonts w:ascii="Times New Roman" w:hAnsi="Times New Roman" w:cs="Times New Roman"/>
          <w:b/>
          <w:bCs/>
          <w:lang w:val="pt-BR"/>
        </w:rPr>
        <w:t xml:space="preserve">.2 Corporações e repercussões regionais da maximização do valor do acionista </w:t>
      </w:r>
    </w:p>
    <w:p w14:paraId="46429C1F"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Os padrões espaciais inferidos refletem a manifestação aparente de diferentes arranjos sociais que envolvem a conjugação de empresas, de força de trabalho, enfim, de uma organização institucional de base territorial. Na interpretação dessas inter-relações e desses arranjos institucionais em relação às possibilidades e aos limites associados a dinâmicas de desenvolvimento regional, dentre os agentes envolvidos merece atenção especial a análise do papel desempenhado pelas grandes corporações (</w:t>
      </w:r>
      <w:proofErr w:type="spellStart"/>
      <w:r w:rsidRPr="000139D9">
        <w:rPr>
          <w:rFonts w:ascii="Times New Roman" w:hAnsi="Times New Roman" w:cs="Times New Roman"/>
          <w:sz w:val="24"/>
          <w:szCs w:val="24"/>
        </w:rPr>
        <w:t>MARKUSEN</w:t>
      </w:r>
      <w:proofErr w:type="spellEnd"/>
      <w:r w:rsidRPr="000139D9">
        <w:rPr>
          <w:rFonts w:ascii="Times New Roman" w:hAnsi="Times New Roman" w:cs="Times New Roman"/>
          <w:sz w:val="24"/>
          <w:szCs w:val="24"/>
        </w:rPr>
        <w:t>, 2005, p. 63).</w:t>
      </w:r>
    </w:p>
    <w:p w14:paraId="046C19A5"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No caso da região de Carajás, a relevância da corporação na configuração de dinâmicas regionais ganha maior magnitude, uma vez que 42,77% do valor adicionado na região de </w:t>
      </w:r>
      <w:r w:rsidRPr="000139D9">
        <w:rPr>
          <w:rFonts w:ascii="Times New Roman" w:hAnsi="Times New Roman" w:cs="Times New Roman"/>
          <w:sz w:val="24"/>
          <w:szCs w:val="24"/>
        </w:rPr>
        <w:lastRenderedPageBreak/>
        <w:t>Carajás, em 2017, (IBGE, 2019a) foi derivado da indústria extrativa, a quase totalidade dele provindo de atividades da Vale S.A. Essa participação tão expressiva resulta do fato de que as operações da Vale em Carajás representaram, em 2020, 53% da receita operacional líquida da mineradora e 75% do volume da venda do seu principal produto, o minério de ferro (Tabela 4).</w:t>
      </w:r>
    </w:p>
    <w:p w14:paraId="42209440" w14:textId="77777777" w:rsidR="007E705E" w:rsidRPr="000139D9" w:rsidRDefault="007E705E" w:rsidP="007E705E">
      <w:pPr>
        <w:pStyle w:val="LegendaTab"/>
        <w:spacing w:before="0" w:line="360" w:lineRule="auto"/>
        <w:rPr>
          <w:rFonts w:ascii="Times New Roman" w:hAnsi="Times New Roman"/>
        </w:rPr>
      </w:pPr>
      <w:r w:rsidRPr="000139D9">
        <w:rPr>
          <w:rFonts w:ascii="Times New Roman" w:hAnsi="Times New Roman"/>
        </w:rPr>
        <w:t>Tabela 4 – Volume de vendas, receita e resultado operacionais da Vale, em 2020, totais e relativos à região de Carajás.</w:t>
      </w:r>
    </w:p>
    <w:tbl>
      <w:tblPr>
        <w:tblW w:w="5000" w:type="pct"/>
        <w:tblCellMar>
          <w:left w:w="70" w:type="dxa"/>
          <w:right w:w="70" w:type="dxa"/>
        </w:tblCellMar>
        <w:tblLook w:val="04A0" w:firstRow="1" w:lastRow="0" w:firstColumn="1" w:lastColumn="0" w:noHBand="0" w:noVBand="1"/>
      </w:tblPr>
      <w:tblGrid>
        <w:gridCol w:w="1807"/>
        <w:gridCol w:w="1275"/>
        <w:gridCol w:w="1276"/>
        <w:gridCol w:w="1080"/>
        <w:gridCol w:w="1276"/>
        <w:gridCol w:w="1081"/>
        <w:gridCol w:w="1276"/>
      </w:tblGrid>
      <w:tr w:rsidR="007E705E" w:rsidRPr="000139D9" w14:paraId="024DE3B1" w14:textId="77777777" w:rsidTr="002553CE">
        <w:trPr>
          <w:cantSplit/>
          <w:trHeight w:hRule="exact" w:val="794"/>
        </w:trPr>
        <w:tc>
          <w:tcPr>
            <w:tcW w:w="745" w:type="pct"/>
            <w:tcBorders>
              <w:top w:val="single" w:sz="4" w:space="0" w:color="auto"/>
              <w:left w:val="nil"/>
              <w:bottom w:val="nil"/>
              <w:right w:val="single" w:sz="4" w:space="0" w:color="auto"/>
            </w:tcBorders>
            <w:shd w:val="clear" w:color="auto" w:fill="auto"/>
            <w:noWrap/>
            <w:vAlign w:val="center"/>
            <w:hideMark/>
          </w:tcPr>
          <w:p w14:paraId="76E435C3"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Produto</w:t>
            </w:r>
          </w:p>
        </w:tc>
        <w:tc>
          <w:tcPr>
            <w:tcW w:w="1490" w:type="pct"/>
            <w:gridSpan w:val="2"/>
            <w:tcBorders>
              <w:top w:val="single" w:sz="4" w:space="0" w:color="auto"/>
              <w:left w:val="single" w:sz="4" w:space="0" w:color="auto"/>
              <w:bottom w:val="nil"/>
              <w:right w:val="single" w:sz="4" w:space="0" w:color="000000"/>
            </w:tcBorders>
            <w:shd w:val="clear" w:color="auto" w:fill="auto"/>
            <w:vAlign w:val="center"/>
            <w:hideMark/>
          </w:tcPr>
          <w:p w14:paraId="2BEF63DD"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Volume de vendas (milhões de toneladas)</w:t>
            </w:r>
          </w:p>
        </w:tc>
        <w:tc>
          <w:tcPr>
            <w:tcW w:w="1382" w:type="pct"/>
            <w:gridSpan w:val="2"/>
            <w:tcBorders>
              <w:top w:val="single" w:sz="4" w:space="0" w:color="auto"/>
              <w:left w:val="nil"/>
              <w:bottom w:val="nil"/>
              <w:right w:val="single" w:sz="4" w:space="0" w:color="000000"/>
            </w:tcBorders>
            <w:shd w:val="clear" w:color="auto" w:fill="auto"/>
            <w:vAlign w:val="center"/>
            <w:hideMark/>
          </w:tcPr>
          <w:p w14:paraId="19D6F007"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Receita operacional líquida (US$ milhões)</w:t>
            </w:r>
          </w:p>
        </w:tc>
        <w:tc>
          <w:tcPr>
            <w:tcW w:w="1383" w:type="pct"/>
            <w:gridSpan w:val="2"/>
            <w:tcBorders>
              <w:top w:val="single" w:sz="4" w:space="0" w:color="auto"/>
              <w:left w:val="nil"/>
              <w:bottom w:val="nil"/>
              <w:right w:val="nil"/>
            </w:tcBorders>
            <w:shd w:val="clear" w:color="auto" w:fill="auto"/>
            <w:vAlign w:val="center"/>
            <w:hideMark/>
          </w:tcPr>
          <w:p w14:paraId="65C2EEBE"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Resultado operacional</w:t>
            </w:r>
            <w:r w:rsidRPr="000139D9">
              <w:rPr>
                <w:rFonts w:ascii="Times New Roman" w:eastAsia="Times New Roman" w:hAnsi="Times New Roman" w:cs="Times New Roman"/>
                <w:sz w:val="24"/>
                <w:szCs w:val="24"/>
                <w:vertAlign w:val="superscript"/>
                <w:lang w:eastAsia="pt-BR"/>
              </w:rPr>
              <w:t xml:space="preserve">1,2 </w:t>
            </w:r>
            <w:r w:rsidRPr="000139D9">
              <w:rPr>
                <w:rFonts w:ascii="Times New Roman" w:eastAsia="Times New Roman" w:hAnsi="Times New Roman" w:cs="Times New Roman"/>
                <w:sz w:val="24"/>
                <w:szCs w:val="24"/>
                <w:lang w:eastAsia="pt-BR"/>
              </w:rPr>
              <w:t>(US$ milhões)</w:t>
            </w:r>
          </w:p>
        </w:tc>
      </w:tr>
      <w:tr w:rsidR="007E705E" w:rsidRPr="000139D9" w14:paraId="22EBE34C" w14:textId="77777777" w:rsidTr="002553CE">
        <w:trPr>
          <w:cantSplit/>
          <w:trHeight w:hRule="exact" w:val="397"/>
        </w:trPr>
        <w:tc>
          <w:tcPr>
            <w:tcW w:w="745" w:type="pct"/>
            <w:tcBorders>
              <w:top w:val="nil"/>
              <w:left w:val="nil"/>
              <w:bottom w:val="single" w:sz="4" w:space="0" w:color="auto"/>
              <w:right w:val="single" w:sz="4" w:space="0" w:color="auto"/>
            </w:tcBorders>
            <w:shd w:val="clear" w:color="auto" w:fill="auto"/>
            <w:noWrap/>
            <w:vAlign w:val="center"/>
            <w:hideMark/>
          </w:tcPr>
          <w:p w14:paraId="0124A9AA"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 </w:t>
            </w:r>
          </w:p>
        </w:tc>
        <w:tc>
          <w:tcPr>
            <w:tcW w:w="745" w:type="pct"/>
            <w:tcBorders>
              <w:top w:val="single" w:sz="4" w:space="0" w:color="auto"/>
              <w:left w:val="single" w:sz="4" w:space="0" w:color="auto"/>
              <w:bottom w:val="single" w:sz="4" w:space="0" w:color="auto"/>
              <w:right w:val="nil"/>
            </w:tcBorders>
            <w:shd w:val="clear" w:color="auto" w:fill="auto"/>
            <w:vAlign w:val="center"/>
            <w:hideMark/>
          </w:tcPr>
          <w:p w14:paraId="768D8040"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Totais</w:t>
            </w:r>
          </w:p>
        </w:tc>
        <w:tc>
          <w:tcPr>
            <w:tcW w:w="745" w:type="pct"/>
            <w:tcBorders>
              <w:top w:val="single" w:sz="4" w:space="0" w:color="auto"/>
              <w:left w:val="nil"/>
              <w:bottom w:val="single" w:sz="4" w:space="0" w:color="auto"/>
              <w:right w:val="single" w:sz="4" w:space="0" w:color="auto"/>
            </w:tcBorders>
            <w:shd w:val="clear" w:color="auto" w:fill="auto"/>
            <w:vAlign w:val="center"/>
            <w:hideMark/>
          </w:tcPr>
          <w:p w14:paraId="2D7E0F81"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Carajás</w:t>
            </w:r>
            <w:r w:rsidRPr="000139D9">
              <w:rPr>
                <w:rFonts w:ascii="Times New Roman" w:eastAsia="Times New Roman" w:hAnsi="Times New Roman" w:cs="Times New Roman"/>
                <w:sz w:val="24"/>
                <w:szCs w:val="24"/>
                <w:vertAlign w:val="superscript"/>
                <w:lang w:eastAsia="pt-BR"/>
              </w:rPr>
              <w:t>3</w:t>
            </w:r>
          </w:p>
        </w:tc>
        <w:tc>
          <w:tcPr>
            <w:tcW w:w="637" w:type="pct"/>
            <w:tcBorders>
              <w:top w:val="single" w:sz="4" w:space="0" w:color="auto"/>
              <w:left w:val="nil"/>
              <w:bottom w:val="single" w:sz="4" w:space="0" w:color="auto"/>
              <w:right w:val="nil"/>
            </w:tcBorders>
            <w:shd w:val="clear" w:color="auto" w:fill="auto"/>
            <w:vAlign w:val="center"/>
            <w:hideMark/>
          </w:tcPr>
          <w:p w14:paraId="5825A30D"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Totais</w:t>
            </w:r>
          </w:p>
        </w:tc>
        <w:tc>
          <w:tcPr>
            <w:tcW w:w="745" w:type="pct"/>
            <w:tcBorders>
              <w:top w:val="single" w:sz="4" w:space="0" w:color="auto"/>
              <w:left w:val="nil"/>
              <w:bottom w:val="single" w:sz="4" w:space="0" w:color="auto"/>
              <w:right w:val="single" w:sz="4" w:space="0" w:color="auto"/>
            </w:tcBorders>
            <w:shd w:val="clear" w:color="auto" w:fill="auto"/>
            <w:vAlign w:val="center"/>
            <w:hideMark/>
          </w:tcPr>
          <w:p w14:paraId="36ED05BC"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Carajás</w:t>
            </w:r>
            <w:r w:rsidRPr="000139D9">
              <w:rPr>
                <w:rFonts w:ascii="Times New Roman" w:eastAsia="Times New Roman" w:hAnsi="Times New Roman" w:cs="Times New Roman"/>
                <w:sz w:val="24"/>
                <w:szCs w:val="24"/>
                <w:vertAlign w:val="superscript"/>
                <w:lang w:eastAsia="pt-BR"/>
              </w:rPr>
              <w:t>3</w:t>
            </w:r>
          </w:p>
        </w:tc>
        <w:tc>
          <w:tcPr>
            <w:tcW w:w="638" w:type="pct"/>
            <w:tcBorders>
              <w:top w:val="single" w:sz="4" w:space="0" w:color="auto"/>
              <w:left w:val="nil"/>
              <w:bottom w:val="single" w:sz="4" w:space="0" w:color="auto"/>
              <w:right w:val="nil"/>
            </w:tcBorders>
            <w:shd w:val="clear" w:color="auto" w:fill="auto"/>
            <w:vAlign w:val="center"/>
            <w:hideMark/>
          </w:tcPr>
          <w:p w14:paraId="3E01D93C"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Totais</w:t>
            </w:r>
          </w:p>
        </w:tc>
        <w:tc>
          <w:tcPr>
            <w:tcW w:w="745" w:type="pct"/>
            <w:tcBorders>
              <w:top w:val="single" w:sz="4" w:space="0" w:color="auto"/>
              <w:left w:val="nil"/>
              <w:bottom w:val="single" w:sz="4" w:space="0" w:color="auto"/>
              <w:right w:val="nil"/>
            </w:tcBorders>
            <w:shd w:val="clear" w:color="auto" w:fill="auto"/>
            <w:vAlign w:val="center"/>
            <w:hideMark/>
          </w:tcPr>
          <w:p w14:paraId="67F7A7C3" w14:textId="77777777" w:rsidR="007E705E" w:rsidRPr="000139D9" w:rsidRDefault="007E705E" w:rsidP="002553CE">
            <w:pPr>
              <w:keepNext/>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Carajás</w:t>
            </w:r>
            <w:r w:rsidRPr="000139D9">
              <w:rPr>
                <w:rFonts w:ascii="Times New Roman" w:eastAsia="Times New Roman" w:hAnsi="Times New Roman" w:cs="Times New Roman"/>
                <w:sz w:val="24"/>
                <w:szCs w:val="24"/>
                <w:vertAlign w:val="superscript"/>
                <w:lang w:eastAsia="pt-BR"/>
              </w:rPr>
              <w:t>3</w:t>
            </w:r>
          </w:p>
        </w:tc>
      </w:tr>
      <w:tr w:rsidR="007E705E" w:rsidRPr="000139D9" w14:paraId="23422C1B" w14:textId="77777777" w:rsidTr="002553CE">
        <w:trPr>
          <w:cantSplit/>
          <w:trHeight w:hRule="exact" w:val="397"/>
        </w:trPr>
        <w:tc>
          <w:tcPr>
            <w:tcW w:w="745" w:type="pct"/>
            <w:tcBorders>
              <w:top w:val="nil"/>
              <w:left w:val="nil"/>
              <w:bottom w:val="nil"/>
              <w:right w:val="nil"/>
            </w:tcBorders>
            <w:shd w:val="clear" w:color="auto" w:fill="auto"/>
            <w:noWrap/>
            <w:vAlign w:val="bottom"/>
            <w:hideMark/>
          </w:tcPr>
          <w:p w14:paraId="4E7B8CF6" w14:textId="77777777" w:rsidR="007E705E" w:rsidRPr="000139D9" w:rsidRDefault="007E705E" w:rsidP="002553CE">
            <w:pPr>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Minério de ferro</w:t>
            </w:r>
            <w:r w:rsidRPr="000139D9">
              <w:rPr>
                <w:rFonts w:ascii="Times New Roman" w:eastAsia="Times New Roman" w:hAnsi="Times New Roman" w:cs="Times New Roman"/>
                <w:sz w:val="24"/>
                <w:szCs w:val="24"/>
                <w:vertAlign w:val="superscript"/>
                <w:lang w:eastAsia="pt-BR"/>
              </w:rPr>
              <w:t>4</w:t>
            </w:r>
          </w:p>
        </w:tc>
        <w:tc>
          <w:tcPr>
            <w:tcW w:w="745" w:type="pct"/>
            <w:tcBorders>
              <w:top w:val="nil"/>
              <w:left w:val="nil"/>
              <w:bottom w:val="nil"/>
              <w:right w:val="nil"/>
            </w:tcBorders>
            <w:shd w:val="clear" w:color="auto" w:fill="auto"/>
            <w:noWrap/>
            <w:vAlign w:val="center"/>
            <w:hideMark/>
          </w:tcPr>
          <w:p w14:paraId="74DB959A"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254,01</w:t>
            </w:r>
          </w:p>
        </w:tc>
        <w:tc>
          <w:tcPr>
            <w:tcW w:w="745" w:type="pct"/>
            <w:tcBorders>
              <w:top w:val="nil"/>
              <w:left w:val="nil"/>
              <w:bottom w:val="nil"/>
              <w:right w:val="nil"/>
            </w:tcBorders>
            <w:shd w:val="clear" w:color="auto" w:fill="auto"/>
            <w:noWrap/>
            <w:vAlign w:val="center"/>
            <w:hideMark/>
          </w:tcPr>
          <w:p w14:paraId="270725CA"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192,30</w:t>
            </w:r>
          </w:p>
        </w:tc>
        <w:tc>
          <w:tcPr>
            <w:tcW w:w="637" w:type="pct"/>
            <w:tcBorders>
              <w:top w:val="nil"/>
              <w:left w:val="nil"/>
              <w:bottom w:val="nil"/>
              <w:right w:val="nil"/>
            </w:tcBorders>
            <w:shd w:val="clear" w:color="auto" w:fill="auto"/>
            <w:noWrap/>
            <w:vAlign w:val="center"/>
            <w:hideMark/>
          </w:tcPr>
          <w:p w14:paraId="58417F23"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27.285</w:t>
            </w:r>
          </w:p>
        </w:tc>
        <w:tc>
          <w:tcPr>
            <w:tcW w:w="745" w:type="pct"/>
            <w:tcBorders>
              <w:top w:val="nil"/>
              <w:left w:val="nil"/>
              <w:bottom w:val="nil"/>
              <w:right w:val="nil"/>
            </w:tcBorders>
            <w:shd w:val="clear" w:color="auto" w:fill="auto"/>
            <w:noWrap/>
            <w:vAlign w:val="center"/>
            <w:hideMark/>
          </w:tcPr>
          <w:p w14:paraId="63B749DD"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21.345</w:t>
            </w:r>
          </w:p>
        </w:tc>
        <w:tc>
          <w:tcPr>
            <w:tcW w:w="638" w:type="pct"/>
            <w:tcBorders>
              <w:top w:val="nil"/>
              <w:left w:val="nil"/>
              <w:bottom w:val="nil"/>
              <w:right w:val="nil"/>
            </w:tcBorders>
            <w:shd w:val="clear" w:color="auto" w:fill="auto"/>
            <w:noWrap/>
            <w:vAlign w:val="center"/>
            <w:hideMark/>
          </w:tcPr>
          <w:p w14:paraId="09998F8F"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18.289</w:t>
            </w:r>
          </w:p>
        </w:tc>
        <w:tc>
          <w:tcPr>
            <w:tcW w:w="745" w:type="pct"/>
            <w:tcBorders>
              <w:top w:val="nil"/>
              <w:left w:val="nil"/>
              <w:bottom w:val="nil"/>
              <w:right w:val="nil"/>
            </w:tcBorders>
            <w:shd w:val="clear" w:color="auto" w:fill="auto"/>
            <w:noWrap/>
            <w:vAlign w:val="center"/>
            <w:hideMark/>
          </w:tcPr>
          <w:p w14:paraId="6325267B"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14.728</w:t>
            </w:r>
          </w:p>
        </w:tc>
      </w:tr>
      <w:tr w:rsidR="007E705E" w:rsidRPr="000139D9" w14:paraId="54B48479" w14:textId="77777777" w:rsidTr="002553CE">
        <w:trPr>
          <w:cantSplit/>
          <w:trHeight w:hRule="exact" w:val="397"/>
        </w:trPr>
        <w:tc>
          <w:tcPr>
            <w:tcW w:w="745" w:type="pct"/>
            <w:tcBorders>
              <w:top w:val="nil"/>
              <w:left w:val="nil"/>
              <w:bottom w:val="nil"/>
              <w:right w:val="nil"/>
            </w:tcBorders>
            <w:shd w:val="clear" w:color="auto" w:fill="auto"/>
            <w:noWrap/>
            <w:vAlign w:val="bottom"/>
            <w:hideMark/>
          </w:tcPr>
          <w:p w14:paraId="3CA2BF1B" w14:textId="77777777" w:rsidR="007E705E" w:rsidRPr="000139D9" w:rsidRDefault="007E705E" w:rsidP="002553CE">
            <w:pPr>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Demais produtos</w:t>
            </w:r>
          </w:p>
        </w:tc>
        <w:tc>
          <w:tcPr>
            <w:tcW w:w="745" w:type="pct"/>
            <w:tcBorders>
              <w:top w:val="nil"/>
              <w:left w:val="nil"/>
              <w:bottom w:val="nil"/>
              <w:right w:val="nil"/>
            </w:tcBorders>
            <w:shd w:val="clear" w:color="auto" w:fill="auto"/>
            <w:noWrap/>
            <w:vAlign w:val="center"/>
            <w:hideMark/>
          </w:tcPr>
          <w:p w14:paraId="4A8A4A98" w14:textId="77777777" w:rsidR="007E705E" w:rsidRPr="000139D9" w:rsidRDefault="007E705E" w:rsidP="002553CE">
            <w:pPr>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NA</w:t>
            </w:r>
          </w:p>
        </w:tc>
        <w:tc>
          <w:tcPr>
            <w:tcW w:w="745" w:type="pct"/>
            <w:tcBorders>
              <w:top w:val="nil"/>
              <w:left w:val="nil"/>
              <w:bottom w:val="nil"/>
              <w:right w:val="nil"/>
            </w:tcBorders>
            <w:shd w:val="clear" w:color="auto" w:fill="auto"/>
            <w:noWrap/>
            <w:vAlign w:val="center"/>
            <w:hideMark/>
          </w:tcPr>
          <w:p w14:paraId="365C969D"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0,2</w:t>
            </w:r>
          </w:p>
        </w:tc>
        <w:tc>
          <w:tcPr>
            <w:tcW w:w="637" w:type="pct"/>
            <w:tcBorders>
              <w:top w:val="nil"/>
              <w:left w:val="nil"/>
              <w:bottom w:val="nil"/>
              <w:right w:val="nil"/>
            </w:tcBorders>
            <w:shd w:val="clear" w:color="auto" w:fill="auto"/>
            <w:noWrap/>
            <w:vAlign w:val="center"/>
            <w:hideMark/>
          </w:tcPr>
          <w:p w14:paraId="190AE65F"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12.733</w:t>
            </w:r>
          </w:p>
        </w:tc>
        <w:tc>
          <w:tcPr>
            <w:tcW w:w="745" w:type="pct"/>
            <w:tcBorders>
              <w:top w:val="nil"/>
              <w:left w:val="nil"/>
              <w:bottom w:val="nil"/>
              <w:right w:val="nil"/>
            </w:tcBorders>
            <w:shd w:val="clear" w:color="auto" w:fill="auto"/>
            <w:noWrap/>
            <w:vAlign w:val="center"/>
            <w:hideMark/>
          </w:tcPr>
          <w:p w14:paraId="52347C1D"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30</w:t>
            </w:r>
          </w:p>
        </w:tc>
        <w:tc>
          <w:tcPr>
            <w:tcW w:w="638" w:type="pct"/>
            <w:tcBorders>
              <w:top w:val="nil"/>
              <w:left w:val="nil"/>
              <w:bottom w:val="nil"/>
              <w:right w:val="nil"/>
            </w:tcBorders>
            <w:shd w:val="clear" w:color="auto" w:fill="auto"/>
            <w:noWrap/>
            <w:vAlign w:val="center"/>
            <w:hideMark/>
          </w:tcPr>
          <w:p w14:paraId="428A47D1"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3.665</w:t>
            </w:r>
          </w:p>
        </w:tc>
        <w:tc>
          <w:tcPr>
            <w:tcW w:w="745" w:type="pct"/>
            <w:tcBorders>
              <w:top w:val="nil"/>
              <w:left w:val="nil"/>
              <w:bottom w:val="nil"/>
              <w:right w:val="nil"/>
            </w:tcBorders>
            <w:shd w:val="clear" w:color="auto" w:fill="auto"/>
            <w:noWrap/>
            <w:vAlign w:val="center"/>
            <w:hideMark/>
          </w:tcPr>
          <w:p w14:paraId="4DF1EA40"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21</w:t>
            </w:r>
          </w:p>
        </w:tc>
      </w:tr>
      <w:tr w:rsidR="007E705E" w:rsidRPr="000139D9" w14:paraId="316182A3" w14:textId="77777777" w:rsidTr="002553CE">
        <w:trPr>
          <w:cantSplit/>
          <w:trHeight w:hRule="exact" w:val="397"/>
        </w:trPr>
        <w:tc>
          <w:tcPr>
            <w:tcW w:w="745" w:type="pct"/>
            <w:tcBorders>
              <w:top w:val="nil"/>
              <w:left w:val="nil"/>
              <w:bottom w:val="single" w:sz="4" w:space="0" w:color="auto"/>
              <w:right w:val="nil"/>
            </w:tcBorders>
            <w:shd w:val="clear" w:color="auto" w:fill="auto"/>
            <w:noWrap/>
            <w:vAlign w:val="bottom"/>
            <w:hideMark/>
          </w:tcPr>
          <w:p w14:paraId="2C4AED06" w14:textId="77777777" w:rsidR="007E705E" w:rsidRPr="000139D9" w:rsidRDefault="007E705E" w:rsidP="002553CE">
            <w:pPr>
              <w:spacing w:after="0"/>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Totais</w:t>
            </w:r>
          </w:p>
        </w:tc>
        <w:tc>
          <w:tcPr>
            <w:tcW w:w="745" w:type="pct"/>
            <w:tcBorders>
              <w:top w:val="nil"/>
              <w:left w:val="nil"/>
              <w:bottom w:val="single" w:sz="4" w:space="0" w:color="auto"/>
              <w:right w:val="nil"/>
            </w:tcBorders>
            <w:shd w:val="clear" w:color="auto" w:fill="auto"/>
            <w:noWrap/>
            <w:vAlign w:val="center"/>
            <w:hideMark/>
          </w:tcPr>
          <w:p w14:paraId="5173DB91" w14:textId="77777777" w:rsidR="007E705E" w:rsidRPr="000139D9" w:rsidRDefault="007E705E" w:rsidP="002553CE">
            <w:pPr>
              <w:spacing w:after="0"/>
              <w:jc w:val="center"/>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NA</w:t>
            </w:r>
          </w:p>
        </w:tc>
        <w:tc>
          <w:tcPr>
            <w:tcW w:w="745" w:type="pct"/>
            <w:tcBorders>
              <w:top w:val="nil"/>
              <w:left w:val="nil"/>
              <w:bottom w:val="single" w:sz="4" w:space="0" w:color="auto"/>
              <w:right w:val="nil"/>
            </w:tcBorders>
            <w:shd w:val="clear" w:color="auto" w:fill="auto"/>
            <w:noWrap/>
            <w:vAlign w:val="center"/>
            <w:hideMark/>
          </w:tcPr>
          <w:p w14:paraId="64BB2217"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192,50</w:t>
            </w:r>
          </w:p>
        </w:tc>
        <w:tc>
          <w:tcPr>
            <w:tcW w:w="637" w:type="pct"/>
            <w:tcBorders>
              <w:top w:val="nil"/>
              <w:left w:val="nil"/>
              <w:bottom w:val="single" w:sz="4" w:space="0" w:color="auto"/>
              <w:right w:val="nil"/>
            </w:tcBorders>
            <w:shd w:val="clear" w:color="auto" w:fill="auto"/>
            <w:noWrap/>
            <w:vAlign w:val="center"/>
            <w:hideMark/>
          </w:tcPr>
          <w:p w14:paraId="7A17B314"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40.018</w:t>
            </w:r>
          </w:p>
        </w:tc>
        <w:tc>
          <w:tcPr>
            <w:tcW w:w="745" w:type="pct"/>
            <w:tcBorders>
              <w:top w:val="nil"/>
              <w:left w:val="nil"/>
              <w:bottom w:val="single" w:sz="4" w:space="0" w:color="auto"/>
              <w:right w:val="nil"/>
            </w:tcBorders>
            <w:shd w:val="clear" w:color="auto" w:fill="auto"/>
            <w:noWrap/>
            <w:vAlign w:val="center"/>
            <w:hideMark/>
          </w:tcPr>
          <w:p w14:paraId="7A3E0797"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21.375</w:t>
            </w:r>
          </w:p>
        </w:tc>
        <w:tc>
          <w:tcPr>
            <w:tcW w:w="638" w:type="pct"/>
            <w:tcBorders>
              <w:top w:val="nil"/>
              <w:left w:val="nil"/>
              <w:bottom w:val="single" w:sz="4" w:space="0" w:color="auto"/>
              <w:right w:val="nil"/>
            </w:tcBorders>
            <w:shd w:val="clear" w:color="auto" w:fill="auto"/>
            <w:noWrap/>
            <w:vAlign w:val="center"/>
            <w:hideMark/>
          </w:tcPr>
          <w:p w14:paraId="38B6197A"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21.954</w:t>
            </w:r>
          </w:p>
        </w:tc>
        <w:tc>
          <w:tcPr>
            <w:tcW w:w="745" w:type="pct"/>
            <w:tcBorders>
              <w:top w:val="nil"/>
              <w:left w:val="nil"/>
              <w:bottom w:val="single" w:sz="4" w:space="0" w:color="auto"/>
              <w:right w:val="nil"/>
            </w:tcBorders>
            <w:shd w:val="clear" w:color="auto" w:fill="auto"/>
            <w:noWrap/>
            <w:vAlign w:val="center"/>
            <w:hideMark/>
          </w:tcPr>
          <w:p w14:paraId="3CFC2D45" w14:textId="77777777" w:rsidR="007E705E" w:rsidRPr="000139D9" w:rsidRDefault="007E705E" w:rsidP="002553CE">
            <w:pPr>
              <w:spacing w:after="0"/>
              <w:jc w:val="right"/>
              <w:rPr>
                <w:rFonts w:ascii="Times New Roman" w:eastAsia="Times New Roman" w:hAnsi="Times New Roman" w:cs="Times New Roman"/>
                <w:sz w:val="24"/>
                <w:szCs w:val="24"/>
                <w:lang w:eastAsia="pt-BR"/>
              </w:rPr>
            </w:pPr>
            <w:r w:rsidRPr="000139D9">
              <w:rPr>
                <w:rFonts w:ascii="Times New Roman" w:eastAsia="Times New Roman" w:hAnsi="Times New Roman" w:cs="Times New Roman"/>
                <w:sz w:val="24"/>
                <w:szCs w:val="24"/>
                <w:lang w:eastAsia="pt-BR"/>
              </w:rPr>
              <w:t>14.749</w:t>
            </w:r>
          </w:p>
        </w:tc>
      </w:tr>
    </w:tbl>
    <w:p w14:paraId="04DD8780" w14:textId="77777777" w:rsidR="007E705E" w:rsidRPr="000139D9" w:rsidRDefault="007E705E" w:rsidP="007E705E">
      <w:pPr>
        <w:pStyle w:val="SemEspaamento"/>
        <w:spacing w:line="360" w:lineRule="auto"/>
        <w:ind w:firstLine="0"/>
        <w:rPr>
          <w:rFonts w:ascii="Times New Roman" w:hAnsi="Times New Roman" w:cs="Times New Roman"/>
          <w:szCs w:val="24"/>
          <w:lang w:val="pt-BR"/>
        </w:rPr>
      </w:pPr>
      <w:r w:rsidRPr="000139D9">
        <w:rPr>
          <w:rFonts w:ascii="Times New Roman" w:hAnsi="Times New Roman" w:cs="Times New Roman"/>
          <w:szCs w:val="24"/>
          <w:lang w:val="pt-BR"/>
        </w:rPr>
        <w:t xml:space="preserve">Notas: </w:t>
      </w:r>
      <w:r w:rsidRPr="000139D9">
        <w:rPr>
          <w:rFonts w:ascii="Times New Roman" w:hAnsi="Times New Roman" w:cs="Times New Roman"/>
          <w:szCs w:val="24"/>
          <w:vertAlign w:val="superscript"/>
          <w:lang w:val="pt-BR"/>
        </w:rPr>
        <w:t>1</w:t>
      </w:r>
      <w:r w:rsidRPr="000139D9">
        <w:rPr>
          <w:rFonts w:ascii="Times New Roman" w:hAnsi="Times New Roman" w:cs="Times New Roman"/>
          <w:szCs w:val="24"/>
          <w:lang w:val="pt-BR"/>
        </w:rPr>
        <w:t xml:space="preserve"> Exclusive depreciação, exaustão e amortização; </w:t>
      </w:r>
      <w:r w:rsidRPr="000139D9">
        <w:rPr>
          <w:rFonts w:ascii="Times New Roman" w:hAnsi="Times New Roman" w:cs="Times New Roman"/>
          <w:szCs w:val="24"/>
          <w:vertAlign w:val="superscript"/>
          <w:lang w:val="pt-BR"/>
        </w:rPr>
        <w:t>2</w:t>
      </w:r>
      <w:r w:rsidRPr="000139D9">
        <w:rPr>
          <w:rFonts w:ascii="Times New Roman" w:hAnsi="Times New Roman" w:cs="Times New Roman"/>
          <w:szCs w:val="24"/>
          <w:lang w:val="pt-BR"/>
        </w:rPr>
        <w:t xml:space="preserve"> Exclusive despesas com evento de Brumadinho e com a Covid-19; </w:t>
      </w:r>
      <w:r w:rsidRPr="000139D9">
        <w:rPr>
          <w:rFonts w:ascii="Times New Roman" w:hAnsi="Times New Roman" w:cs="Times New Roman"/>
          <w:szCs w:val="24"/>
          <w:vertAlign w:val="superscript"/>
          <w:lang w:val="pt-BR"/>
        </w:rPr>
        <w:t>3</w:t>
      </w:r>
      <w:r w:rsidRPr="000139D9">
        <w:rPr>
          <w:rFonts w:ascii="Times New Roman" w:hAnsi="Times New Roman" w:cs="Times New Roman"/>
          <w:szCs w:val="24"/>
          <w:lang w:val="pt-BR"/>
        </w:rPr>
        <w:t xml:space="preserve"> Estimativas do autor; </w:t>
      </w:r>
      <w:r w:rsidRPr="000139D9">
        <w:rPr>
          <w:rFonts w:ascii="Times New Roman" w:hAnsi="Times New Roman" w:cs="Times New Roman"/>
          <w:szCs w:val="24"/>
          <w:vertAlign w:val="superscript"/>
          <w:lang w:val="pt-BR"/>
        </w:rPr>
        <w:t xml:space="preserve">4 </w:t>
      </w:r>
      <w:r w:rsidRPr="000139D9">
        <w:rPr>
          <w:rFonts w:ascii="Times New Roman" w:hAnsi="Times New Roman" w:cs="Times New Roman"/>
          <w:szCs w:val="24"/>
          <w:lang w:val="pt-BR"/>
        </w:rPr>
        <w:t>Exclusive pelotas de minério de ferro.</w:t>
      </w:r>
    </w:p>
    <w:p w14:paraId="41A3FCA3" w14:textId="77777777" w:rsidR="007E705E" w:rsidRPr="000139D9" w:rsidRDefault="007E705E" w:rsidP="007E705E">
      <w:pPr>
        <w:pStyle w:val="Fonte"/>
        <w:spacing w:after="0" w:line="360" w:lineRule="auto"/>
        <w:rPr>
          <w:rFonts w:ascii="Times New Roman" w:hAnsi="Times New Roman" w:cs="Times New Roman"/>
          <w:sz w:val="24"/>
          <w:szCs w:val="24"/>
        </w:rPr>
      </w:pPr>
      <w:r w:rsidRPr="000139D9">
        <w:rPr>
          <w:rFonts w:ascii="Times New Roman" w:hAnsi="Times New Roman" w:cs="Times New Roman"/>
          <w:sz w:val="24"/>
          <w:szCs w:val="24"/>
        </w:rPr>
        <w:t>Fonte: Elaboração do autor com base em Vale (2021).</w:t>
      </w:r>
    </w:p>
    <w:p w14:paraId="4B1FC976" w14:textId="77777777" w:rsidR="007E705E" w:rsidRPr="000139D9" w:rsidRDefault="007E705E" w:rsidP="008E3E10">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Em que pese a expressividade da indústria extrativa na economia regional, ela tem tido limitada capacidade de impulsionar dinâmicas endógenas de desenvolvimento, o que se vincula a diversos mecanismos sociais que envolvem a apropriação social do valor adicionado pela atividade, contexto no qual o padrão de alocação dos lucros corporativos tem destaque. Já que a destinação dos lucros das operações da Vale vincula-se a modelo de governança corporativa, como a de quase todas as empresas de capital aberto, baseia-se, presentemente, no princípio de maximização do valor do acionista. Trata-se de princípio de gestão de corporações que impôs mudança significativa na lógica de alocação de recursos e retornos das atividades das grandes corporações predominante até a segunda metade do século XX, transmutação que resultou do abandono do ditame “reter e reinvestir” para se pugnar o de “reduzir e distribuir” (</w:t>
      </w:r>
      <w:proofErr w:type="spellStart"/>
      <w:r w:rsidRPr="000139D9">
        <w:rPr>
          <w:rFonts w:ascii="Times New Roman" w:hAnsi="Times New Roman" w:cs="Times New Roman"/>
          <w:sz w:val="24"/>
          <w:szCs w:val="24"/>
        </w:rPr>
        <w:t>LAZONICK</w:t>
      </w:r>
      <w:proofErr w:type="spellEnd"/>
      <w:r w:rsidRPr="000139D9">
        <w:rPr>
          <w:rFonts w:ascii="Times New Roman" w:hAnsi="Times New Roman" w:cs="Times New Roman"/>
          <w:sz w:val="24"/>
          <w:szCs w:val="24"/>
        </w:rPr>
        <w:t xml:space="preserve">, </w:t>
      </w:r>
      <w:proofErr w:type="spellStart"/>
      <w:r w:rsidRPr="000139D9">
        <w:rPr>
          <w:rFonts w:ascii="Times New Roman" w:hAnsi="Times New Roman" w:cs="Times New Roman"/>
          <w:sz w:val="24"/>
          <w:szCs w:val="24"/>
        </w:rPr>
        <w:t>O'SULLIVAN</w:t>
      </w:r>
      <w:proofErr w:type="spellEnd"/>
      <w:r w:rsidRPr="000139D9">
        <w:rPr>
          <w:rFonts w:ascii="Times New Roman" w:hAnsi="Times New Roman" w:cs="Times New Roman"/>
          <w:sz w:val="24"/>
          <w:szCs w:val="24"/>
        </w:rPr>
        <w:t xml:space="preserve">, 2000, p. 18). Portanto, a diretriz geral da corporação renuncia à possibilidade de reter lucros e trabalhadores e alocá-los em novos empreendimentos, para prestigiar estratégias de </w:t>
      </w:r>
      <w:r w:rsidRPr="000139D9">
        <w:rPr>
          <w:rFonts w:ascii="Times New Roman" w:hAnsi="Times New Roman" w:cs="Times New Roman"/>
          <w:i/>
          <w:iCs/>
          <w:sz w:val="24"/>
          <w:szCs w:val="24"/>
        </w:rPr>
        <w:t>downsizing</w:t>
      </w:r>
      <w:r w:rsidRPr="000139D9">
        <w:rPr>
          <w:rFonts w:ascii="Times New Roman" w:hAnsi="Times New Roman" w:cs="Times New Roman"/>
          <w:sz w:val="24"/>
          <w:szCs w:val="24"/>
        </w:rPr>
        <w:t>, especialização, recompras de ações, pagamento de dividendos e de juros sobre o capital próprio (</w:t>
      </w:r>
      <w:proofErr w:type="spellStart"/>
      <w:r w:rsidRPr="000139D9">
        <w:rPr>
          <w:rFonts w:ascii="Times New Roman" w:hAnsi="Times New Roman" w:cs="Times New Roman"/>
          <w:sz w:val="24"/>
          <w:szCs w:val="24"/>
        </w:rPr>
        <w:t>LAZONICK</w:t>
      </w:r>
      <w:proofErr w:type="spellEnd"/>
      <w:r w:rsidRPr="000139D9">
        <w:rPr>
          <w:rFonts w:ascii="Times New Roman" w:hAnsi="Times New Roman" w:cs="Times New Roman"/>
          <w:sz w:val="24"/>
          <w:szCs w:val="24"/>
        </w:rPr>
        <w:t xml:space="preserve">, </w:t>
      </w:r>
      <w:proofErr w:type="spellStart"/>
      <w:r w:rsidRPr="000139D9">
        <w:rPr>
          <w:rFonts w:ascii="Times New Roman" w:hAnsi="Times New Roman" w:cs="Times New Roman"/>
          <w:sz w:val="24"/>
          <w:szCs w:val="24"/>
        </w:rPr>
        <w:t>O'SULLIVAN</w:t>
      </w:r>
      <w:proofErr w:type="spellEnd"/>
      <w:r w:rsidRPr="000139D9">
        <w:rPr>
          <w:rFonts w:ascii="Times New Roman" w:hAnsi="Times New Roman" w:cs="Times New Roman"/>
          <w:sz w:val="24"/>
          <w:szCs w:val="24"/>
        </w:rPr>
        <w:t xml:space="preserve">, 2000, p. 28). Tal procedimento se </w:t>
      </w:r>
      <w:r w:rsidRPr="000139D9">
        <w:rPr>
          <w:rFonts w:ascii="Times New Roman" w:hAnsi="Times New Roman" w:cs="Times New Roman"/>
          <w:sz w:val="24"/>
          <w:szCs w:val="24"/>
        </w:rPr>
        <w:lastRenderedPageBreak/>
        <w:t>encontra evidenciado nos relatórios da corporação, como no intitulado “Desempenho da Vale em 2020”, elaborado pelo Departamento de relações com investidores da empresa, no qual se lê: “A continuação da política de dividendos visa devolver aos acionistas da Companhia uma parcela relevante da geração de caixa da Vale, em um padrão previsível e alinhado com o pilar estratégico da Companhia de ‘Disciplina na Alocação de Capital</w:t>
      </w:r>
      <w:proofErr w:type="gramStart"/>
      <w:r w:rsidRPr="000139D9">
        <w:rPr>
          <w:rFonts w:ascii="Times New Roman" w:hAnsi="Times New Roman" w:cs="Times New Roman"/>
          <w:sz w:val="24"/>
          <w:szCs w:val="24"/>
        </w:rPr>
        <w:t>’ ”</w:t>
      </w:r>
      <w:proofErr w:type="gramEnd"/>
      <w:r w:rsidRPr="000139D9">
        <w:rPr>
          <w:rFonts w:ascii="Times New Roman" w:hAnsi="Times New Roman" w:cs="Times New Roman"/>
          <w:sz w:val="24"/>
          <w:szCs w:val="24"/>
        </w:rPr>
        <w:t xml:space="preserve"> (VALE, 2021, p. 6). Desta forma, a gestão corporativa busca tornar ao máximo possível o “fluxo de caixa livre” fazendo com que os lucros gerados sejam distribuídos aos acionistas, estes sim que devem, então, alocá-los da maneira que lhes parecer mais eficiente (</w:t>
      </w:r>
      <w:proofErr w:type="spellStart"/>
      <w:r w:rsidRPr="000139D9">
        <w:rPr>
          <w:rFonts w:ascii="Times New Roman" w:hAnsi="Times New Roman" w:cs="Times New Roman"/>
          <w:sz w:val="24"/>
          <w:szCs w:val="24"/>
        </w:rPr>
        <w:t>LAZONICK</w:t>
      </w:r>
      <w:proofErr w:type="spellEnd"/>
      <w:r w:rsidRPr="000139D9">
        <w:rPr>
          <w:rFonts w:ascii="Times New Roman" w:hAnsi="Times New Roman" w:cs="Times New Roman"/>
          <w:sz w:val="24"/>
          <w:szCs w:val="24"/>
        </w:rPr>
        <w:t xml:space="preserve">, </w:t>
      </w:r>
      <w:proofErr w:type="spellStart"/>
      <w:r w:rsidRPr="000139D9">
        <w:rPr>
          <w:rFonts w:ascii="Times New Roman" w:hAnsi="Times New Roman" w:cs="Times New Roman"/>
          <w:sz w:val="24"/>
          <w:szCs w:val="24"/>
        </w:rPr>
        <w:t>O'SULLIVAN</w:t>
      </w:r>
      <w:proofErr w:type="spellEnd"/>
      <w:r w:rsidRPr="000139D9">
        <w:rPr>
          <w:rFonts w:ascii="Times New Roman" w:hAnsi="Times New Roman" w:cs="Times New Roman"/>
          <w:sz w:val="24"/>
          <w:szCs w:val="24"/>
        </w:rPr>
        <w:t>, 2000, p. 28).</w:t>
      </w:r>
    </w:p>
    <w:p w14:paraId="1D80A250" w14:textId="43003B94" w:rsidR="007E705E" w:rsidRPr="000139D9" w:rsidRDefault="007E705E" w:rsidP="008E3E10">
      <w:pPr>
        <w:spacing w:after="0" w:line="360" w:lineRule="auto"/>
        <w:ind w:firstLine="709"/>
        <w:jc w:val="both"/>
        <w:rPr>
          <w:rFonts w:ascii="Times New Roman" w:hAnsi="Times New Roman" w:cs="Times New Roman"/>
          <w:sz w:val="24"/>
          <w:szCs w:val="24"/>
        </w:rPr>
      </w:pPr>
      <w:proofErr w:type="spellStart"/>
      <w:r w:rsidRPr="000139D9">
        <w:rPr>
          <w:rFonts w:ascii="Times New Roman" w:hAnsi="Times New Roman" w:cs="Times New Roman"/>
          <w:sz w:val="24"/>
          <w:szCs w:val="24"/>
        </w:rPr>
        <w:t>Lazonick</w:t>
      </w:r>
      <w:proofErr w:type="spellEnd"/>
      <w:r w:rsidRPr="000139D9">
        <w:rPr>
          <w:rFonts w:ascii="Times New Roman" w:hAnsi="Times New Roman" w:cs="Times New Roman"/>
          <w:sz w:val="24"/>
          <w:szCs w:val="24"/>
        </w:rPr>
        <w:t xml:space="preserve"> e </w:t>
      </w:r>
      <w:proofErr w:type="spellStart"/>
      <w:r w:rsidRPr="000139D9">
        <w:rPr>
          <w:rFonts w:ascii="Times New Roman" w:hAnsi="Times New Roman" w:cs="Times New Roman"/>
          <w:sz w:val="24"/>
          <w:szCs w:val="24"/>
        </w:rPr>
        <w:t>O'Sullivan</w:t>
      </w:r>
      <w:proofErr w:type="spellEnd"/>
      <w:r w:rsidRPr="000139D9">
        <w:rPr>
          <w:rFonts w:ascii="Times New Roman" w:hAnsi="Times New Roman" w:cs="Times New Roman"/>
          <w:sz w:val="24"/>
          <w:szCs w:val="24"/>
        </w:rPr>
        <w:t xml:space="preserve">, (2000), </w:t>
      </w:r>
      <w:proofErr w:type="spellStart"/>
      <w:r w:rsidRPr="000139D9">
        <w:rPr>
          <w:rFonts w:ascii="Times New Roman" w:hAnsi="Times New Roman" w:cs="Times New Roman"/>
          <w:sz w:val="24"/>
          <w:szCs w:val="24"/>
        </w:rPr>
        <w:t>Stockhammer</w:t>
      </w:r>
      <w:proofErr w:type="spellEnd"/>
      <w:r w:rsidRPr="000139D9">
        <w:rPr>
          <w:rFonts w:ascii="Times New Roman" w:hAnsi="Times New Roman" w:cs="Times New Roman"/>
          <w:sz w:val="24"/>
          <w:szCs w:val="24"/>
        </w:rPr>
        <w:t xml:space="preserve"> (2005), Mazzucato (2013), dentre outros, demonstram que a generalização da estratégia corporativa de maximização do valor do acionista tem tido vinculações diretas em relação à desaceleração das </w:t>
      </w:r>
      <w:bookmarkStart w:id="28" w:name="_Hlk97661849"/>
      <w:r w:rsidRPr="000139D9">
        <w:rPr>
          <w:rFonts w:ascii="Times New Roman" w:hAnsi="Times New Roman" w:cs="Times New Roman"/>
          <w:sz w:val="24"/>
          <w:szCs w:val="24"/>
        </w:rPr>
        <w:t>taxas de investimento em economias nacionais. Em termos das economias regionais, as implicações são mais relevantes, reduzindo em muitas delas a alocação de recursos, revestimentos e gastos regionais em pesquisa e desenvolvimento (P&amp;D). No caso da Vale, quando se considera a proporção dos gastos com P&amp;D em relação ao valor da receita total, evidencia-se tendência de retração destes gastos não só em termos regionais, mas nas operações como um todo. Em 2020, esse ratio equivaleu a ínfimo 1,1%.</w:t>
      </w:r>
      <w:r w:rsidR="008740CF">
        <w:rPr>
          <w:rFonts w:ascii="Times New Roman" w:hAnsi="Times New Roman" w:cs="Times New Roman"/>
          <w:sz w:val="24"/>
          <w:szCs w:val="24"/>
        </w:rPr>
        <w:t xml:space="preserve"> </w:t>
      </w:r>
    </w:p>
    <w:p w14:paraId="17332CF2" w14:textId="77777777"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No caso da Vale, o resultado de tal padrão de gestão corporativa é também observável ao se inferir a razão entre a somatória de dividendos e juros sobre capital próprio distribuídos aos acionistas e o lucro líquido da Vale que, em 2020, alcançou 0,70% (VALE, 2021). Por conseguinte, nesse processo de valorização mercantil os acionistas apropriam-se de quase todo o valor gerado e podem, em função da elevada liquidez do mercado financeiro, realocá-lo em qualquer alternativa; possibilidade que não existe para a miríade de agentes, trabalhadores, moradores etc. regionalmente envolvidos nessas atividades e nos arranjos institucionais delas resultantes, condição que conduz Mazzucato (2020) a indicar que há, portanto, uma relação assimétrica.</w:t>
      </w:r>
    </w:p>
    <w:p w14:paraId="214FF0D8" w14:textId="77777777"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Tanto que a Vale, ao ser fortemente pressionada pelo governo federal, anunciou, em 2008, a implantação, em Marabá, Pará, da Aços Laminados do Pará, siderúrgica que representaria investimento de US$ 5 bilhões; posteriormente, porém, em consonância com a </w:t>
      </w:r>
      <w:r w:rsidRPr="000139D9">
        <w:rPr>
          <w:rFonts w:ascii="Times New Roman" w:hAnsi="Times New Roman" w:cs="Times New Roman"/>
          <w:sz w:val="24"/>
          <w:szCs w:val="24"/>
        </w:rPr>
        <w:lastRenderedPageBreak/>
        <w:t xml:space="preserve">diretriz estratégica de não reter lucros, de não realocá-los em novos negócios e de especialização, a diretoria da corporação apontou a necessidade de o grupo aprofundar a expertise coorporativa e se “tornar a maior empresa de mineração do mundo” e “aumentar a diversificação geográfica e de produtos” oriundos da mineração (VALE, 2011, p. 17), de forma que abandonou o projeto da siderúrgica. </w:t>
      </w:r>
    </w:p>
    <w:p w14:paraId="12D75966" w14:textId="77777777" w:rsidR="007E705E" w:rsidRPr="000139D9" w:rsidRDefault="007E705E" w:rsidP="000139D9">
      <w:pPr>
        <w:spacing w:after="0" w:line="360" w:lineRule="auto"/>
        <w:ind w:firstLine="709"/>
        <w:jc w:val="both"/>
        <w:rPr>
          <w:rFonts w:ascii="Times New Roman" w:hAnsi="Times New Roman" w:cs="Times New Roman"/>
          <w:spacing w:val="-2"/>
          <w:sz w:val="24"/>
          <w:szCs w:val="24"/>
        </w:rPr>
      </w:pPr>
      <w:r w:rsidRPr="000139D9">
        <w:rPr>
          <w:rFonts w:ascii="Times New Roman" w:hAnsi="Times New Roman" w:cs="Times New Roman"/>
          <w:sz w:val="24"/>
          <w:szCs w:val="24"/>
        </w:rPr>
        <w:t>Evidencia-se, por conseguinte, o limitado poder de frações de classe com maior presença regional valerem-se das especificidades que envolvem a rigidez locacional da valorização de recursos minerais tanto no que se refere à alocação regional de parcela dos lucros auferidos pela atividade quanto em relação à possibilidade de se estabelecer política tributária capaz de “ampliar a parcela do valor adicionado captada pela sociedade por meio de tributos” (MONTEIRO, 2005, p. 201).</w:t>
      </w:r>
    </w:p>
    <w:p w14:paraId="6A8D6A1B" w14:textId="77777777"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Ademais, as aglomerações espaciais que se formam em torno dessas corporações não resultam, necessariamente, na organização de “meios inovadores” que se tornam repositórios de conhecimentos locais tácitos e especializados (</w:t>
      </w:r>
      <w:bookmarkStart w:id="29" w:name="_Hlk80360981"/>
      <w:r w:rsidRPr="000139D9">
        <w:rPr>
          <w:rFonts w:ascii="Times New Roman" w:hAnsi="Times New Roman" w:cs="Times New Roman"/>
          <w:sz w:val="24"/>
          <w:szCs w:val="24"/>
        </w:rPr>
        <w:t xml:space="preserve">LAWSON </w:t>
      </w:r>
      <w:r w:rsidRPr="000139D9">
        <w:rPr>
          <w:rFonts w:ascii="Times New Roman" w:hAnsi="Times New Roman" w:cs="Times New Roman"/>
          <w:i/>
          <w:sz w:val="24"/>
          <w:szCs w:val="24"/>
        </w:rPr>
        <w:t>et al.</w:t>
      </w:r>
      <w:r w:rsidRPr="000139D9">
        <w:rPr>
          <w:rFonts w:ascii="Times New Roman" w:hAnsi="Times New Roman" w:cs="Times New Roman"/>
          <w:sz w:val="24"/>
          <w:szCs w:val="24"/>
        </w:rPr>
        <w:t>, 1997</w:t>
      </w:r>
      <w:bookmarkEnd w:id="29"/>
      <w:r w:rsidRPr="000139D9">
        <w:rPr>
          <w:rFonts w:ascii="Times New Roman" w:hAnsi="Times New Roman" w:cs="Times New Roman"/>
          <w:sz w:val="24"/>
          <w:szCs w:val="24"/>
        </w:rPr>
        <w:t>). Diferentemente da possibilidade de a corporação estabelecer regionalmente vínculos sinérgicos com o sistema educacional, com a infraestrutura tecnológica e com o aparato institucional público e privado, a mineração industrial tem resultado em “grande concentração de capitais e pouca difusão de tecnologias” (MONTEIRO, 2005, p. 201).</w:t>
      </w:r>
    </w:p>
    <w:p w14:paraId="4E2C75A9" w14:textId="285159C0"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Assim, em que pese a expressividade e a ampliação da participação da corporação no valor regionalmente adicionado, isto não decorre de sua integração a dinâmicas sociais e econômicas em bases territoriais. Tanto que os vínculos da corporação são extremamente tênues com a incipiente infraestrutura tecnológica regional e com o sistema educacional da região, que se mantém como um dos mais frágeis do Brasil, a despeito do crescimento do faturamento da mineração industrial com </w:t>
      </w:r>
      <w:r w:rsidRPr="000139D9">
        <w:rPr>
          <w:rFonts w:ascii="Times New Roman" w:hAnsi="Times New Roman" w:cs="Times New Roman"/>
          <w:strike/>
          <w:sz w:val="24"/>
          <w:szCs w:val="24"/>
        </w:rPr>
        <w:t>em</w:t>
      </w:r>
      <w:r w:rsidRPr="000139D9">
        <w:rPr>
          <w:rFonts w:ascii="Times New Roman" w:hAnsi="Times New Roman" w:cs="Times New Roman"/>
          <w:sz w:val="24"/>
          <w:szCs w:val="24"/>
        </w:rPr>
        <w:t xml:space="preserve"> taxa de crescimento médio anual superior a dois dígitos, na primeira década do século, e de a região ter registrado aumento da intensidade e da severidade da pobreza, na contramão das dinâmicas nacionais (IBGE, 2002, 2012).</w:t>
      </w:r>
    </w:p>
    <w:p w14:paraId="1AAAA4CC" w14:textId="3641D9F7" w:rsidR="007E705E" w:rsidRPr="000139D9" w:rsidRDefault="001040A8" w:rsidP="008740CF">
      <w:pPr>
        <w:spacing w:after="0" w:line="360" w:lineRule="auto"/>
        <w:rPr>
          <w:rFonts w:ascii="Times New Roman" w:hAnsi="Times New Roman" w:cs="Times New Roman"/>
          <w:b/>
          <w:bCs/>
          <w:sz w:val="24"/>
          <w:szCs w:val="24"/>
        </w:rPr>
      </w:pPr>
      <w:bookmarkStart w:id="30" w:name="_Toc94263446"/>
      <w:r>
        <w:rPr>
          <w:rFonts w:ascii="Times New Roman" w:hAnsi="Times New Roman" w:cs="Times New Roman"/>
          <w:b/>
          <w:bCs/>
          <w:sz w:val="24"/>
          <w:szCs w:val="24"/>
        </w:rPr>
        <w:t xml:space="preserve">5 </w:t>
      </w:r>
      <w:r w:rsidR="00077615" w:rsidRPr="000139D9">
        <w:rPr>
          <w:rFonts w:ascii="Times New Roman" w:hAnsi="Times New Roman" w:cs="Times New Roman"/>
          <w:b/>
          <w:bCs/>
          <w:sz w:val="24"/>
          <w:szCs w:val="24"/>
        </w:rPr>
        <w:t>CONSIDERAÇÕES FINAIS</w:t>
      </w:r>
      <w:bookmarkEnd w:id="30"/>
    </w:p>
    <w:p w14:paraId="1F80D5C4" w14:textId="77777777"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As indicações apresentadas expõem a complexidade e as limitações da instauração de dinâmicas inovativas endogenamente impulsionadas mediante o estabelecimento de vínculos </w:t>
      </w:r>
      <w:r w:rsidRPr="000139D9">
        <w:rPr>
          <w:rFonts w:ascii="Times New Roman" w:hAnsi="Times New Roman" w:cs="Times New Roman"/>
          <w:sz w:val="24"/>
          <w:szCs w:val="24"/>
        </w:rPr>
        <w:lastRenderedPageBreak/>
        <w:t>sinérgicos entre agentes econômicos e um sistema social territorialmente referenciado nos termos das recomendações dirigidas à implementação de agendas de desenvolvimento orientadas por novos conceitos de competitividade (CEPAL, 1990 e BRASIL, 2008a, 2010).</w:t>
      </w:r>
    </w:p>
    <w:p w14:paraId="2C9587C3" w14:textId="77777777"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Os padrões subnacionais de articulações espaciais entre agentes, capacidades e fontes de inovação revelados explicitam obstáculos para a promoção de impulsos inovativos de base endógena; dissimilaridades de padrões que expõem </w:t>
      </w:r>
      <w:r w:rsidRPr="000139D9">
        <w:rPr>
          <w:rFonts w:ascii="Times New Roman" w:hAnsi="Times New Roman" w:cs="Times New Roman"/>
          <w:i/>
          <w:iCs/>
          <w:sz w:val="24"/>
          <w:szCs w:val="24"/>
        </w:rPr>
        <w:t>gaps</w:t>
      </w:r>
      <w:r w:rsidRPr="000139D9">
        <w:rPr>
          <w:rFonts w:ascii="Times New Roman" w:hAnsi="Times New Roman" w:cs="Times New Roman"/>
          <w:sz w:val="24"/>
          <w:szCs w:val="24"/>
        </w:rPr>
        <w:t xml:space="preserve"> cuja superação é bastante abstrusa, pois, como se indicou, o progresso tecnológico envolve processos que demandam interatividade e </w:t>
      </w:r>
      <w:r w:rsidRPr="000139D9">
        <w:rPr>
          <w:rFonts w:ascii="Times New Roman" w:hAnsi="Times New Roman" w:cs="Times New Roman"/>
          <w:i/>
          <w:iCs/>
          <w:sz w:val="24"/>
          <w:szCs w:val="24"/>
        </w:rPr>
        <w:t>feedbacks</w:t>
      </w:r>
      <w:r w:rsidRPr="000139D9">
        <w:rPr>
          <w:rFonts w:ascii="Times New Roman" w:hAnsi="Times New Roman" w:cs="Times New Roman"/>
          <w:sz w:val="24"/>
          <w:szCs w:val="24"/>
        </w:rPr>
        <w:t xml:space="preserve"> complexos que dependem de conhecimentos e de habilidades tácitas, razão pela qual a tecnologia e a inovação não podem ser reduzidas a informações ou a projetos que são livres ou facilmente transferíveis de uma região para outra (CAPELLO, 1999; FREEMAN, 1994; LAWSON; LORENZ, 1999; NELSON; WINTER, 1982). Por isso, há limitadíssima margem para a gestação de impulsos endógenos com dimensão e capacidade de promover alterações significativas nos padrões tecnológicos que matizam ampla maioria da produção social na região de Carajás.</w:t>
      </w:r>
    </w:p>
    <w:p w14:paraId="7F860938" w14:textId="77777777"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No agrário regional, a conformação e a evolução das trajetórias tecnológicas e a maneira como os agentes regionais se articulam com as capacidades e fonte de inovação explicitam as razões pelas quais se consolidam dentre os principais agentes econômicos práticas sociais </w:t>
      </w:r>
      <w:bookmarkEnd w:id="28"/>
      <w:r w:rsidRPr="000139D9">
        <w:rPr>
          <w:rFonts w:ascii="Times New Roman" w:hAnsi="Times New Roman" w:cs="Times New Roman"/>
          <w:sz w:val="24"/>
          <w:szCs w:val="24"/>
        </w:rPr>
        <w:t xml:space="preserve">dependentes do caminho trilhado e de aprisionamento tecnológico criados a partir de experiências do passado. Trata-se de percurso e de bases </w:t>
      </w:r>
      <w:proofErr w:type="spellStart"/>
      <w:r w:rsidRPr="000139D9">
        <w:rPr>
          <w:rFonts w:ascii="Times New Roman" w:hAnsi="Times New Roman" w:cs="Times New Roman"/>
          <w:sz w:val="24"/>
          <w:szCs w:val="24"/>
        </w:rPr>
        <w:t>tecnoprodutivas</w:t>
      </w:r>
      <w:proofErr w:type="spellEnd"/>
      <w:r w:rsidRPr="000139D9">
        <w:rPr>
          <w:rFonts w:ascii="Times New Roman" w:hAnsi="Times New Roman" w:cs="Times New Roman"/>
          <w:sz w:val="24"/>
          <w:szCs w:val="24"/>
        </w:rPr>
        <w:t xml:space="preserve"> que têm resultado na prevalência de dinâmicas de reprodução social e ambientalmente deletérias, marcadas pelo uso extensivo, predatório e pouco qualificado dos recursos naturais; pela ampliação da quimificação da produção e da dependência de combustíveis fósseis; pela externalização de custos sociais e ambientais; e pela utilização de tecnologias inadequadas às realidades sociais e ambientais do bioma Amazônia (Figura 1), dentre outros importantes aspectos.</w:t>
      </w:r>
    </w:p>
    <w:p w14:paraId="541CB130" w14:textId="77777777"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 xml:space="preserve">No que tange à atividade de mineração industrial, responsável pela maior parte do PIB regional, quando se adota uma abordagem mais abrangente, nos termos sugeridos por </w:t>
      </w:r>
      <w:proofErr w:type="spellStart"/>
      <w:r w:rsidRPr="000139D9">
        <w:rPr>
          <w:rFonts w:ascii="Times New Roman" w:hAnsi="Times New Roman" w:cs="Times New Roman"/>
          <w:sz w:val="24"/>
          <w:szCs w:val="24"/>
        </w:rPr>
        <w:t>Fajnzylber</w:t>
      </w:r>
      <w:proofErr w:type="spellEnd"/>
      <w:r w:rsidRPr="000139D9">
        <w:rPr>
          <w:rFonts w:ascii="Times New Roman" w:hAnsi="Times New Roman" w:cs="Times New Roman"/>
          <w:sz w:val="24"/>
          <w:szCs w:val="24"/>
        </w:rPr>
        <w:t xml:space="preserve"> (1988, p. 13), é possível se afirmar que, nas últimas décadas, a ampliação da competitividade internacional desse segmento, como a da agropecuária, também tem base espúria, uma vez que ocorre na presença de um sistema educacional fragilíssimo, da ampliação </w:t>
      </w:r>
      <w:r w:rsidRPr="000139D9">
        <w:rPr>
          <w:rFonts w:ascii="Times New Roman" w:hAnsi="Times New Roman" w:cs="Times New Roman"/>
          <w:sz w:val="24"/>
          <w:szCs w:val="24"/>
        </w:rPr>
        <w:lastRenderedPageBreak/>
        <w:t>da pobreza, da diminuição dos coeficientes de investimento, da redução dos gastos em pesquisa e desenvolvimento tecnológico. Desse modo, a dinâmica vigente se dirige em direção oposta à alternativa otimista de desenvolvimento inspirada na abordagem evolucionária da mudança econômica que advoga a necessidade da incorporação dinâmica do progresso técnico, de forma que no ambiente concorrencial de caráter internacional as corporações empresariais e os agentes econômicos devem se constituir em componentes profundamente integrados ao sistema social e econômico envolvente (CEPAL, 1990, p. 14).</w:t>
      </w:r>
    </w:p>
    <w:p w14:paraId="6BC6646A" w14:textId="77777777" w:rsidR="007E705E" w:rsidRPr="000139D9" w:rsidRDefault="007E705E" w:rsidP="000139D9">
      <w:pPr>
        <w:spacing w:after="0" w:line="360" w:lineRule="auto"/>
        <w:ind w:firstLine="709"/>
        <w:jc w:val="both"/>
        <w:rPr>
          <w:rFonts w:ascii="Times New Roman" w:hAnsi="Times New Roman" w:cs="Times New Roman"/>
          <w:sz w:val="24"/>
          <w:szCs w:val="24"/>
        </w:rPr>
      </w:pPr>
      <w:r w:rsidRPr="000139D9">
        <w:rPr>
          <w:rFonts w:ascii="Times New Roman" w:hAnsi="Times New Roman" w:cs="Times New Roman"/>
          <w:sz w:val="24"/>
          <w:szCs w:val="24"/>
        </w:rPr>
        <w:t>As trajetórias tecnológicas de milhares de agentes econômicos, as relações entre eles e as instituições e a qualidade delas, como se evidenciou, ensejam inércias, aprisionamentos tecnológicos, obstáculos e tendências contra-arrestantes à emergência de novos paradigmas tecnológicos que sustentem dinâmicas alternativas de desenvolvimento em bases social e ambientalmente sustentáveis. Há, por conseguinte, limitadíssimo fundamento empírico para a implementação de orientações estratégicas voltadas à transformação produtiva com equidade social, já que o confronto com o padrão reprodutivo e inovativo, a práxis e as condutas de sujeitos da produção material, do quadro institucional e de atitudes predominantes de agentes regionalmente relevantes, dentre eles as grandes corporações, revelam vinculação a paradigmas e trajetórias que mantêm rendimentos crescentes, no entanto, derivados de ganhos espúrios de competividade.</w:t>
      </w:r>
    </w:p>
    <w:p w14:paraId="4AD228F7" w14:textId="77777777" w:rsidR="00C66543" w:rsidRPr="000139D9" w:rsidRDefault="00C66543">
      <w:pPr>
        <w:spacing w:after="0" w:line="240" w:lineRule="auto"/>
        <w:jc w:val="both"/>
        <w:rPr>
          <w:rFonts w:ascii="Times New Roman" w:hAnsi="Times New Roman" w:cs="Times New Roman"/>
          <w:b/>
          <w:bCs/>
          <w:sz w:val="24"/>
          <w:szCs w:val="24"/>
        </w:rPr>
      </w:pPr>
    </w:p>
    <w:p w14:paraId="7B7A5DB3" w14:textId="77777777" w:rsidR="00C66543" w:rsidRPr="00487EA3" w:rsidRDefault="00C93029">
      <w:pPr>
        <w:spacing w:after="0" w:line="240" w:lineRule="auto"/>
        <w:jc w:val="both"/>
        <w:rPr>
          <w:rFonts w:ascii="Times New Roman" w:hAnsi="Times New Roman" w:cs="Times New Roman"/>
          <w:b/>
          <w:bCs/>
          <w:sz w:val="24"/>
          <w:szCs w:val="24"/>
          <w:lang w:val="en-US"/>
        </w:rPr>
      </w:pPr>
      <w:proofErr w:type="spellStart"/>
      <w:r w:rsidRPr="00487EA3">
        <w:rPr>
          <w:rFonts w:ascii="Times New Roman" w:hAnsi="Times New Roman" w:cs="Times New Roman"/>
          <w:b/>
          <w:bCs/>
          <w:sz w:val="24"/>
          <w:szCs w:val="24"/>
          <w:lang w:val="en-US"/>
        </w:rPr>
        <w:t>REFERÊNCIAS</w:t>
      </w:r>
      <w:proofErr w:type="spellEnd"/>
    </w:p>
    <w:p w14:paraId="2069914B" w14:textId="77777777" w:rsidR="00C66543" w:rsidRPr="00487EA3" w:rsidRDefault="00C66543">
      <w:pPr>
        <w:spacing w:after="0" w:line="240" w:lineRule="auto"/>
        <w:jc w:val="both"/>
        <w:rPr>
          <w:rFonts w:ascii="Times New Roman" w:hAnsi="Times New Roman" w:cs="Times New Roman"/>
          <w:sz w:val="24"/>
          <w:szCs w:val="24"/>
          <w:lang w:val="en-US"/>
        </w:rPr>
      </w:pPr>
    </w:p>
    <w:p w14:paraId="68E1EB9A" w14:textId="05D973B9"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ARTHUR, W. B. Increasing returns and path dependence in the economy. University of Michigan Press, 1994.</w:t>
      </w:r>
    </w:p>
    <w:p w14:paraId="723E69D4" w14:textId="77777777" w:rsidR="005F519D" w:rsidRPr="000139D9" w:rsidRDefault="005F519D" w:rsidP="005F519D">
      <w:pPr>
        <w:pStyle w:val="LISTADEREFERNCIASXIXENANPUR"/>
        <w:spacing w:after="0"/>
        <w:rPr>
          <w:rFonts w:ascii="Times New Roman" w:hAnsi="Times New Roman" w:cs="Times New Roman"/>
          <w:lang w:val="en-US"/>
        </w:rPr>
      </w:pPr>
    </w:p>
    <w:p w14:paraId="41C74097" w14:textId="0CA83832"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BAUMOL, W. J.; </w:t>
      </w:r>
      <w:proofErr w:type="spellStart"/>
      <w:r w:rsidRPr="000139D9">
        <w:rPr>
          <w:rFonts w:ascii="Times New Roman" w:hAnsi="Times New Roman" w:cs="Times New Roman"/>
          <w:lang w:val="en-US"/>
        </w:rPr>
        <w:t>QUANDT</w:t>
      </w:r>
      <w:proofErr w:type="spellEnd"/>
      <w:r w:rsidRPr="000139D9">
        <w:rPr>
          <w:rFonts w:ascii="Times New Roman" w:hAnsi="Times New Roman" w:cs="Times New Roman"/>
          <w:lang w:val="en-US"/>
        </w:rPr>
        <w:t xml:space="preserve">, R. E. Rules of thumb and optimally imperfect decisions. </w:t>
      </w:r>
      <w:r w:rsidRPr="000139D9">
        <w:rPr>
          <w:rFonts w:ascii="Times New Roman" w:hAnsi="Times New Roman" w:cs="Times New Roman"/>
          <w:i/>
          <w:iCs/>
          <w:lang w:val="en-US"/>
        </w:rPr>
        <w:t>The American economic review</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54, n. 2, p. 23-46, 1964.</w:t>
      </w:r>
    </w:p>
    <w:p w14:paraId="5F6EE93E" w14:textId="77777777" w:rsidR="005F519D" w:rsidRPr="000139D9" w:rsidRDefault="005F519D" w:rsidP="005F519D">
      <w:pPr>
        <w:pStyle w:val="LISTADEREFERNCIASXIXENANPUR"/>
        <w:spacing w:after="0"/>
        <w:rPr>
          <w:rFonts w:ascii="Times New Roman" w:hAnsi="Times New Roman" w:cs="Times New Roman"/>
          <w:lang w:val="en-US"/>
        </w:rPr>
      </w:pPr>
    </w:p>
    <w:p w14:paraId="39C0F7BF" w14:textId="77777777" w:rsidR="005F519D" w:rsidRPr="00586B80"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BRASIL. </w:t>
      </w:r>
      <w:r w:rsidRPr="000139D9">
        <w:rPr>
          <w:rFonts w:ascii="Times New Roman" w:hAnsi="Times New Roman" w:cs="Times New Roman"/>
        </w:rPr>
        <w:t xml:space="preserve">Ministério da Economia. Relatório Anual de Informações Sociais. </w:t>
      </w:r>
      <w:r w:rsidRPr="00586B80">
        <w:rPr>
          <w:rFonts w:ascii="Times New Roman" w:hAnsi="Times New Roman" w:cs="Times New Roman"/>
          <w:lang w:val="en-US"/>
        </w:rPr>
        <w:t xml:space="preserve">Brasília, DF: </w:t>
      </w:r>
      <w:proofErr w:type="spellStart"/>
      <w:r w:rsidRPr="00586B80">
        <w:rPr>
          <w:rFonts w:ascii="Times New Roman" w:hAnsi="Times New Roman" w:cs="Times New Roman"/>
          <w:lang w:val="en-US"/>
        </w:rPr>
        <w:t>Secretaria</w:t>
      </w:r>
      <w:proofErr w:type="spellEnd"/>
      <w:r w:rsidRPr="00586B80">
        <w:rPr>
          <w:rFonts w:ascii="Times New Roman" w:hAnsi="Times New Roman" w:cs="Times New Roman"/>
          <w:lang w:val="en-US"/>
        </w:rPr>
        <w:t xml:space="preserve"> de </w:t>
      </w:r>
      <w:proofErr w:type="spellStart"/>
      <w:r w:rsidRPr="00586B80">
        <w:rPr>
          <w:rFonts w:ascii="Times New Roman" w:hAnsi="Times New Roman" w:cs="Times New Roman"/>
          <w:lang w:val="en-US"/>
        </w:rPr>
        <w:t>Trabalho</w:t>
      </w:r>
      <w:proofErr w:type="spellEnd"/>
      <w:r w:rsidRPr="00586B80">
        <w:rPr>
          <w:rFonts w:ascii="Times New Roman" w:hAnsi="Times New Roman" w:cs="Times New Roman"/>
          <w:lang w:val="en-US"/>
        </w:rPr>
        <w:t>, 2021.</w:t>
      </w:r>
    </w:p>
    <w:p w14:paraId="69E3E579" w14:textId="77777777" w:rsidR="00F26DB7" w:rsidRPr="00586B80" w:rsidRDefault="00F26DB7" w:rsidP="005F519D">
      <w:pPr>
        <w:pStyle w:val="LISTADEREFERNCIASXIXENANPUR"/>
        <w:spacing w:after="0"/>
        <w:rPr>
          <w:rFonts w:ascii="Times New Roman" w:hAnsi="Times New Roman" w:cs="Times New Roman"/>
          <w:lang w:val="en-US"/>
        </w:rPr>
      </w:pPr>
    </w:p>
    <w:p w14:paraId="3CF6D9D9" w14:textId="15C3FB8D" w:rsidR="005F519D" w:rsidRDefault="00F26DB7" w:rsidP="005F519D">
      <w:pPr>
        <w:pStyle w:val="LISTADEREFERNCIASXIXENANPUR"/>
        <w:spacing w:after="0"/>
        <w:rPr>
          <w:rFonts w:ascii="Times New Roman" w:hAnsi="Times New Roman" w:cs="Times New Roman"/>
          <w:lang w:val="en-US"/>
        </w:rPr>
      </w:pPr>
      <w:r w:rsidRPr="0063503B">
        <w:rPr>
          <w:rFonts w:ascii="Times New Roman" w:hAnsi="Times New Roman" w:cs="Times New Roman"/>
          <w:lang w:val="en-US"/>
        </w:rPr>
        <w:t>CANTWELL, J. Technological innovation, and multinational corporations. Cambridge, MA: B. Blackwell, 1989.</w:t>
      </w:r>
    </w:p>
    <w:p w14:paraId="50A53DA3" w14:textId="77777777" w:rsidR="00F26DB7" w:rsidRPr="00586B80" w:rsidRDefault="00F26DB7" w:rsidP="005F519D">
      <w:pPr>
        <w:pStyle w:val="LISTADEREFERNCIASXIXENANPUR"/>
        <w:spacing w:after="0"/>
        <w:rPr>
          <w:rFonts w:ascii="Times New Roman" w:hAnsi="Times New Roman" w:cs="Times New Roman"/>
          <w:lang w:val="en-US"/>
        </w:rPr>
      </w:pPr>
    </w:p>
    <w:p w14:paraId="1415F4BB" w14:textId="632BAB6A" w:rsidR="005F519D" w:rsidRPr="000139D9" w:rsidRDefault="005F519D" w:rsidP="005F519D">
      <w:pPr>
        <w:pStyle w:val="LISTADEREFERNCIASXIXENANPUR"/>
        <w:spacing w:after="0"/>
        <w:rPr>
          <w:rFonts w:ascii="Times New Roman" w:hAnsi="Times New Roman" w:cs="Times New Roman"/>
          <w:lang w:val="es-419"/>
        </w:rPr>
      </w:pPr>
      <w:r w:rsidRPr="000139D9">
        <w:rPr>
          <w:rFonts w:ascii="Times New Roman" w:hAnsi="Times New Roman" w:cs="Times New Roman"/>
          <w:lang w:val="en-US"/>
        </w:rPr>
        <w:t xml:space="preserve">CAPELLO, R. Spatial transfer of knowledge in high technology milieux: learning versus collective learning processes. </w:t>
      </w:r>
      <w:r w:rsidRPr="000139D9">
        <w:rPr>
          <w:rFonts w:ascii="Times New Roman" w:hAnsi="Times New Roman" w:cs="Times New Roman"/>
          <w:i/>
          <w:iCs/>
          <w:lang w:val="es-419"/>
        </w:rPr>
        <w:t xml:space="preserve">Regional </w:t>
      </w:r>
      <w:proofErr w:type="spellStart"/>
      <w:r w:rsidRPr="000139D9">
        <w:rPr>
          <w:rFonts w:ascii="Times New Roman" w:hAnsi="Times New Roman" w:cs="Times New Roman"/>
          <w:i/>
          <w:iCs/>
          <w:lang w:val="es-419"/>
        </w:rPr>
        <w:t>Studies</w:t>
      </w:r>
      <w:proofErr w:type="spellEnd"/>
      <w:r w:rsidRPr="000139D9">
        <w:rPr>
          <w:rFonts w:ascii="Times New Roman" w:hAnsi="Times New Roman" w:cs="Times New Roman"/>
          <w:lang w:val="es-419"/>
        </w:rPr>
        <w:t>, [s.l.], v. 33, n. 4, p. 353-365, 1999.</w:t>
      </w:r>
    </w:p>
    <w:p w14:paraId="65102A01" w14:textId="77777777" w:rsidR="005F519D" w:rsidRPr="000139D9" w:rsidRDefault="005F519D" w:rsidP="005F519D">
      <w:pPr>
        <w:pStyle w:val="LISTADEREFERNCIASXIXENANPUR"/>
        <w:spacing w:after="0"/>
        <w:rPr>
          <w:rFonts w:ascii="Times New Roman" w:hAnsi="Times New Roman" w:cs="Times New Roman"/>
          <w:lang w:val="es-419"/>
        </w:rPr>
      </w:pPr>
    </w:p>
    <w:p w14:paraId="4CB6FABE"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lang w:val="es-419"/>
        </w:rPr>
        <w:t xml:space="preserve">CEPAL </w:t>
      </w:r>
      <w:r w:rsidRPr="000139D9">
        <w:rPr>
          <w:rFonts w:ascii="Times New Roman" w:hAnsi="Times New Roman" w:cs="Times New Roman"/>
          <w:i/>
          <w:iCs/>
          <w:lang w:val="es-419"/>
        </w:rPr>
        <w:t>Transformación productiva con equidad</w:t>
      </w:r>
      <w:r w:rsidRPr="000139D9">
        <w:rPr>
          <w:rFonts w:ascii="Times New Roman" w:hAnsi="Times New Roman" w:cs="Times New Roman"/>
          <w:lang w:val="es-419"/>
        </w:rPr>
        <w:t xml:space="preserve">: la tarea prioritaria del desarrollo de América Latina y el Caribe en los años noventa. </w:t>
      </w:r>
      <w:r w:rsidRPr="000139D9">
        <w:rPr>
          <w:rFonts w:ascii="Times New Roman" w:hAnsi="Times New Roman" w:cs="Times New Roman"/>
        </w:rPr>
        <w:t>Santiago de Chile: CEPAL, 1990.</w:t>
      </w:r>
    </w:p>
    <w:p w14:paraId="38284FD7" w14:textId="77777777" w:rsidR="005F519D" w:rsidRPr="000139D9" w:rsidRDefault="005F519D" w:rsidP="005F519D">
      <w:pPr>
        <w:pStyle w:val="LISTADEREFERNCIASXIXENANPUR"/>
        <w:spacing w:after="0"/>
        <w:rPr>
          <w:rFonts w:ascii="Times New Roman" w:hAnsi="Times New Roman" w:cs="Times New Roman"/>
        </w:rPr>
      </w:pPr>
    </w:p>
    <w:p w14:paraId="190073D3" w14:textId="77777777" w:rsidR="005F519D" w:rsidRPr="000139D9" w:rsidRDefault="005F519D" w:rsidP="005F519D">
      <w:pPr>
        <w:pStyle w:val="LISTADEREFERNCIASXIXENANPUR"/>
        <w:spacing w:after="0"/>
        <w:rPr>
          <w:rFonts w:ascii="Times New Roman" w:hAnsi="Times New Roman" w:cs="Times New Roman"/>
        </w:rPr>
      </w:pPr>
      <w:bookmarkStart w:id="31" w:name="_Hlk80363035"/>
      <w:r w:rsidRPr="000139D9">
        <w:rPr>
          <w:rFonts w:ascii="Times New Roman" w:hAnsi="Times New Roman" w:cs="Times New Roman"/>
        </w:rPr>
        <w:t xml:space="preserve">COSTA, F. A. Elementos para uma economia política da Amazônia: historicidade, territorialidade, diversidade, sustentabilidade. Belém: </w:t>
      </w:r>
      <w:proofErr w:type="spellStart"/>
      <w:r w:rsidRPr="000139D9">
        <w:rPr>
          <w:rFonts w:ascii="Times New Roman" w:hAnsi="Times New Roman" w:cs="Times New Roman"/>
        </w:rPr>
        <w:t>NAEA</w:t>
      </w:r>
      <w:proofErr w:type="spellEnd"/>
      <w:r w:rsidRPr="000139D9">
        <w:rPr>
          <w:rFonts w:ascii="Times New Roman" w:hAnsi="Times New Roman" w:cs="Times New Roman"/>
        </w:rPr>
        <w:t>, 2012.</w:t>
      </w:r>
      <w:bookmarkEnd w:id="31"/>
    </w:p>
    <w:p w14:paraId="7D8BBF06" w14:textId="77777777" w:rsidR="005F519D" w:rsidRPr="000139D9" w:rsidRDefault="005F519D" w:rsidP="005F519D">
      <w:pPr>
        <w:pStyle w:val="LISTADEREFERNCIASXIXENANPUR"/>
        <w:spacing w:after="0"/>
        <w:rPr>
          <w:rFonts w:ascii="Times New Roman" w:hAnsi="Times New Roman" w:cs="Times New Roman"/>
        </w:rPr>
      </w:pPr>
    </w:p>
    <w:p w14:paraId="132FD101"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rPr>
        <w:t xml:space="preserve">COSTA, F. de A. Trajetórias tecnológicas como objeto de política de conhecimento para a Amazônia: uma metodologia de delineamento. </w:t>
      </w:r>
      <w:proofErr w:type="spellStart"/>
      <w:r w:rsidRPr="000139D9">
        <w:rPr>
          <w:rFonts w:ascii="Times New Roman" w:hAnsi="Times New Roman" w:cs="Times New Roman"/>
          <w:lang w:val="en-US"/>
        </w:rPr>
        <w:t>Revista</w:t>
      </w:r>
      <w:proofErr w:type="spellEnd"/>
      <w:r w:rsidRPr="000139D9">
        <w:rPr>
          <w:rFonts w:ascii="Times New Roman" w:hAnsi="Times New Roman" w:cs="Times New Roman"/>
          <w:lang w:val="en-US"/>
        </w:rPr>
        <w:t xml:space="preserve"> </w:t>
      </w:r>
      <w:proofErr w:type="spellStart"/>
      <w:r w:rsidRPr="000139D9">
        <w:rPr>
          <w:rFonts w:ascii="Times New Roman" w:hAnsi="Times New Roman" w:cs="Times New Roman"/>
          <w:lang w:val="en-US"/>
        </w:rPr>
        <w:t>Brasileira</w:t>
      </w:r>
      <w:proofErr w:type="spellEnd"/>
      <w:r w:rsidRPr="000139D9">
        <w:rPr>
          <w:rFonts w:ascii="Times New Roman" w:hAnsi="Times New Roman" w:cs="Times New Roman"/>
          <w:lang w:val="en-US"/>
        </w:rPr>
        <w:t xml:space="preserve"> de </w:t>
      </w:r>
      <w:proofErr w:type="spellStart"/>
      <w:r w:rsidRPr="000139D9">
        <w:rPr>
          <w:rFonts w:ascii="Times New Roman" w:hAnsi="Times New Roman" w:cs="Times New Roman"/>
          <w:lang w:val="en-US"/>
        </w:rPr>
        <w:t>Inovação</w:t>
      </w:r>
      <w:proofErr w:type="spellEnd"/>
      <w:r w:rsidRPr="000139D9">
        <w:rPr>
          <w:rFonts w:ascii="Times New Roman" w:hAnsi="Times New Roman" w:cs="Times New Roman"/>
          <w:lang w:val="en-US"/>
        </w:rPr>
        <w:t>, v. 8, n. 1, p. 35-86, 2009.</w:t>
      </w:r>
    </w:p>
    <w:p w14:paraId="752C33CD" w14:textId="77777777" w:rsidR="005F519D" w:rsidRPr="000139D9" w:rsidRDefault="005F519D" w:rsidP="005F519D">
      <w:pPr>
        <w:pStyle w:val="LISTADEREFERNCIASXIXENANPUR"/>
        <w:spacing w:after="0"/>
        <w:rPr>
          <w:rFonts w:ascii="Times New Roman" w:hAnsi="Times New Roman" w:cs="Times New Roman"/>
          <w:lang w:val="en-US"/>
        </w:rPr>
      </w:pPr>
    </w:p>
    <w:p w14:paraId="41D0EEBE"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DOSI, G. Technological paradigms and technological trajectories: a suggested interpretation of the determinants and directions of technical change. </w:t>
      </w:r>
      <w:r w:rsidRPr="000139D9">
        <w:rPr>
          <w:rFonts w:ascii="Times New Roman" w:hAnsi="Times New Roman" w:cs="Times New Roman"/>
          <w:i/>
          <w:iCs/>
          <w:lang w:val="en-US"/>
        </w:rPr>
        <w:t>Research policy</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11, n. 3, p. 147-162, 1982.</w:t>
      </w:r>
    </w:p>
    <w:p w14:paraId="3BCC2B98" w14:textId="77777777" w:rsidR="005F519D" w:rsidRPr="000139D9" w:rsidRDefault="005F519D" w:rsidP="005F519D">
      <w:pPr>
        <w:pStyle w:val="LISTADEREFERNCIASXIXENANPUR"/>
        <w:spacing w:after="0"/>
        <w:rPr>
          <w:rFonts w:ascii="Times New Roman" w:hAnsi="Times New Roman" w:cs="Times New Roman"/>
          <w:lang w:val="en-US"/>
        </w:rPr>
      </w:pPr>
    </w:p>
    <w:p w14:paraId="70759E94"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DOSI, G.; PAVITT, K.; SOETE, L. The economics of technical change and international trade. London: Harvester Wheatsheaf, 1990.</w:t>
      </w:r>
    </w:p>
    <w:p w14:paraId="22B14442" w14:textId="77777777" w:rsidR="005F519D" w:rsidRPr="000139D9" w:rsidRDefault="005F519D" w:rsidP="005F519D">
      <w:pPr>
        <w:pStyle w:val="LISTADEREFERNCIASXIXENANPUR"/>
        <w:spacing w:after="0"/>
        <w:rPr>
          <w:rFonts w:ascii="Times New Roman" w:hAnsi="Times New Roman" w:cs="Times New Roman"/>
          <w:lang w:val="en-US"/>
        </w:rPr>
      </w:pPr>
    </w:p>
    <w:p w14:paraId="1108B590" w14:textId="77777777" w:rsidR="005F519D" w:rsidRPr="000139D9" w:rsidRDefault="005F519D" w:rsidP="005F519D">
      <w:pPr>
        <w:pStyle w:val="LISTADEREFERNCIASXIXENANPUR"/>
        <w:spacing w:after="0"/>
        <w:rPr>
          <w:rFonts w:ascii="Times New Roman" w:hAnsi="Times New Roman" w:cs="Times New Roman"/>
          <w:lang w:val="es-419"/>
        </w:rPr>
      </w:pPr>
      <w:proofErr w:type="spellStart"/>
      <w:r w:rsidRPr="000139D9">
        <w:rPr>
          <w:rFonts w:ascii="Times New Roman" w:hAnsi="Times New Roman" w:cs="Times New Roman"/>
          <w:lang w:val="en-US"/>
        </w:rPr>
        <w:t>ENSERINK</w:t>
      </w:r>
      <w:proofErr w:type="spellEnd"/>
      <w:r w:rsidRPr="000139D9">
        <w:rPr>
          <w:rFonts w:ascii="Times New Roman" w:hAnsi="Times New Roman" w:cs="Times New Roman"/>
          <w:lang w:val="en-US"/>
        </w:rPr>
        <w:t xml:space="preserve">, M.; HINES, P. J.; </w:t>
      </w:r>
      <w:proofErr w:type="spellStart"/>
      <w:r w:rsidRPr="000139D9">
        <w:rPr>
          <w:rFonts w:ascii="Times New Roman" w:hAnsi="Times New Roman" w:cs="Times New Roman"/>
          <w:lang w:val="en-US"/>
        </w:rPr>
        <w:t>VIGNIERI</w:t>
      </w:r>
      <w:proofErr w:type="spellEnd"/>
      <w:r w:rsidRPr="000139D9">
        <w:rPr>
          <w:rFonts w:ascii="Times New Roman" w:hAnsi="Times New Roman" w:cs="Times New Roman"/>
          <w:lang w:val="en-US"/>
        </w:rPr>
        <w:t xml:space="preserve">, S. N.; WIGGINTON, N. S.; </w:t>
      </w:r>
      <w:proofErr w:type="spellStart"/>
      <w:r w:rsidRPr="000139D9">
        <w:rPr>
          <w:rFonts w:ascii="Times New Roman" w:hAnsi="Times New Roman" w:cs="Times New Roman"/>
          <w:lang w:val="en-US"/>
        </w:rPr>
        <w:t>YESTON</w:t>
      </w:r>
      <w:proofErr w:type="spellEnd"/>
      <w:r w:rsidRPr="000139D9">
        <w:rPr>
          <w:rFonts w:ascii="Times New Roman" w:hAnsi="Times New Roman" w:cs="Times New Roman"/>
          <w:lang w:val="en-US"/>
        </w:rPr>
        <w:t xml:space="preserve">, J. S. The pesticide paradox. </w:t>
      </w:r>
      <w:proofErr w:type="spellStart"/>
      <w:r w:rsidRPr="000139D9">
        <w:rPr>
          <w:rFonts w:ascii="Times New Roman" w:hAnsi="Times New Roman" w:cs="Times New Roman"/>
          <w:lang w:val="es-419"/>
        </w:rPr>
        <w:t>Science</w:t>
      </w:r>
      <w:proofErr w:type="spellEnd"/>
      <w:r w:rsidRPr="000139D9">
        <w:rPr>
          <w:rFonts w:ascii="Times New Roman" w:hAnsi="Times New Roman" w:cs="Times New Roman"/>
          <w:lang w:val="es-419"/>
        </w:rPr>
        <w:t xml:space="preserve">, [s.l.], v. 341, n. 6147, p. 729-765, </w:t>
      </w:r>
      <w:proofErr w:type="spellStart"/>
      <w:r w:rsidRPr="000139D9">
        <w:rPr>
          <w:rFonts w:ascii="Times New Roman" w:hAnsi="Times New Roman" w:cs="Times New Roman"/>
          <w:lang w:val="es-419"/>
        </w:rPr>
        <w:t>Aug</w:t>
      </w:r>
      <w:proofErr w:type="spellEnd"/>
      <w:r w:rsidRPr="000139D9">
        <w:rPr>
          <w:rFonts w:ascii="Times New Roman" w:hAnsi="Times New Roman" w:cs="Times New Roman"/>
          <w:lang w:val="es-419"/>
        </w:rPr>
        <w:t>. 2013.</w:t>
      </w:r>
    </w:p>
    <w:p w14:paraId="059449E2" w14:textId="77777777" w:rsidR="005F519D" w:rsidRPr="000139D9" w:rsidRDefault="005F519D" w:rsidP="005F519D">
      <w:pPr>
        <w:pStyle w:val="LISTADEREFERNCIASXIXENANPUR"/>
        <w:spacing w:after="0"/>
        <w:rPr>
          <w:rFonts w:ascii="Times New Roman" w:hAnsi="Times New Roman" w:cs="Times New Roman"/>
          <w:lang w:val="es-419"/>
        </w:rPr>
      </w:pPr>
    </w:p>
    <w:p w14:paraId="105F5EB9" w14:textId="77777777" w:rsidR="005F519D" w:rsidRPr="000139D9" w:rsidRDefault="005F519D" w:rsidP="005F519D">
      <w:pPr>
        <w:pStyle w:val="LISTADEREFERNCIASXIXENANPUR"/>
        <w:spacing w:after="0"/>
        <w:rPr>
          <w:rFonts w:ascii="Times New Roman" w:hAnsi="Times New Roman" w:cs="Times New Roman"/>
          <w:lang w:val="en-US"/>
        </w:rPr>
      </w:pPr>
      <w:proofErr w:type="spellStart"/>
      <w:r w:rsidRPr="000139D9">
        <w:rPr>
          <w:rFonts w:ascii="Times New Roman" w:hAnsi="Times New Roman" w:cs="Times New Roman"/>
          <w:lang w:val="es-419"/>
        </w:rPr>
        <w:t>FAJNZYLBER</w:t>
      </w:r>
      <w:proofErr w:type="spellEnd"/>
      <w:r w:rsidRPr="000139D9">
        <w:rPr>
          <w:rFonts w:ascii="Times New Roman" w:hAnsi="Times New Roman" w:cs="Times New Roman"/>
          <w:lang w:val="es-419"/>
        </w:rPr>
        <w:t xml:space="preserve">, F. Competitividad internacional: evolución y lecciones. </w:t>
      </w:r>
      <w:proofErr w:type="spellStart"/>
      <w:r w:rsidRPr="000139D9">
        <w:rPr>
          <w:rFonts w:ascii="Times New Roman" w:hAnsi="Times New Roman" w:cs="Times New Roman"/>
          <w:lang w:val="en-US"/>
        </w:rPr>
        <w:t>Revista</w:t>
      </w:r>
      <w:proofErr w:type="spellEnd"/>
      <w:r w:rsidRPr="000139D9">
        <w:rPr>
          <w:rFonts w:ascii="Times New Roman" w:hAnsi="Times New Roman" w:cs="Times New Roman"/>
          <w:lang w:val="en-US"/>
        </w:rPr>
        <w:t xml:space="preserve"> de la </w:t>
      </w:r>
      <w:proofErr w:type="spellStart"/>
      <w:r w:rsidRPr="000139D9">
        <w:rPr>
          <w:rFonts w:ascii="Times New Roman" w:hAnsi="Times New Roman" w:cs="Times New Roman"/>
          <w:lang w:val="en-US"/>
        </w:rPr>
        <w:t>CEPAL</w:t>
      </w:r>
      <w:proofErr w:type="spellEnd"/>
      <w:r w:rsidRPr="000139D9">
        <w:rPr>
          <w:rFonts w:ascii="Times New Roman" w:hAnsi="Times New Roman" w:cs="Times New Roman"/>
          <w:lang w:val="en-US"/>
        </w:rPr>
        <w:t>, n.36, p. 7-24, 1988.</w:t>
      </w:r>
    </w:p>
    <w:p w14:paraId="24E31588" w14:textId="77777777" w:rsidR="005F519D" w:rsidRPr="000139D9" w:rsidRDefault="005F519D" w:rsidP="005F519D">
      <w:pPr>
        <w:pStyle w:val="LISTADEREFERNCIASXIXENANPUR"/>
        <w:spacing w:after="0"/>
        <w:rPr>
          <w:rFonts w:ascii="Times New Roman" w:hAnsi="Times New Roman" w:cs="Times New Roman"/>
          <w:lang w:val="en-US"/>
        </w:rPr>
      </w:pPr>
    </w:p>
    <w:p w14:paraId="618ED05E" w14:textId="646F278C"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FORBES, N.; WIELD, D. Managing R&amp;D in technology-followers. Research Policy,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29, n. 9, p. 1095-1109, 2000.</w:t>
      </w:r>
    </w:p>
    <w:p w14:paraId="36BDBF40" w14:textId="77777777" w:rsidR="005F519D" w:rsidRPr="000139D9" w:rsidRDefault="005F519D" w:rsidP="005F519D">
      <w:pPr>
        <w:pStyle w:val="LISTADEREFERNCIASXIXENANPUR"/>
        <w:spacing w:after="0"/>
        <w:rPr>
          <w:rFonts w:ascii="Times New Roman" w:hAnsi="Times New Roman" w:cs="Times New Roman"/>
          <w:lang w:val="en-US"/>
        </w:rPr>
      </w:pPr>
    </w:p>
    <w:p w14:paraId="3730F85C"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FREEMAN, C. The economics of technical change. Cambridge Journal of Economics, v. 18, n. 5, p. 463-514, 1994. </w:t>
      </w:r>
    </w:p>
    <w:p w14:paraId="285EC09C" w14:textId="77777777" w:rsidR="005F519D" w:rsidRPr="000139D9" w:rsidRDefault="005F519D" w:rsidP="005F519D">
      <w:pPr>
        <w:pStyle w:val="LISTADEREFERNCIASXIXENANPUR"/>
        <w:spacing w:after="0"/>
        <w:rPr>
          <w:rFonts w:ascii="Times New Roman" w:hAnsi="Times New Roman" w:cs="Times New Roman"/>
          <w:lang w:val="en-US"/>
        </w:rPr>
      </w:pPr>
    </w:p>
    <w:p w14:paraId="326E8244" w14:textId="246353CC"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HODGSON, G. </w:t>
      </w:r>
      <w:proofErr w:type="gramStart"/>
      <w:r w:rsidRPr="000139D9">
        <w:rPr>
          <w:rFonts w:ascii="Times New Roman" w:hAnsi="Times New Roman" w:cs="Times New Roman"/>
          <w:i/>
          <w:iCs/>
          <w:lang w:val="en-US"/>
        </w:rPr>
        <w:t>Economics</w:t>
      </w:r>
      <w:proofErr w:type="gramEnd"/>
      <w:r w:rsidRPr="000139D9">
        <w:rPr>
          <w:rFonts w:ascii="Times New Roman" w:hAnsi="Times New Roman" w:cs="Times New Roman"/>
          <w:i/>
          <w:iCs/>
          <w:lang w:val="en-US"/>
        </w:rPr>
        <w:t xml:space="preserve"> and evolution</w:t>
      </w:r>
      <w:r w:rsidRPr="000139D9">
        <w:rPr>
          <w:rFonts w:ascii="Times New Roman" w:hAnsi="Times New Roman" w:cs="Times New Roman"/>
          <w:lang w:val="en-US"/>
        </w:rPr>
        <w:t>: bringing life back into economics. Ann Arbor, MI: University of Michigan Press, 1996.</w:t>
      </w:r>
    </w:p>
    <w:p w14:paraId="560FE9A7" w14:textId="77777777" w:rsidR="005F519D" w:rsidRPr="000139D9" w:rsidRDefault="005F519D" w:rsidP="005F519D">
      <w:pPr>
        <w:pStyle w:val="LISTADEREFERNCIASXIXENANPUR"/>
        <w:spacing w:after="0"/>
        <w:rPr>
          <w:rFonts w:ascii="Times New Roman" w:hAnsi="Times New Roman" w:cs="Times New Roman"/>
          <w:lang w:val="en-US"/>
        </w:rPr>
      </w:pPr>
    </w:p>
    <w:p w14:paraId="7777B047"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lang w:val="en-US"/>
        </w:rPr>
        <w:t xml:space="preserve">IBGE. </w:t>
      </w:r>
      <w:proofErr w:type="spellStart"/>
      <w:r w:rsidRPr="000139D9">
        <w:rPr>
          <w:rFonts w:ascii="Times New Roman" w:hAnsi="Times New Roman" w:cs="Times New Roman"/>
          <w:i/>
          <w:iCs/>
          <w:lang w:val="en-US"/>
        </w:rPr>
        <w:t>Censo</w:t>
      </w:r>
      <w:proofErr w:type="spellEnd"/>
      <w:r w:rsidRPr="000139D9">
        <w:rPr>
          <w:rFonts w:ascii="Times New Roman" w:hAnsi="Times New Roman" w:cs="Times New Roman"/>
          <w:i/>
          <w:iCs/>
          <w:lang w:val="en-US"/>
        </w:rPr>
        <w:t xml:space="preserve"> </w:t>
      </w:r>
      <w:proofErr w:type="spellStart"/>
      <w:r w:rsidRPr="000139D9">
        <w:rPr>
          <w:rFonts w:ascii="Times New Roman" w:hAnsi="Times New Roman" w:cs="Times New Roman"/>
          <w:i/>
          <w:iCs/>
          <w:lang w:val="en-US"/>
        </w:rPr>
        <w:t>Agropecuário</w:t>
      </w:r>
      <w:proofErr w:type="spellEnd"/>
      <w:r w:rsidRPr="000139D9">
        <w:rPr>
          <w:rFonts w:ascii="Times New Roman" w:hAnsi="Times New Roman" w:cs="Times New Roman"/>
          <w:i/>
          <w:iCs/>
          <w:lang w:val="en-US"/>
        </w:rPr>
        <w:t xml:space="preserve"> 1995-1996</w:t>
      </w:r>
      <w:r w:rsidRPr="000139D9">
        <w:rPr>
          <w:rFonts w:ascii="Times New Roman" w:hAnsi="Times New Roman" w:cs="Times New Roman"/>
          <w:lang w:val="en-US"/>
        </w:rPr>
        <w:t xml:space="preserve">. </w:t>
      </w:r>
      <w:r w:rsidRPr="000139D9">
        <w:rPr>
          <w:rFonts w:ascii="Times New Roman" w:hAnsi="Times New Roman" w:cs="Times New Roman"/>
        </w:rPr>
        <w:t>Número 5, Pará (CD-ROM). Rio de Janeiro: IBGE, 1998.</w:t>
      </w:r>
    </w:p>
    <w:p w14:paraId="3B83825C" w14:textId="77777777" w:rsidR="005F519D" w:rsidRPr="000139D9" w:rsidRDefault="005F519D" w:rsidP="005F519D">
      <w:pPr>
        <w:pStyle w:val="LISTADEREFERNCIASXIXENANPUR"/>
        <w:spacing w:after="0"/>
        <w:rPr>
          <w:rFonts w:ascii="Times New Roman" w:hAnsi="Times New Roman" w:cs="Times New Roman"/>
        </w:rPr>
      </w:pPr>
    </w:p>
    <w:p w14:paraId="311A7E30"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rPr>
        <w:t xml:space="preserve">IBGE. </w:t>
      </w:r>
      <w:r w:rsidRPr="000139D9">
        <w:rPr>
          <w:rFonts w:ascii="Times New Roman" w:hAnsi="Times New Roman" w:cs="Times New Roman"/>
          <w:i/>
          <w:iCs/>
        </w:rPr>
        <w:t>Censo Demográfico 2000</w:t>
      </w:r>
      <w:r w:rsidRPr="000139D9">
        <w:rPr>
          <w:rFonts w:ascii="Times New Roman" w:hAnsi="Times New Roman" w:cs="Times New Roman"/>
        </w:rPr>
        <w:t xml:space="preserve">: Norte e Sudeste. </w:t>
      </w:r>
      <w:proofErr w:type="spellStart"/>
      <w:r w:rsidRPr="000139D9">
        <w:rPr>
          <w:rFonts w:ascii="Times New Roman" w:hAnsi="Times New Roman" w:cs="Times New Roman"/>
        </w:rPr>
        <w:t>Microdados</w:t>
      </w:r>
      <w:proofErr w:type="spellEnd"/>
      <w:r w:rsidRPr="000139D9">
        <w:rPr>
          <w:rFonts w:ascii="Times New Roman" w:hAnsi="Times New Roman" w:cs="Times New Roman"/>
        </w:rPr>
        <w:t xml:space="preserve"> da amostra (Banco de dados). Rio de Janeiro: IBGE, 2002.</w:t>
      </w:r>
    </w:p>
    <w:p w14:paraId="3F2CE355" w14:textId="77777777" w:rsidR="005F519D" w:rsidRPr="000139D9" w:rsidRDefault="005F519D" w:rsidP="005F519D">
      <w:pPr>
        <w:pStyle w:val="LISTADEREFERNCIASXIXENANPUR"/>
        <w:spacing w:after="0"/>
        <w:rPr>
          <w:rFonts w:ascii="Times New Roman" w:hAnsi="Times New Roman" w:cs="Times New Roman"/>
        </w:rPr>
      </w:pPr>
    </w:p>
    <w:p w14:paraId="6CEBF02E"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rPr>
        <w:t xml:space="preserve">IBGE. </w:t>
      </w:r>
      <w:r w:rsidRPr="000139D9">
        <w:rPr>
          <w:rFonts w:ascii="Times New Roman" w:hAnsi="Times New Roman" w:cs="Times New Roman"/>
          <w:i/>
          <w:iCs/>
        </w:rPr>
        <w:t>Censo Agropecuário 2006</w:t>
      </w:r>
      <w:r w:rsidRPr="000139D9">
        <w:rPr>
          <w:rFonts w:ascii="Times New Roman" w:hAnsi="Times New Roman" w:cs="Times New Roman"/>
        </w:rPr>
        <w:t>. Segunda apuração. Rio de Janeiro: IBGE, 2009. Disponível em: https://sidra.ibge.gov.br/pesquisa/censo-agropecuario/censo-agropecuario-2006/segunda-apuracao. Acesso em: 17 outubro 2019.</w:t>
      </w:r>
    </w:p>
    <w:p w14:paraId="3819FA89" w14:textId="77777777" w:rsidR="005F519D" w:rsidRPr="000139D9" w:rsidRDefault="005F519D" w:rsidP="005F519D">
      <w:pPr>
        <w:pStyle w:val="LISTADEREFERNCIASXIXENANPUR"/>
        <w:spacing w:after="0"/>
        <w:rPr>
          <w:rFonts w:ascii="Times New Roman" w:hAnsi="Times New Roman" w:cs="Times New Roman"/>
        </w:rPr>
      </w:pPr>
    </w:p>
    <w:p w14:paraId="4203E35C"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rPr>
        <w:lastRenderedPageBreak/>
        <w:t xml:space="preserve">IBGE. </w:t>
      </w:r>
      <w:r w:rsidRPr="000139D9">
        <w:rPr>
          <w:rFonts w:ascii="Times New Roman" w:hAnsi="Times New Roman" w:cs="Times New Roman"/>
          <w:i/>
          <w:iCs/>
        </w:rPr>
        <w:t>Censo Demográfico 2010</w:t>
      </w:r>
      <w:r w:rsidRPr="000139D9">
        <w:rPr>
          <w:rFonts w:ascii="Times New Roman" w:hAnsi="Times New Roman" w:cs="Times New Roman"/>
        </w:rPr>
        <w:t xml:space="preserve">. </w:t>
      </w:r>
      <w:proofErr w:type="spellStart"/>
      <w:r w:rsidRPr="000139D9">
        <w:rPr>
          <w:rFonts w:ascii="Times New Roman" w:hAnsi="Times New Roman" w:cs="Times New Roman"/>
        </w:rPr>
        <w:t>Microdados</w:t>
      </w:r>
      <w:proofErr w:type="spellEnd"/>
      <w:r w:rsidRPr="000139D9">
        <w:rPr>
          <w:rFonts w:ascii="Times New Roman" w:hAnsi="Times New Roman" w:cs="Times New Roman"/>
        </w:rPr>
        <w:t xml:space="preserve"> da amostra (Banco de dados). Rio de Janeiro: IBGE, 2012.</w:t>
      </w:r>
    </w:p>
    <w:p w14:paraId="57AD3E9F" w14:textId="77777777" w:rsidR="005F519D" w:rsidRPr="000139D9" w:rsidRDefault="005F519D" w:rsidP="005F519D">
      <w:pPr>
        <w:pStyle w:val="LISTADEREFERNCIASXIXENANPUR"/>
        <w:spacing w:after="0"/>
        <w:rPr>
          <w:rFonts w:ascii="Times New Roman" w:hAnsi="Times New Roman" w:cs="Times New Roman"/>
        </w:rPr>
      </w:pPr>
    </w:p>
    <w:p w14:paraId="550A96C5"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rPr>
        <w:t xml:space="preserve">IBGE. </w:t>
      </w:r>
      <w:r w:rsidRPr="000139D9">
        <w:rPr>
          <w:rFonts w:ascii="Times New Roman" w:hAnsi="Times New Roman" w:cs="Times New Roman"/>
          <w:i/>
          <w:iCs/>
        </w:rPr>
        <w:t>Divisão regional do Brasil em regiões geográficas imediatas e regiões geográficas intermediárias</w:t>
      </w:r>
      <w:r w:rsidRPr="000139D9">
        <w:rPr>
          <w:rFonts w:ascii="Times New Roman" w:hAnsi="Times New Roman" w:cs="Times New Roman"/>
        </w:rPr>
        <w:t>: 2017. Rio de Janeiro: IBGE, 2017.</w:t>
      </w:r>
    </w:p>
    <w:p w14:paraId="6BBF0C49" w14:textId="77777777" w:rsidR="005F519D" w:rsidRPr="000139D9" w:rsidRDefault="005F519D" w:rsidP="005F519D">
      <w:pPr>
        <w:pStyle w:val="LISTADEREFERNCIASXIXENANPUR"/>
        <w:spacing w:after="0"/>
        <w:rPr>
          <w:rFonts w:ascii="Times New Roman" w:hAnsi="Times New Roman" w:cs="Times New Roman"/>
        </w:rPr>
      </w:pPr>
    </w:p>
    <w:p w14:paraId="1D513840" w14:textId="77777777" w:rsidR="005F519D" w:rsidRPr="000139D9" w:rsidRDefault="005F519D" w:rsidP="005F519D">
      <w:pPr>
        <w:pStyle w:val="LISTADEREFERNCIASXIXENANPUR"/>
        <w:spacing w:after="0"/>
        <w:rPr>
          <w:rFonts w:ascii="Times New Roman" w:eastAsia="Times New Roman" w:hAnsi="Times New Roman" w:cs="Times New Roman"/>
        </w:rPr>
      </w:pPr>
      <w:r w:rsidRPr="000139D9">
        <w:rPr>
          <w:rFonts w:ascii="Times New Roman" w:eastAsia="Times New Roman" w:hAnsi="Times New Roman" w:cs="Times New Roman"/>
        </w:rPr>
        <w:t xml:space="preserve">IBGE. </w:t>
      </w:r>
      <w:r w:rsidRPr="000139D9">
        <w:rPr>
          <w:rFonts w:ascii="Times New Roman" w:eastAsia="Times New Roman" w:hAnsi="Times New Roman" w:cs="Times New Roman"/>
          <w:i/>
          <w:iCs/>
        </w:rPr>
        <w:t>Produto Interno Bruto dos Municípios 2017</w:t>
      </w:r>
      <w:r w:rsidRPr="000139D9">
        <w:rPr>
          <w:rFonts w:ascii="Times New Roman" w:eastAsia="Times New Roman" w:hAnsi="Times New Roman" w:cs="Times New Roman"/>
        </w:rPr>
        <w:t xml:space="preserve">. </w:t>
      </w:r>
      <w:r w:rsidRPr="000139D9">
        <w:rPr>
          <w:rFonts w:ascii="Times New Roman" w:hAnsi="Times New Roman" w:cs="Times New Roman"/>
        </w:rPr>
        <w:t xml:space="preserve">Rio de Janeiro: IBGE, 2019a. </w:t>
      </w:r>
      <w:r w:rsidRPr="000139D9">
        <w:rPr>
          <w:rFonts w:ascii="Times New Roman" w:eastAsia="Times New Roman" w:hAnsi="Times New Roman" w:cs="Times New Roman"/>
        </w:rPr>
        <w:t xml:space="preserve">Disponível em: </w:t>
      </w:r>
      <w:hyperlink r:id="rId13" w:history="1">
        <w:r w:rsidRPr="000139D9">
          <w:rPr>
            <w:rFonts w:ascii="Times New Roman" w:eastAsia="Times New Roman" w:hAnsi="Times New Roman" w:cs="Times New Roman"/>
          </w:rPr>
          <w:t>https://www.ibge.gov.br/estatisticas/economicas/contas-nacionais/9088-produto-interno-bruto-dos-municipios.html?edicao=18021&amp;t=downloads</w:t>
        </w:r>
      </w:hyperlink>
      <w:r w:rsidRPr="000139D9">
        <w:rPr>
          <w:rFonts w:ascii="Times New Roman" w:eastAsia="Times New Roman" w:hAnsi="Times New Roman" w:cs="Times New Roman"/>
        </w:rPr>
        <w:t>. Acesso em: 8 jun. 2021.</w:t>
      </w:r>
    </w:p>
    <w:p w14:paraId="1B472B75" w14:textId="77777777" w:rsidR="005F519D" w:rsidRPr="000139D9" w:rsidRDefault="005F519D" w:rsidP="005F519D">
      <w:pPr>
        <w:pStyle w:val="LISTADEREFERNCIASXIXENANPUR"/>
        <w:spacing w:after="0"/>
        <w:rPr>
          <w:rFonts w:ascii="Times New Roman" w:eastAsia="Times New Roman" w:hAnsi="Times New Roman" w:cs="Times New Roman"/>
        </w:rPr>
      </w:pPr>
    </w:p>
    <w:p w14:paraId="28766D62" w14:textId="77777777" w:rsidR="005F519D" w:rsidRPr="00586B80"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rPr>
        <w:t xml:space="preserve">IBGE. </w:t>
      </w:r>
      <w:r w:rsidRPr="000139D9">
        <w:rPr>
          <w:rFonts w:ascii="Times New Roman" w:hAnsi="Times New Roman" w:cs="Times New Roman"/>
          <w:i/>
          <w:iCs/>
        </w:rPr>
        <w:t>Censo agropecuário: resultados definitivos 2017</w:t>
      </w:r>
      <w:r w:rsidRPr="000139D9">
        <w:rPr>
          <w:rFonts w:ascii="Times New Roman" w:hAnsi="Times New Roman" w:cs="Times New Roman"/>
        </w:rPr>
        <w:t xml:space="preserve">. Rio de Janeiro: IBGE, 2019b. Disponível em: https://sidra.ibge.gov.br/pesquisa/censo-agropecuario/censo-agropecuario-2017. </w:t>
      </w:r>
      <w:proofErr w:type="spellStart"/>
      <w:r w:rsidRPr="00586B80">
        <w:rPr>
          <w:rFonts w:ascii="Times New Roman" w:hAnsi="Times New Roman" w:cs="Times New Roman"/>
          <w:lang w:val="en-US"/>
        </w:rPr>
        <w:t>Acesso</w:t>
      </w:r>
      <w:proofErr w:type="spellEnd"/>
      <w:r w:rsidRPr="00586B80">
        <w:rPr>
          <w:rFonts w:ascii="Times New Roman" w:hAnsi="Times New Roman" w:cs="Times New Roman"/>
          <w:lang w:val="en-US"/>
        </w:rPr>
        <w:t xml:space="preserve"> </w:t>
      </w:r>
      <w:proofErr w:type="spellStart"/>
      <w:r w:rsidRPr="00586B80">
        <w:rPr>
          <w:rFonts w:ascii="Times New Roman" w:hAnsi="Times New Roman" w:cs="Times New Roman"/>
          <w:lang w:val="en-US"/>
        </w:rPr>
        <w:t>em</w:t>
      </w:r>
      <w:proofErr w:type="spellEnd"/>
      <w:r w:rsidRPr="00586B80">
        <w:rPr>
          <w:rFonts w:ascii="Times New Roman" w:hAnsi="Times New Roman" w:cs="Times New Roman"/>
          <w:lang w:val="en-US"/>
        </w:rPr>
        <w:t xml:space="preserve">: 17 </w:t>
      </w:r>
      <w:proofErr w:type="spellStart"/>
      <w:r w:rsidRPr="00586B80">
        <w:rPr>
          <w:rFonts w:ascii="Times New Roman" w:hAnsi="Times New Roman" w:cs="Times New Roman"/>
          <w:lang w:val="en-US"/>
        </w:rPr>
        <w:t>outubro</w:t>
      </w:r>
      <w:proofErr w:type="spellEnd"/>
      <w:r w:rsidRPr="00586B80">
        <w:rPr>
          <w:rFonts w:ascii="Times New Roman" w:hAnsi="Times New Roman" w:cs="Times New Roman"/>
          <w:lang w:val="en-US"/>
        </w:rPr>
        <w:t xml:space="preserve"> 2019.</w:t>
      </w:r>
    </w:p>
    <w:p w14:paraId="145AE061" w14:textId="77777777" w:rsidR="005F519D" w:rsidRPr="00586B80" w:rsidRDefault="005F519D" w:rsidP="005F519D">
      <w:pPr>
        <w:pStyle w:val="LISTADEREFERNCIASXIXENANPUR"/>
        <w:spacing w:after="0"/>
        <w:rPr>
          <w:rFonts w:ascii="Times New Roman" w:hAnsi="Times New Roman" w:cs="Times New Roman"/>
          <w:lang w:val="en-US"/>
        </w:rPr>
      </w:pPr>
    </w:p>
    <w:p w14:paraId="184F78AE" w14:textId="6685F5AD"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KEEBLE, D; LAWSON, C; MOORE, B; WILKINSON, F. Collective learning processes, networking and ‘institutional thickness' in the Cambridge region. </w:t>
      </w:r>
      <w:r w:rsidRPr="000139D9">
        <w:rPr>
          <w:rFonts w:ascii="Times New Roman" w:hAnsi="Times New Roman" w:cs="Times New Roman"/>
          <w:i/>
          <w:iCs/>
          <w:lang w:val="en-US"/>
        </w:rPr>
        <w:t>Regional studies</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33, n. 4, p. 319-332, 1999.</w:t>
      </w:r>
    </w:p>
    <w:p w14:paraId="7D5E978A" w14:textId="77777777" w:rsidR="005F519D" w:rsidRPr="000139D9" w:rsidRDefault="005F519D" w:rsidP="005F519D">
      <w:pPr>
        <w:pStyle w:val="LISTADEREFERNCIASXIXENANPUR"/>
        <w:spacing w:after="0"/>
        <w:rPr>
          <w:rFonts w:ascii="Times New Roman" w:hAnsi="Times New Roman" w:cs="Times New Roman"/>
          <w:lang w:val="en-US"/>
        </w:rPr>
      </w:pPr>
    </w:p>
    <w:p w14:paraId="4552E0B7"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LAWSON, C.; LORENZ, E. Collective learning, tacit knowledge, and regional innovative capacity. </w:t>
      </w:r>
      <w:r w:rsidRPr="000139D9">
        <w:rPr>
          <w:rFonts w:ascii="Times New Roman" w:hAnsi="Times New Roman" w:cs="Times New Roman"/>
          <w:i/>
          <w:iCs/>
          <w:lang w:val="en-US"/>
        </w:rPr>
        <w:t>Regional Studies</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33, n. 4, p. 305-317, Feb. 1999.</w:t>
      </w:r>
    </w:p>
    <w:p w14:paraId="30E89314" w14:textId="77777777" w:rsidR="005F519D" w:rsidRPr="000139D9" w:rsidRDefault="005F519D" w:rsidP="005F519D">
      <w:pPr>
        <w:pStyle w:val="LISTADEREFERNCIASXIXENANPUR"/>
        <w:spacing w:after="0"/>
        <w:rPr>
          <w:rFonts w:ascii="Times New Roman" w:hAnsi="Times New Roman" w:cs="Times New Roman"/>
          <w:lang w:val="en-US"/>
        </w:rPr>
      </w:pPr>
    </w:p>
    <w:p w14:paraId="368A0ACA"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LAWSON, C.; MOORE, B.; KEEBLE, D., LAWTON SMITH, H., WILKINSON, F. </w:t>
      </w:r>
      <w:r w:rsidRPr="000139D9">
        <w:rPr>
          <w:rFonts w:ascii="Times New Roman" w:hAnsi="Times New Roman" w:cs="Times New Roman"/>
          <w:i/>
          <w:iCs/>
          <w:lang w:val="en-US"/>
        </w:rPr>
        <w:t>Inter-firm links between regionally clustered high-technology SMEs</w:t>
      </w:r>
      <w:r w:rsidRPr="000139D9">
        <w:rPr>
          <w:rFonts w:ascii="Times New Roman" w:hAnsi="Times New Roman" w:cs="Times New Roman"/>
          <w:lang w:val="en-US"/>
        </w:rPr>
        <w:t xml:space="preserve">: a comparison of Cambridge and Oxford innovation networks. Cambridge: </w:t>
      </w:r>
      <w:proofErr w:type="spellStart"/>
      <w:r w:rsidRPr="000139D9">
        <w:rPr>
          <w:rFonts w:ascii="Times New Roman" w:hAnsi="Times New Roman" w:cs="Times New Roman"/>
          <w:lang w:val="en-US"/>
        </w:rPr>
        <w:t>ESRC</w:t>
      </w:r>
      <w:proofErr w:type="spellEnd"/>
      <w:r w:rsidRPr="000139D9">
        <w:rPr>
          <w:rFonts w:ascii="Times New Roman" w:hAnsi="Times New Roman" w:cs="Times New Roman"/>
          <w:lang w:val="en-US"/>
        </w:rPr>
        <w:t xml:space="preserve"> Centre for Business Research, 1997.</w:t>
      </w:r>
    </w:p>
    <w:p w14:paraId="655F292D" w14:textId="77777777" w:rsidR="005F519D" w:rsidRPr="000139D9" w:rsidRDefault="005F519D" w:rsidP="005F519D">
      <w:pPr>
        <w:pStyle w:val="LISTADEREFERNCIASXIXENANPUR"/>
        <w:spacing w:after="0"/>
        <w:rPr>
          <w:rFonts w:ascii="Times New Roman" w:hAnsi="Times New Roman" w:cs="Times New Roman"/>
          <w:lang w:val="en-US"/>
        </w:rPr>
      </w:pPr>
    </w:p>
    <w:p w14:paraId="1BCB418C" w14:textId="77777777" w:rsidR="005F519D" w:rsidRPr="000139D9" w:rsidRDefault="005F519D" w:rsidP="005F519D">
      <w:pPr>
        <w:pStyle w:val="LISTADEREFERNCIASXIXENANPUR"/>
        <w:spacing w:after="0"/>
        <w:rPr>
          <w:rFonts w:ascii="Times New Roman" w:hAnsi="Times New Roman" w:cs="Times New Roman"/>
          <w:lang w:val="en-US"/>
        </w:rPr>
      </w:pPr>
      <w:proofErr w:type="spellStart"/>
      <w:r w:rsidRPr="000139D9">
        <w:rPr>
          <w:rFonts w:ascii="Times New Roman" w:hAnsi="Times New Roman" w:cs="Times New Roman"/>
          <w:lang w:val="en-US"/>
        </w:rPr>
        <w:t>LAZONICK</w:t>
      </w:r>
      <w:proofErr w:type="spellEnd"/>
      <w:r w:rsidRPr="000139D9">
        <w:rPr>
          <w:rFonts w:ascii="Times New Roman" w:hAnsi="Times New Roman" w:cs="Times New Roman"/>
          <w:lang w:val="en-US"/>
        </w:rPr>
        <w:t>, W.; O'SULLIVAN, M. Maximizing shareholder value: a new ideology for corporate governance. Economy and society, v. 29, n. 1, p. 13-35, 2000.</w:t>
      </w:r>
    </w:p>
    <w:p w14:paraId="0EBB850F" w14:textId="77777777" w:rsidR="005F519D" w:rsidRPr="000139D9" w:rsidRDefault="005F519D" w:rsidP="005F519D">
      <w:pPr>
        <w:pStyle w:val="LISTADEREFERNCIASXIXENANPUR"/>
        <w:spacing w:after="0"/>
        <w:rPr>
          <w:rFonts w:ascii="Times New Roman" w:hAnsi="Times New Roman" w:cs="Times New Roman"/>
          <w:lang w:val="en-US"/>
        </w:rPr>
      </w:pPr>
    </w:p>
    <w:p w14:paraId="4E1B894F" w14:textId="6B62247A"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LUNDVALL, B-A. Innovation as an interactive process: from user-producer interaction to the national system of innovation. In: DOSI, G.; FREEMAN, C.; NELSON, R.; SILVERBERG, G.; SOETE, L. (Ed.). Technical change and economic theory. Pisa: </w:t>
      </w:r>
      <w:proofErr w:type="spellStart"/>
      <w:r w:rsidRPr="000139D9">
        <w:rPr>
          <w:rFonts w:ascii="Times New Roman" w:hAnsi="Times New Roman" w:cs="Times New Roman"/>
          <w:lang w:val="en-US"/>
        </w:rPr>
        <w:t>LEM</w:t>
      </w:r>
      <w:proofErr w:type="spellEnd"/>
      <w:r w:rsidRPr="000139D9">
        <w:rPr>
          <w:rFonts w:ascii="Times New Roman" w:hAnsi="Times New Roman" w:cs="Times New Roman"/>
          <w:lang w:val="en-US"/>
        </w:rPr>
        <w:t>, 1988. p. 349-369.</w:t>
      </w:r>
    </w:p>
    <w:p w14:paraId="4AEC3E88" w14:textId="77777777" w:rsidR="005F519D" w:rsidRPr="000139D9" w:rsidRDefault="005F519D" w:rsidP="005F519D">
      <w:pPr>
        <w:pStyle w:val="LISTADEREFERNCIASXIXENANPUR"/>
        <w:spacing w:after="0"/>
        <w:rPr>
          <w:rFonts w:ascii="Times New Roman" w:hAnsi="Times New Roman" w:cs="Times New Roman"/>
          <w:lang w:val="en-US"/>
        </w:rPr>
      </w:pPr>
    </w:p>
    <w:p w14:paraId="10A18C03"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MACKINNON, D.; CUMBERS, A.; CHAPMAN, K. Learning, innovation, and regional development: a critical appraisal of recent debates. </w:t>
      </w:r>
      <w:r w:rsidRPr="000139D9">
        <w:rPr>
          <w:rFonts w:ascii="Times New Roman" w:hAnsi="Times New Roman" w:cs="Times New Roman"/>
          <w:i/>
          <w:iCs/>
          <w:lang w:val="en-US"/>
        </w:rPr>
        <w:t>Progress in Human Geography</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26, n. 3, p. 293-311, June 2002.</w:t>
      </w:r>
    </w:p>
    <w:p w14:paraId="6427B614" w14:textId="77777777" w:rsidR="005F519D" w:rsidRPr="000139D9" w:rsidRDefault="005F519D" w:rsidP="005F519D">
      <w:pPr>
        <w:pStyle w:val="LISTADEREFERNCIASXIXENANPUR"/>
        <w:spacing w:after="0"/>
        <w:rPr>
          <w:rFonts w:ascii="Times New Roman" w:hAnsi="Times New Roman" w:cs="Times New Roman"/>
          <w:lang w:val="en-US"/>
        </w:rPr>
      </w:pPr>
    </w:p>
    <w:p w14:paraId="48BC0D77"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MACLEOD, G. New regionalism reconsidered: globalization and the remaking of political economic space. </w:t>
      </w:r>
      <w:r w:rsidRPr="000139D9">
        <w:rPr>
          <w:rFonts w:ascii="Times New Roman" w:hAnsi="Times New Roman" w:cs="Times New Roman"/>
          <w:i/>
          <w:iCs/>
          <w:lang w:val="en-US"/>
        </w:rPr>
        <w:t>International Journal of Urban and Regional Research</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25, n. 4, p. 804-829, 2001.</w:t>
      </w:r>
    </w:p>
    <w:p w14:paraId="628112D4" w14:textId="77777777" w:rsidR="005F519D" w:rsidRPr="000139D9" w:rsidRDefault="005F519D" w:rsidP="005F519D">
      <w:pPr>
        <w:pStyle w:val="LISTADEREFERNCIASXIXENANPUR"/>
        <w:spacing w:after="0"/>
        <w:rPr>
          <w:rFonts w:ascii="Times New Roman" w:hAnsi="Times New Roman" w:cs="Times New Roman"/>
          <w:lang w:val="en-US"/>
        </w:rPr>
      </w:pPr>
    </w:p>
    <w:p w14:paraId="7C6A2EC9" w14:textId="77777777" w:rsidR="005F519D" w:rsidRPr="000139D9" w:rsidRDefault="005F519D" w:rsidP="005F519D">
      <w:pPr>
        <w:pStyle w:val="LISTADEREFERNCIASXIXENANPUR"/>
        <w:spacing w:after="0"/>
        <w:rPr>
          <w:rFonts w:ascii="Times New Roman" w:hAnsi="Times New Roman" w:cs="Times New Roman"/>
          <w:lang w:val="en-US"/>
        </w:rPr>
      </w:pPr>
      <w:proofErr w:type="spellStart"/>
      <w:r w:rsidRPr="000139D9">
        <w:rPr>
          <w:rFonts w:ascii="Times New Roman" w:hAnsi="Times New Roman" w:cs="Times New Roman"/>
          <w:lang w:val="en-US"/>
        </w:rPr>
        <w:t>MALMBERG</w:t>
      </w:r>
      <w:proofErr w:type="spellEnd"/>
      <w:r w:rsidRPr="000139D9">
        <w:rPr>
          <w:rFonts w:ascii="Times New Roman" w:hAnsi="Times New Roman" w:cs="Times New Roman"/>
          <w:lang w:val="en-US"/>
        </w:rPr>
        <w:t xml:space="preserve">, A.; MASKELL, P. Towards an explanation of regional specialization and industry agglomeration. </w:t>
      </w:r>
      <w:r w:rsidRPr="000139D9">
        <w:rPr>
          <w:rFonts w:ascii="Times New Roman" w:hAnsi="Times New Roman" w:cs="Times New Roman"/>
          <w:i/>
          <w:iCs/>
          <w:lang w:val="en-US"/>
        </w:rPr>
        <w:t>European planning studies</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5, n. 1, p. 25-41, 1997.</w:t>
      </w:r>
    </w:p>
    <w:p w14:paraId="0CBC28A2" w14:textId="77777777" w:rsidR="005F519D" w:rsidRPr="000139D9" w:rsidRDefault="005F519D" w:rsidP="005F519D">
      <w:pPr>
        <w:pStyle w:val="LISTADEREFERNCIASXIXENANPUR"/>
        <w:spacing w:after="0"/>
        <w:rPr>
          <w:rFonts w:ascii="Times New Roman" w:hAnsi="Times New Roman" w:cs="Times New Roman"/>
          <w:lang w:val="en-US"/>
        </w:rPr>
      </w:pPr>
    </w:p>
    <w:p w14:paraId="5E5586AC" w14:textId="77777777" w:rsidR="005F519D" w:rsidRPr="000139D9" w:rsidRDefault="005F519D" w:rsidP="005F519D">
      <w:pPr>
        <w:pStyle w:val="LISTADEREFERNCIASXIXENANPUR"/>
        <w:spacing w:after="0"/>
        <w:rPr>
          <w:rFonts w:ascii="Times New Roman" w:hAnsi="Times New Roman" w:cs="Times New Roman"/>
          <w:lang w:val="en-US"/>
        </w:rPr>
      </w:pPr>
      <w:proofErr w:type="spellStart"/>
      <w:r w:rsidRPr="00586B80">
        <w:rPr>
          <w:rFonts w:ascii="Times New Roman" w:hAnsi="Times New Roman" w:cs="Times New Roman"/>
          <w:lang w:val="en-US"/>
        </w:rPr>
        <w:lastRenderedPageBreak/>
        <w:t>MARKUSEN</w:t>
      </w:r>
      <w:proofErr w:type="spellEnd"/>
      <w:r w:rsidRPr="00586B80">
        <w:rPr>
          <w:rFonts w:ascii="Times New Roman" w:hAnsi="Times New Roman" w:cs="Times New Roman"/>
          <w:lang w:val="en-US"/>
        </w:rPr>
        <w:t xml:space="preserve">, A. </w:t>
      </w:r>
      <w:proofErr w:type="spellStart"/>
      <w:r w:rsidRPr="00586B80">
        <w:rPr>
          <w:rFonts w:ascii="Times New Roman" w:hAnsi="Times New Roman" w:cs="Times New Roman"/>
          <w:lang w:val="en-US"/>
        </w:rPr>
        <w:t>Mudança</w:t>
      </w:r>
      <w:proofErr w:type="spellEnd"/>
      <w:r w:rsidRPr="00586B80">
        <w:rPr>
          <w:rFonts w:ascii="Times New Roman" w:hAnsi="Times New Roman" w:cs="Times New Roman"/>
          <w:lang w:val="en-US"/>
        </w:rPr>
        <w:t xml:space="preserve"> </w:t>
      </w:r>
      <w:proofErr w:type="spellStart"/>
      <w:r w:rsidRPr="00586B80">
        <w:rPr>
          <w:rFonts w:ascii="Times New Roman" w:hAnsi="Times New Roman" w:cs="Times New Roman"/>
          <w:lang w:val="en-US"/>
        </w:rPr>
        <w:t>econômica</w:t>
      </w:r>
      <w:proofErr w:type="spellEnd"/>
      <w:r w:rsidRPr="00586B80">
        <w:rPr>
          <w:rFonts w:ascii="Times New Roman" w:hAnsi="Times New Roman" w:cs="Times New Roman"/>
          <w:lang w:val="en-US"/>
        </w:rPr>
        <w:t xml:space="preserve"> regional </w:t>
      </w:r>
      <w:proofErr w:type="spellStart"/>
      <w:r w:rsidRPr="00586B80">
        <w:rPr>
          <w:rFonts w:ascii="Times New Roman" w:hAnsi="Times New Roman" w:cs="Times New Roman"/>
          <w:lang w:val="en-US"/>
        </w:rPr>
        <w:t>segundo</w:t>
      </w:r>
      <w:proofErr w:type="spellEnd"/>
      <w:r w:rsidRPr="00586B80">
        <w:rPr>
          <w:rFonts w:ascii="Times New Roman" w:hAnsi="Times New Roman" w:cs="Times New Roman"/>
          <w:lang w:val="en-US"/>
        </w:rPr>
        <w:t xml:space="preserve"> o </w:t>
      </w:r>
      <w:proofErr w:type="spellStart"/>
      <w:r w:rsidRPr="00586B80">
        <w:rPr>
          <w:rFonts w:ascii="Times New Roman" w:hAnsi="Times New Roman" w:cs="Times New Roman"/>
          <w:lang w:val="en-US"/>
        </w:rPr>
        <w:t>enfoque</w:t>
      </w:r>
      <w:proofErr w:type="spellEnd"/>
      <w:r w:rsidRPr="00586B80">
        <w:rPr>
          <w:rFonts w:ascii="Times New Roman" w:hAnsi="Times New Roman" w:cs="Times New Roman"/>
          <w:lang w:val="en-US"/>
        </w:rPr>
        <w:t xml:space="preserve"> </w:t>
      </w:r>
      <w:proofErr w:type="spellStart"/>
      <w:r w:rsidRPr="00586B80">
        <w:rPr>
          <w:rFonts w:ascii="Times New Roman" w:hAnsi="Times New Roman" w:cs="Times New Roman"/>
          <w:lang w:val="en-US"/>
        </w:rPr>
        <w:t>centrado</w:t>
      </w:r>
      <w:proofErr w:type="spellEnd"/>
      <w:r w:rsidRPr="00586B80">
        <w:rPr>
          <w:rFonts w:ascii="Times New Roman" w:hAnsi="Times New Roman" w:cs="Times New Roman"/>
          <w:lang w:val="en-US"/>
        </w:rPr>
        <w:t xml:space="preserve"> no </w:t>
      </w:r>
      <w:proofErr w:type="spellStart"/>
      <w:r w:rsidRPr="00586B80">
        <w:rPr>
          <w:rFonts w:ascii="Times New Roman" w:hAnsi="Times New Roman" w:cs="Times New Roman"/>
          <w:lang w:val="en-US"/>
        </w:rPr>
        <w:t>ator</w:t>
      </w:r>
      <w:proofErr w:type="spellEnd"/>
      <w:r w:rsidRPr="00586B80">
        <w:rPr>
          <w:rFonts w:ascii="Times New Roman" w:hAnsi="Times New Roman" w:cs="Times New Roman"/>
          <w:lang w:val="en-US"/>
        </w:rPr>
        <w:t xml:space="preserve">. </w:t>
      </w:r>
      <w:r w:rsidRPr="000139D9">
        <w:rPr>
          <w:rFonts w:ascii="Times New Roman" w:hAnsi="Times New Roman" w:cs="Times New Roman"/>
          <w:lang w:val="en-US"/>
        </w:rPr>
        <w:t xml:space="preserve">In: </w:t>
      </w:r>
      <w:proofErr w:type="spellStart"/>
      <w:r w:rsidRPr="000139D9">
        <w:rPr>
          <w:rFonts w:ascii="Times New Roman" w:hAnsi="Times New Roman" w:cs="Times New Roman"/>
          <w:lang w:val="en-US"/>
        </w:rPr>
        <w:t>DINIZ</w:t>
      </w:r>
      <w:proofErr w:type="spellEnd"/>
      <w:r w:rsidRPr="000139D9">
        <w:rPr>
          <w:rFonts w:ascii="Times New Roman" w:hAnsi="Times New Roman" w:cs="Times New Roman"/>
          <w:lang w:val="en-US"/>
        </w:rPr>
        <w:t xml:space="preserve">, C. C.; </w:t>
      </w:r>
      <w:proofErr w:type="spellStart"/>
      <w:r w:rsidRPr="000139D9">
        <w:rPr>
          <w:rFonts w:ascii="Times New Roman" w:hAnsi="Times New Roman" w:cs="Times New Roman"/>
          <w:lang w:val="en-US"/>
        </w:rPr>
        <w:t>LEMOS</w:t>
      </w:r>
      <w:proofErr w:type="spellEnd"/>
      <w:r w:rsidRPr="000139D9">
        <w:rPr>
          <w:rFonts w:ascii="Times New Roman" w:hAnsi="Times New Roman" w:cs="Times New Roman"/>
          <w:lang w:val="en-US"/>
        </w:rPr>
        <w:t xml:space="preserve">, M. B. (Org.). </w:t>
      </w:r>
      <w:r w:rsidRPr="000139D9">
        <w:rPr>
          <w:rFonts w:ascii="Times New Roman" w:hAnsi="Times New Roman" w:cs="Times New Roman"/>
          <w:i/>
          <w:iCs/>
          <w:lang w:val="en-US"/>
        </w:rPr>
        <w:t xml:space="preserve">Economia e </w:t>
      </w:r>
      <w:proofErr w:type="spellStart"/>
      <w:r w:rsidRPr="000139D9">
        <w:rPr>
          <w:rFonts w:ascii="Times New Roman" w:hAnsi="Times New Roman" w:cs="Times New Roman"/>
          <w:i/>
          <w:iCs/>
          <w:lang w:val="en-US"/>
        </w:rPr>
        <w:t>território</w:t>
      </w:r>
      <w:proofErr w:type="spellEnd"/>
      <w:r w:rsidRPr="000139D9">
        <w:rPr>
          <w:rFonts w:ascii="Times New Roman" w:hAnsi="Times New Roman" w:cs="Times New Roman"/>
          <w:lang w:val="en-US"/>
        </w:rPr>
        <w:t xml:space="preserve">. Belo Horizonte: </w:t>
      </w:r>
      <w:proofErr w:type="spellStart"/>
      <w:r w:rsidRPr="000139D9">
        <w:rPr>
          <w:rFonts w:ascii="Times New Roman" w:hAnsi="Times New Roman" w:cs="Times New Roman"/>
          <w:lang w:val="en-US"/>
        </w:rPr>
        <w:t>UFMG</w:t>
      </w:r>
      <w:proofErr w:type="spellEnd"/>
      <w:r w:rsidRPr="000139D9">
        <w:rPr>
          <w:rFonts w:ascii="Times New Roman" w:hAnsi="Times New Roman" w:cs="Times New Roman"/>
          <w:lang w:val="en-US"/>
        </w:rPr>
        <w:t>, 2005. p. 57-75.</w:t>
      </w:r>
    </w:p>
    <w:p w14:paraId="296F8B9F" w14:textId="77777777" w:rsidR="005F519D" w:rsidRPr="000139D9" w:rsidRDefault="005F519D" w:rsidP="005F519D">
      <w:pPr>
        <w:pStyle w:val="LISTADEREFERNCIASXIXENANPUR"/>
        <w:spacing w:after="0"/>
        <w:rPr>
          <w:rFonts w:ascii="Times New Roman" w:hAnsi="Times New Roman" w:cs="Times New Roman"/>
          <w:lang w:val="en-US"/>
        </w:rPr>
      </w:pPr>
    </w:p>
    <w:p w14:paraId="1C429684"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MASKELL, P.; </w:t>
      </w:r>
      <w:proofErr w:type="spellStart"/>
      <w:r w:rsidRPr="000139D9">
        <w:rPr>
          <w:rFonts w:ascii="Times New Roman" w:hAnsi="Times New Roman" w:cs="Times New Roman"/>
          <w:lang w:val="en-US"/>
        </w:rPr>
        <w:t>ESKELINEN</w:t>
      </w:r>
      <w:proofErr w:type="spellEnd"/>
      <w:r w:rsidRPr="000139D9">
        <w:rPr>
          <w:rFonts w:ascii="Times New Roman" w:hAnsi="Times New Roman" w:cs="Times New Roman"/>
          <w:lang w:val="en-US"/>
        </w:rPr>
        <w:t xml:space="preserve">, H.; </w:t>
      </w:r>
      <w:proofErr w:type="spellStart"/>
      <w:r w:rsidRPr="000139D9">
        <w:rPr>
          <w:rFonts w:ascii="Times New Roman" w:hAnsi="Times New Roman" w:cs="Times New Roman"/>
          <w:lang w:val="en-US"/>
        </w:rPr>
        <w:t>HANNIBALSSON</w:t>
      </w:r>
      <w:proofErr w:type="spellEnd"/>
      <w:r w:rsidRPr="000139D9">
        <w:rPr>
          <w:rFonts w:ascii="Times New Roman" w:hAnsi="Times New Roman" w:cs="Times New Roman"/>
          <w:lang w:val="en-US"/>
        </w:rPr>
        <w:t xml:space="preserve">, I.; </w:t>
      </w:r>
      <w:proofErr w:type="spellStart"/>
      <w:r w:rsidRPr="000139D9">
        <w:rPr>
          <w:rFonts w:ascii="Times New Roman" w:hAnsi="Times New Roman" w:cs="Times New Roman"/>
          <w:lang w:val="en-US"/>
        </w:rPr>
        <w:t>MALMBERG</w:t>
      </w:r>
      <w:proofErr w:type="spellEnd"/>
      <w:r w:rsidRPr="000139D9">
        <w:rPr>
          <w:rFonts w:ascii="Times New Roman" w:hAnsi="Times New Roman" w:cs="Times New Roman"/>
          <w:lang w:val="en-US"/>
        </w:rPr>
        <w:t xml:space="preserve">, A.; </w:t>
      </w:r>
      <w:proofErr w:type="spellStart"/>
      <w:r w:rsidRPr="000139D9">
        <w:rPr>
          <w:rFonts w:ascii="Times New Roman" w:hAnsi="Times New Roman" w:cs="Times New Roman"/>
          <w:lang w:val="en-US"/>
        </w:rPr>
        <w:t>VARNE</w:t>
      </w:r>
      <w:proofErr w:type="spellEnd"/>
      <w:r w:rsidRPr="000139D9">
        <w:rPr>
          <w:rFonts w:ascii="Times New Roman" w:hAnsi="Times New Roman" w:cs="Times New Roman"/>
          <w:lang w:val="en-US"/>
        </w:rPr>
        <w:t xml:space="preserve">, E. </w:t>
      </w:r>
      <w:r w:rsidRPr="000139D9">
        <w:rPr>
          <w:rFonts w:ascii="Times New Roman" w:hAnsi="Times New Roman" w:cs="Times New Roman"/>
          <w:i/>
          <w:iCs/>
          <w:lang w:val="en-US"/>
        </w:rPr>
        <w:t xml:space="preserve">Competitiveness, </w:t>
      </w:r>
      <w:proofErr w:type="spellStart"/>
      <w:r w:rsidRPr="000139D9">
        <w:rPr>
          <w:rFonts w:ascii="Times New Roman" w:hAnsi="Times New Roman" w:cs="Times New Roman"/>
          <w:i/>
          <w:iCs/>
          <w:lang w:val="en-US"/>
        </w:rPr>
        <w:t>localised</w:t>
      </w:r>
      <w:proofErr w:type="spellEnd"/>
      <w:r w:rsidRPr="000139D9">
        <w:rPr>
          <w:rFonts w:ascii="Times New Roman" w:hAnsi="Times New Roman" w:cs="Times New Roman"/>
          <w:i/>
          <w:iCs/>
          <w:lang w:val="en-US"/>
        </w:rPr>
        <w:t xml:space="preserve"> </w:t>
      </w:r>
      <w:proofErr w:type="gramStart"/>
      <w:r w:rsidRPr="000139D9">
        <w:rPr>
          <w:rFonts w:ascii="Times New Roman" w:hAnsi="Times New Roman" w:cs="Times New Roman"/>
          <w:i/>
          <w:iCs/>
          <w:lang w:val="en-US"/>
        </w:rPr>
        <w:t>learning</w:t>
      </w:r>
      <w:proofErr w:type="gramEnd"/>
      <w:r w:rsidRPr="000139D9">
        <w:rPr>
          <w:rFonts w:ascii="Times New Roman" w:hAnsi="Times New Roman" w:cs="Times New Roman"/>
          <w:i/>
          <w:iCs/>
          <w:lang w:val="en-US"/>
        </w:rPr>
        <w:t xml:space="preserve"> and regional development</w:t>
      </w:r>
      <w:r w:rsidRPr="000139D9">
        <w:rPr>
          <w:rFonts w:ascii="Times New Roman" w:hAnsi="Times New Roman" w:cs="Times New Roman"/>
          <w:lang w:val="en-US"/>
        </w:rPr>
        <w:t xml:space="preserve">: </w:t>
      </w:r>
      <w:proofErr w:type="spellStart"/>
      <w:r w:rsidRPr="000139D9">
        <w:rPr>
          <w:rFonts w:ascii="Times New Roman" w:hAnsi="Times New Roman" w:cs="Times New Roman"/>
          <w:lang w:val="en-US"/>
        </w:rPr>
        <w:t>specialisation</w:t>
      </w:r>
      <w:proofErr w:type="spellEnd"/>
      <w:r w:rsidRPr="000139D9">
        <w:rPr>
          <w:rFonts w:ascii="Times New Roman" w:hAnsi="Times New Roman" w:cs="Times New Roman"/>
          <w:lang w:val="en-US"/>
        </w:rPr>
        <w:t xml:space="preserve"> and prosperity in small open economies. London: Routledge, 1998.</w:t>
      </w:r>
    </w:p>
    <w:p w14:paraId="374C1227" w14:textId="77777777" w:rsidR="005F519D" w:rsidRPr="000139D9" w:rsidRDefault="005F519D" w:rsidP="005F519D">
      <w:pPr>
        <w:pStyle w:val="LISTADEREFERNCIASXIXENANPUR"/>
        <w:spacing w:after="0"/>
        <w:rPr>
          <w:rFonts w:ascii="Times New Roman" w:hAnsi="Times New Roman" w:cs="Times New Roman"/>
          <w:lang w:val="en-US"/>
        </w:rPr>
      </w:pPr>
    </w:p>
    <w:p w14:paraId="49A7CE8C"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MASSEY, D. A global sense of place. </w:t>
      </w:r>
      <w:r w:rsidRPr="000139D9">
        <w:rPr>
          <w:rFonts w:ascii="Times New Roman" w:hAnsi="Times New Roman" w:cs="Times New Roman"/>
          <w:i/>
          <w:iCs/>
          <w:lang w:val="en-US"/>
        </w:rPr>
        <w:t>Marxism Today</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n. 38, p. 24-29, June 1991.</w:t>
      </w:r>
    </w:p>
    <w:p w14:paraId="7C612F44" w14:textId="77777777" w:rsidR="005F519D" w:rsidRPr="000139D9" w:rsidRDefault="005F519D" w:rsidP="005F519D">
      <w:pPr>
        <w:pStyle w:val="LISTADEREFERNCIASXIXENANPUR"/>
        <w:spacing w:after="0"/>
        <w:rPr>
          <w:rFonts w:ascii="Times New Roman" w:hAnsi="Times New Roman" w:cs="Times New Roman"/>
          <w:lang w:val="en-US"/>
        </w:rPr>
      </w:pPr>
    </w:p>
    <w:p w14:paraId="681712DA" w14:textId="77777777" w:rsidR="005F519D" w:rsidRPr="000139D9" w:rsidRDefault="005F519D" w:rsidP="005F519D">
      <w:pPr>
        <w:pStyle w:val="LISTADEREFERNCIASXIXENANPUR"/>
        <w:spacing w:after="0"/>
        <w:rPr>
          <w:rFonts w:ascii="Times New Roman" w:hAnsi="Times New Roman" w:cs="Times New Roman"/>
          <w:lang w:val="en-US"/>
        </w:rPr>
      </w:pPr>
      <w:proofErr w:type="spellStart"/>
      <w:r w:rsidRPr="000139D9">
        <w:rPr>
          <w:rFonts w:ascii="Times New Roman" w:hAnsi="Times New Roman" w:cs="Times New Roman"/>
          <w:lang w:val="en-US"/>
        </w:rPr>
        <w:t>MAZZUCATO</w:t>
      </w:r>
      <w:proofErr w:type="spellEnd"/>
      <w:r w:rsidRPr="000139D9">
        <w:rPr>
          <w:rFonts w:ascii="Times New Roman" w:hAnsi="Times New Roman" w:cs="Times New Roman"/>
          <w:lang w:val="en-US"/>
        </w:rPr>
        <w:t>, Mariana. Financing innovation: creative destruction vs. destructive creation. Industrial and Corporate Change, v. 22, n. 4, p. 851-867, 2013.</w:t>
      </w:r>
    </w:p>
    <w:p w14:paraId="375F4062" w14:textId="77777777" w:rsidR="005F519D" w:rsidRPr="000139D9" w:rsidRDefault="005F519D" w:rsidP="005F519D">
      <w:pPr>
        <w:pStyle w:val="LISTADEREFERNCIASXIXENANPUR"/>
        <w:spacing w:after="0"/>
        <w:rPr>
          <w:rFonts w:ascii="Times New Roman" w:hAnsi="Times New Roman" w:cs="Times New Roman"/>
          <w:lang w:val="en-US"/>
        </w:rPr>
      </w:pPr>
    </w:p>
    <w:p w14:paraId="45B56518"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lang w:val="en-US"/>
        </w:rPr>
        <w:t xml:space="preserve">MEENA, R. S.; KUMAR, S.; DATTA, R.; LAL, R.; VIJAYAKUMAR, V.; </w:t>
      </w:r>
      <w:proofErr w:type="spellStart"/>
      <w:r w:rsidRPr="000139D9">
        <w:rPr>
          <w:rFonts w:ascii="Times New Roman" w:hAnsi="Times New Roman" w:cs="Times New Roman"/>
          <w:lang w:val="en-US"/>
        </w:rPr>
        <w:t>BRTNICKY</w:t>
      </w:r>
      <w:proofErr w:type="spellEnd"/>
      <w:r w:rsidRPr="000139D9">
        <w:rPr>
          <w:rFonts w:ascii="Times New Roman" w:hAnsi="Times New Roman" w:cs="Times New Roman"/>
          <w:lang w:val="en-US"/>
        </w:rPr>
        <w:t xml:space="preserve">, M.; ... </w:t>
      </w:r>
      <w:proofErr w:type="spellStart"/>
      <w:r w:rsidRPr="000139D9">
        <w:rPr>
          <w:rFonts w:ascii="Times New Roman" w:hAnsi="Times New Roman" w:cs="Times New Roman"/>
          <w:lang w:val="en-US"/>
        </w:rPr>
        <w:t>MARFO</w:t>
      </w:r>
      <w:proofErr w:type="spellEnd"/>
      <w:r w:rsidRPr="000139D9">
        <w:rPr>
          <w:rFonts w:ascii="Times New Roman" w:hAnsi="Times New Roman" w:cs="Times New Roman"/>
          <w:lang w:val="en-US"/>
        </w:rPr>
        <w:t>, T. D. Impact of agrochemicals on soil microbiota and management: A review.</w:t>
      </w:r>
      <w:r w:rsidRPr="000139D9">
        <w:rPr>
          <w:rFonts w:ascii="Times New Roman" w:hAnsi="Times New Roman" w:cs="Times New Roman"/>
          <w:i/>
          <w:iCs/>
          <w:lang w:val="en-US"/>
        </w:rPr>
        <w:t xml:space="preserve"> </w:t>
      </w:r>
      <w:r w:rsidRPr="000139D9">
        <w:rPr>
          <w:rFonts w:ascii="Times New Roman" w:hAnsi="Times New Roman" w:cs="Times New Roman"/>
          <w:i/>
          <w:iCs/>
        </w:rPr>
        <w:t>Land</w:t>
      </w:r>
      <w:r w:rsidRPr="000139D9">
        <w:rPr>
          <w:rFonts w:ascii="Times New Roman" w:hAnsi="Times New Roman" w:cs="Times New Roman"/>
        </w:rPr>
        <w:t>, [</w:t>
      </w:r>
      <w:proofErr w:type="spellStart"/>
      <w:r w:rsidRPr="000139D9">
        <w:rPr>
          <w:rFonts w:ascii="Times New Roman" w:hAnsi="Times New Roman" w:cs="Times New Roman"/>
        </w:rPr>
        <w:t>s.l</w:t>
      </w:r>
      <w:proofErr w:type="spellEnd"/>
      <w:r w:rsidRPr="000139D9">
        <w:rPr>
          <w:rFonts w:ascii="Times New Roman" w:hAnsi="Times New Roman" w:cs="Times New Roman"/>
        </w:rPr>
        <w:t>.], v. 9, n. 34, jan. 2020.</w:t>
      </w:r>
    </w:p>
    <w:p w14:paraId="5C35D308" w14:textId="77777777" w:rsidR="005F519D" w:rsidRPr="000139D9" w:rsidRDefault="005F519D" w:rsidP="005F519D">
      <w:pPr>
        <w:pStyle w:val="LISTADEREFERNCIASXIXENANPUR"/>
        <w:spacing w:after="0"/>
        <w:rPr>
          <w:rFonts w:ascii="Times New Roman" w:hAnsi="Times New Roman" w:cs="Times New Roman"/>
        </w:rPr>
      </w:pPr>
    </w:p>
    <w:p w14:paraId="175C6397"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rPr>
        <w:t xml:space="preserve">MONTEIRO, M. A. Meio século de mineração industrial na Amazônia e suas implicações para o desenvolvimento regional. </w:t>
      </w:r>
      <w:r w:rsidRPr="000139D9">
        <w:rPr>
          <w:rFonts w:ascii="Times New Roman" w:hAnsi="Times New Roman" w:cs="Times New Roman"/>
          <w:i/>
          <w:iCs/>
        </w:rPr>
        <w:t>Estudos Avançados</w:t>
      </w:r>
      <w:r w:rsidRPr="000139D9">
        <w:rPr>
          <w:rFonts w:ascii="Times New Roman" w:hAnsi="Times New Roman" w:cs="Times New Roman"/>
        </w:rPr>
        <w:t>, São Paulo, v. 19, n. 53, p. 187-207, 2005.</w:t>
      </w:r>
    </w:p>
    <w:p w14:paraId="17EDB52C" w14:textId="77777777" w:rsidR="005F519D" w:rsidRPr="000139D9" w:rsidRDefault="005F519D" w:rsidP="005F519D">
      <w:pPr>
        <w:pStyle w:val="LISTADEREFERNCIASXIXENANPUR"/>
        <w:spacing w:after="0"/>
        <w:rPr>
          <w:rFonts w:ascii="Times New Roman" w:hAnsi="Times New Roman" w:cs="Times New Roman"/>
        </w:rPr>
      </w:pPr>
    </w:p>
    <w:p w14:paraId="3416D8C4"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rPr>
        <w:t>MONTEIRO, M. A.; SILVA, R. P. Expansão geográfica, fronteira e regionalização: a região de Carajás. Confins, [</w:t>
      </w:r>
      <w:proofErr w:type="spellStart"/>
      <w:r w:rsidRPr="000139D9">
        <w:rPr>
          <w:rFonts w:ascii="Times New Roman" w:hAnsi="Times New Roman" w:cs="Times New Roman"/>
        </w:rPr>
        <w:t>s.l</w:t>
      </w:r>
      <w:proofErr w:type="spellEnd"/>
      <w:r w:rsidRPr="000139D9">
        <w:rPr>
          <w:rFonts w:ascii="Times New Roman" w:hAnsi="Times New Roman" w:cs="Times New Roman"/>
        </w:rPr>
        <w:t>.], n. 49, p. 1-18, 2021.</w:t>
      </w:r>
    </w:p>
    <w:p w14:paraId="6B641131" w14:textId="77777777" w:rsidR="009B5558" w:rsidRPr="00586B80" w:rsidRDefault="009B5558" w:rsidP="009B5558">
      <w:pPr>
        <w:pStyle w:val="LISTADEREFERNCIASXIXENANPUR"/>
        <w:spacing w:after="0"/>
        <w:rPr>
          <w:rFonts w:ascii="Times New Roman" w:hAnsi="Times New Roman" w:cs="Times New Roman"/>
        </w:rPr>
      </w:pPr>
    </w:p>
    <w:p w14:paraId="78F48201" w14:textId="510C5E45" w:rsidR="009B5558" w:rsidRPr="005F11D9" w:rsidRDefault="009B5558" w:rsidP="009B5558">
      <w:pPr>
        <w:pStyle w:val="LISTADEREFERNCIASXIXENANPUR"/>
        <w:spacing w:after="0"/>
        <w:rPr>
          <w:rFonts w:ascii="Times New Roman" w:hAnsi="Times New Roman" w:cs="Times New Roman"/>
        </w:rPr>
      </w:pPr>
      <w:r w:rsidRPr="000139D9">
        <w:rPr>
          <w:rFonts w:ascii="Times New Roman" w:hAnsi="Times New Roman" w:cs="Times New Roman"/>
        </w:rPr>
        <w:t>MONTEIRO, M. A.</w:t>
      </w:r>
      <w:r>
        <w:rPr>
          <w:rFonts w:ascii="Times New Roman" w:hAnsi="Times New Roman" w:cs="Times New Roman"/>
        </w:rPr>
        <w:t xml:space="preserve"> </w:t>
      </w:r>
      <w:r w:rsidRPr="005F11D9">
        <w:rPr>
          <w:rFonts w:ascii="Times New Roman" w:hAnsi="Times New Roman" w:cs="Times New Roman"/>
        </w:rPr>
        <w:t>Capacidades endógenas, trajetórias tecnológicas</w:t>
      </w:r>
      <w:r>
        <w:rPr>
          <w:rFonts w:ascii="Times New Roman" w:hAnsi="Times New Roman" w:cs="Times New Roman"/>
        </w:rPr>
        <w:t xml:space="preserve"> </w:t>
      </w:r>
      <w:r w:rsidRPr="005F11D9">
        <w:rPr>
          <w:rFonts w:ascii="Times New Roman" w:hAnsi="Times New Roman" w:cs="Times New Roman"/>
        </w:rPr>
        <w:t>e planos corporativos: limites a estratégias de</w:t>
      </w:r>
      <w:r>
        <w:rPr>
          <w:rFonts w:ascii="Times New Roman" w:hAnsi="Times New Roman" w:cs="Times New Roman"/>
        </w:rPr>
        <w:t xml:space="preserve"> </w:t>
      </w:r>
      <w:r w:rsidRPr="005F11D9">
        <w:rPr>
          <w:rFonts w:ascii="Times New Roman" w:hAnsi="Times New Roman" w:cs="Times New Roman"/>
        </w:rPr>
        <w:t>desenvolvimento para a Amazônia</w:t>
      </w:r>
      <w:r>
        <w:rPr>
          <w:rFonts w:ascii="Times New Roman" w:hAnsi="Times New Roman" w:cs="Times New Roman"/>
        </w:rPr>
        <w:t xml:space="preserve">. </w:t>
      </w:r>
      <w:r w:rsidRPr="00005736">
        <w:rPr>
          <w:rFonts w:ascii="Times New Roman" w:hAnsi="Times New Roman" w:cs="Times New Roman"/>
          <w:i/>
          <w:iCs/>
        </w:rPr>
        <w:t xml:space="preserve">Rev. Bras. </w:t>
      </w:r>
      <w:proofErr w:type="spellStart"/>
      <w:r w:rsidRPr="00005736">
        <w:rPr>
          <w:rFonts w:ascii="Times New Roman" w:hAnsi="Times New Roman" w:cs="Times New Roman"/>
          <w:i/>
          <w:iCs/>
        </w:rPr>
        <w:t>Inov</w:t>
      </w:r>
      <w:proofErr w:type="spellEnd"/>
      <w:r w:rsidRPr="00005736">
        <w:rPr>
          <w:rFonts w:ascii="Times New Roman" w:hAnsi="Times New Roman" w:cs="Times New Roman"/>
        </w:rPr>
        <w:t>., Campinas (SP), 21, e022013, p. 1-35, 2022</w:t>
      </w:r>
      <w:r>
        <w:rPr>
          <w:rFonts w:ascii="Times New Roman" w:hAnsi="Times New Roman" w:cs="Times New Roman"/>
        </w:rPr>
        <w:t>a.</w:t>
      </w:r>
    </w:p>
    <w:p w14:paraId="154C159B" w14:textId="77777777" w:rsidR="005F519D" w:rsidRPr="000139D9" w:rsidRDefault="005F519D" w:rsidP="005F519D">
      <w:pPr>
        <w:pStyle w:val="LISTADEREFERNCIASXIXENANPUR"/>
        <w:spacing w:after="0"/>
        <w:rPr>
          <w:rFonts w:ascii="Times New Roman" w:hAnsi="Times New Roman" w:cs="Times New Roman"/>
        </w:rPr>
      </w:pPr>
    </w:p>
    <w:p w14:paraId="6BD9322A" w14:textId="62895ED9" w:rsidR="005F519D"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rPr>
        <w:t xml:space="preserve">MONTEIRO, M. A. </w:t>
      </w:r>
      <w:r w:rsidRPr="000139D9">
        <w:rPr>
          <w:rFonts w:ascii="Times New Roman" w:hAnsi="Times New Roman" w:cs="Times New Roman"/>
          <w:i/>
          <w:iCs/>
        </w:rPr>
        <w:t xml:space="preserve">Dinâmicas territoriais na Amazônia: A região de Carajás. </w:t>
      </w:r>
      <w:proofErr w:type="spellStart"/>
      <w:r w:rsidRPr="000139D9">
        <w:rPr>
          <w:rFonts w:ascii="Times New Roman" w:hAnsi="Times New Roman" w:cs="Times New Roman"/>
          <w:lang w:val="en-US"/>
        </w:rPr>
        <w:t>Marabá</w:t>
      </w:r>
      <w:proofErr w:type="spellEnd"/>
      <w:r w:rsidRPr="000139D9">
        <w:rPr>
          <w:rFonts w:ascii="Times New Roman" w:hAnsi="Times New Roman" w:cs="Times New Roman"/>
          <w:lang w:val="en-US"/>
        </w:rPr>
        <w:t xml:space="preserve">, PA: </w:t>
      </w:r>
      <w:proofErr w:type="spellStart"/>
      <w:r w:rsidRPr="000139D9">
        <w:rPr>
          <w:rFonts w:ascii="Times New Roman" w:hAnsi="Times New Roman" w:cs="Times New Roman"/>
          <w:lang w:val="en-US"/>
        </w:rPr>
        <w:t>Unifesspa</w:t>
      </w:r>
      <w:proofErr w:type="spellEnd"/>
      <w:r w:rsidRPr="000139D9">
        <w:rPr>
          <w:rFonts w:ascii="Times New Roman" w:hAnsi="Times New Roman" w:cs="Times New Roman"/>
          <w:lang w:val="en-US"/>
        </w:rPr>
        <w:t>, 2022</w:t>
      </w:r>
      <w:r w:rsidR="009B5558">
        <w:rPr>
          <w:rFonts w:ascii="Times New Roman" w:hAnsi="Times New Roman" w:cs="Times New Roman"/>
          <w:lang w:val="en-US"/>
        </w:rPr>
        <w:t>b</w:t>
      </w:r>
      <w:r w:rsidRPr="000139D9">
        <w:rPr>
          <w:rFonts w:ascii="Times New Roman" w:hAnsi="Times New Roman" w:cs="Times New Roman"/>
          <w:lang w:val="en-US"/>
        </w:rPr>
        <w:t>.</w:t>
      </w:r>
    </w:p>
    <w:p w14:paraId="22E58CC3" w14:textId="77777777" w:rsidR="005F519D" w:rsidRPr="00586B80" w:rsidRDefault="005F519D" w:rsidP="005F519D">
      <w:pPr>
        <w:pStyle w:val="LISTADEREFERNCIASXIXENANPUR"/>
        <w:spacing w:after="0"/>
        <w:rPr>
          <w:rFonts w:ascii="Times New Roman" w:hAnsi="Times New Roman" w:cs="Times New Roman"/>
          <w:lang w:val="en-US"/>
        </w:rPr>
      </w:pPr>
    </w:p>
    <w:p w14:paraId="412C1E7E"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NELSON, R., WINTER, S. G. </w:t>
      </w:r>
      <w:r w:rsidRPr="000139D9">
        <w:rPr>
          <w:rFonts w:ascii="Times New Roman" w:hAnsi="Times New Roman" w:cs="Times New Roman"/>
          <w:i/>
          <w:iCs/>
          <w:lang w:val="en-US"/>
        </w:rPr>
        <w:t>An evolutionary theory of economic change</w:t>
      </w:r>
      <w:r w:rsidRPr="000139D9">
        <w:rPr>
          <w:rFonts w:ascii="Times New Roman" w:hAnsi="Times New Roman" w:cs="Times New Roman"/>
          <w:lang w:val="en-US"/>
        </w:rPr>
        <w:t>. Cambridge, MA: Belknap Press, 1982.</w:t>
      </w:r>
    </w:p>
    <w:p w14:paraId="5B55EA2F" w14:textId="77777777" w:rsidR="005F519D" w:rsidRPr="000139D9" w:rsidRDefault="005F519D" w:rsidP="005F519D">
      <w:pPr>
        <w:pStyle w:val="LISTADEREFERNCIASXIXENANPUR"/>
        <w:spacing w:after="0"/>
        <w:rPr>
          <w:rFonts w:ascii="Times New Roman" w:hAnsi="Times New Roman" w:cs="Times New Roman"/>
          <w:lang w:val="en-US"/>
        </w:rPr>
      </w:pPr>
    </w:p>
    <w:p w14:paraId="1008B04C"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NELSON, Richard R. Economic development from the perspective of evolutionary economic theory. Oxford development studies, v. 36, n. 1, p. 9-21, 2008.</w:t>
      </w:r>
    </w:p>
    <w:p w14:paraId="0A05E2A5" w14:textId="77777777" w:rsidR="005F519D" w:rsidRDefault="005F519D" w:rsidP="005F519D">
      <w:pPr>
        <w:pStyle w:val="LISTADEREFERNCIASXIXENANPUR"/>
        <w:spacing w:after="0"/>
        <w:rPr>
          <w:rFonts w:ascii="Times New Roman" w:hAnsi="Times New Roman" w:cs="Times New Roman"/>
          <w:lang w:val="en-US"/>
        </w:rPr>
      </w:pPr>
    </w:p>
    <w:p w14:paraId="46ED806D" w14:textId="4E69364D" w:rsidR="000640C2" w:rsidRDefault="000640C2" w:rsidP="005F519D">
      <w:pPr>
        <w:pStyle w:val="LISTADEREFERNCIASXIXENANPUR"/>
        <w:spacing w:after="0"/>
        <w:rPr>
          <w:rFonts w:ascii="Times New Roman" w:hAnsi="Times New Roman" w:cs="Times New Roman"/>
          <w:lang w:val="en-US"/>
        </w:rPr>
      </w:pPr>
      <w:r w:rsidRPr="000640C2">
        <w:rPr>
          <w:rFonts w:ascii="Times New Roman" w:hAnsi="Times New Roman" w:cs="Times New Roman"/>
          <w:lang w:val="en-US"/>
        </w:rPr>
        <w:t xml:space="preserve">OECD. Technology and the economy: the key relationships. Paris: </w:t>
      </w:r>
      <w:proofErr w:type="spellStart"/>
      <w:r w:rsidRPr="000640C2">
        <w:rPr>
          <w:rFonts w:ascii="Times New Roman" w:hAnsi="Times New Roman" w:cs="Times New Roman"/>
          <w:lang w:val="en-US"/>
        </w:rPr>
        <w:t>Organisation</w:t>
      </w:r>
      <w:proofErr w:type="spellEnd"/>
      <w:r w:rsidRPr="000640C2">
        <w:rPr>
          <w:rFonts w:ascii="Times New Roman" w:hAnsi="Times New Roman" w:cs="Times New Roman"/>
          <w:lang w:val="en-US"/>
        </w:rPr>
        <w:t xml:space="preserve"> for Economic Co-operation and Development, 1992.</w:t>
      </w:r>
    </w:p>
    <w:p w14:paraId="509FD963" w14:textId="77777777" w:rsidR="000640C2" w:rsidRPr="000139D9" w:rsidRDefault="000640C2" w:rsidP="005F519D">
      <w:pPr>
        <w:pStyle w:val="LISTADEREFERNCIASXIXENANPUR"/>
        <w:spacing w:after="0"/>
        <w:rPr>
          <w:rFonts w:ascii="Times New Roman" w:hAnsi="Times New Roman" w:cs="Times New Roman"/>
          <w:lang w:val="en-US"/>
        </w:rPr>
      </w:pPr>
    </w:p>
    <w:p w14:paraId="2A79BF8A" w14:textId="1DFEFC1C"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OSMAN, K. T. </w:t>
      </w:r>
      <w:r w:rsidRPr="000139D9">
        <w:rPr>
          <w:rFonts w:ascii="Times New Roman" w:hAnsi="Times New Roman" w:cs="Times New Roman"/>
          <w:i/>
          <w:iCs/>
          <w:lang w:val="en-US"/>
        </w:rPr>
        <w:t xml:space="preserve">Soil degradation, </w:t>
      </w:r>
      <w:proofErr w:type="gramStart"/>
      <w:r w:rsidRPr="000139D9">
        <w:rPr>
          <w:rFonts w:ascii="Times New Roman" w:hAnsi="Times New Roman" w:cs="Times New Roman"/>
          <w:i/>
          <w:iCs/>
          <w:lang w:val="en-US"/>
        </w:rPr>
        <w:t>conservation</w:t>
      </w:r>
      <w:proofErr w:type="gramEnd"/>
      <w:r w:rsidRPr="000139D9">
        <w:rPr>
          <w:rFonts w:ascii="Times New Roman" w:hAnsi="Times New Roman" w:cs="Times New Roman"/>
          <w:i/>
          <w:iCs/>
          <w:lang w:val="en-US"/>
        </w:rPr>
        <w:t xml:space="preserve"> and remediation</w:t>
      </w:r>
      <w:r w:rsidRPr="000139D9">
        <w:rPr>
          <w:rFonts w:ascii="Times New Roman" w:hAnsi="Times New Roman" w:cs="Times New Roman"/>
          <w:lang w:val="en-US"/>
        </w:rPr>
        <w:t>. Dordrecht: Springer Netherlands, 2014.</w:t>
      </w:r>
    </w:p>
    <w:p w14:paraId="1ED4980E" w14:textId="77777777" w:rsidR="005F519D" w:rsidRPr="000139D9" w:rsidRDefault="005F519D" w:rsidP="005F519D">
      <w:pPr>
        <w:pStyle w:val="LISTADEREFERNCIASXIXENANPUR"/>
        <w:spacing w:after="0"/>
        <w:rPr>
          <w:rFonts w:ascii="Times New Roman" w:hAnsi="Times New Roman" w:cs="Times New Roman"/>
          <w:lang w:val="en-US"/>
        </w:rPr>
      </w:pPr>
    </w:p>
    <w:p w14:paraId="1813F436" w14:textId="74016429"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PAVITT, K. Sectoral patterns of technical change: towards a taxonomy and a theory. </w:t>
      </w:r>
      <w:r w:rsidRPr="000139D9">
        <w:rPr>
          <w:rFonts w:ascii="Times New Roman" w:hAnsi="Times New Roman" w:cs="Times New Roman"/>
          <w:i/>
          <w:iCs/>
          <w:lang w:val="en-US"/>
        </w:rPr>
        <w:t>Research Policy</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13, n. 6, p. 343-373, Dec. 1984.</w:t>
      </w:r>
    </w:p>
    <w:p w14:paraId="5CDA08D5" w14:textId="77777777" w:rsidR="005F519D" w:rsidRPr="000139D9" w:rsidRDefault="005F519D" w:rsidP="005F519D">
      <w:pPr>
        <w:pStyle w:val="LISTADEREFERNCIASXIXENANPUR"/>
        <w:spacing w:after="0"/>
        <w:rPr>
          <w:rFonts w:ascii="Times New Roman" w:hAnsi="Times New Roman" w:cs="Times New Roman"/>
          <w:lang w:val="en-US"/>
        </w:rPr>
      </w:pPr>
    </w:p>
    <w:p w14:paraId="595EA735" w14:textId="3A3B1B48" w:rsidR="005F519D" w:rsidRPr="000139D9" w:rsidRDefault="005F519D" w:rsidP="005F519D">
      <w:pPr>
        <w:pStyle w:val="LISTADEREFERNCIASXIXENANPUR"/>
        <w:spacing w:after="0"/>
        <w:rPr>
          <w:rFonts w:ascii="Times New Roman" w:hAnsi="Times New Roman" w:cs="Times New Roman"/>
          <w:lang w:val="en-US"/>
        </w:rPr>
      </w:pPr>
      <w:proofErr w:type="spellStart"/>
      <w:r w:rsidRPr="000139D9">
        <w:rPr>
          <w:rFonts w:ascii="Times New Roman" w:hAnsi="Times New Roman" w:cs="Times New Roman"/>
          <w:lang w:val="en-US"/>
        </w:rPr>
        <w:lastRenderedPageBreak/>
        <w:t>PRASHAR</w:t>
      </w:r>
      <w:proofErr w:type="spellEnd"/>
      <w:r w:rsidRPr="000139D9">
        <w:rPr>
          <w:rFonts w:ascii="Times New Roman" w:hAnsi="Times New Roman" w:cs="Times New Roman"/>
          <w:lang w:val="en-US"/>
        </w:rPr>
        <w:t xml:space="preserve">, P.; SHAH, S. Impact of fertilizers and pesticides on soil microflora in agriculture. In: </w:t>
      </w:r>
      <w:proofErr w:type="spellStart"/>
      <w:r w:rsidRPr="000139D9">
        <w:rPr>
          <w:rFonts w:ascii="Times New Roman" w:hAnsi="Times New Roman" w:cs="Times New Roman"/>
          <w:lang w:val="en-US"/>
        </w:rPr>
        <w:t>LICHTFOUSE</w:t>
      </w:r>
      <w:proofErr w:type="spellEnd"/>
      <w:r w:rsidRPr="000139D9">
        <w:rPr>
          <w:rFonts w:ascii="Times New Roman" w:hAnsi="Times New Roman" w:cs="Times New Roman"/>
          <w:lang w:val="en-US"/>
        </w:rPr>
        <w:t xml:space="preserve">, E. (Ed.). </w:t>
      </w:r>
      <w:r w:rsidRPr="000139D9">
        <w:rPr>
          <w:rFonts w:ascii="Times New Roman" w:hAnsi="Times New Roman" w:cs="Times New Roman"/>
          <w:i/>
          <w:iCs/>
          <w:lang w:val="en-US"/>
        </w:rPr>
        <w:t>Sustainable agriculture reviews</w:t>
      </w:r>
      <w:r w:rsidRPr="000139D9">
        <w:rPr>
          <w:rFonts w:ascii="Times New Roman" w:hAnsi="Times New Roman" w:cs="Times New Roman"/>
          <w:lang w:val="en-US"/>
        </w:rPr>
        <w:t>. Cham: Springer, 2016. p. 331-361.</w:t>
      </w:r>
    </w:p>
    <w:p w14:paraId="3391B29D" w14:textId="77777777" w:rsidR="005F519D" w:rsidRPr="000139D9" w:rsidRDefault="005F519D" w:rsidP="005F519D">
      <w:pPr>
        <w:pStyle w:val="LISTADEREFERNCIASXIXENANPUR"/>
        <w:spacing w:after="0"/>
        <w:rPr>
          <w:rFonts w:ascii="Times New Roman" w:hAnsi="Times New Roman" w:cs="Times New Roman"/>
          <w:lang w:val="en-US"/>
        </w:rPr>
      </w:pPr>
    </w:p>
    <w:p w14:paraId="7D2168B9"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ROBINSON, C.; STOKES, L.; </w:t>
      </w:r>
      <w:proofErr w:type="spellStart"/>
      <w:r w:rsidRPr="000139D9">
        <w:rPr>
          <w:rFonts w:ascii="Times New Roman" w:hAnsi="Times New Roman" w:cs="Times New Roman"/>
          <w:lang w:val="en-US"/>
        </w:rPr>
        <w:t>STUIVENWOLD</w:t>
      </w:r>
      <w:proofErr w:type="spellEnd"/>
      <w:r w:rsidRPr="000139D9">
        <w:rPr>
          <w:rFonts w:ascii="Times New Roman" w:hAnsi="Times New Roman" w:cs="Times New Roman"/>
          <w:lang w:val="en-US"/>
        </w:rPr>
        <w:t>, E.; VAN ARK, B</w:t>
      </w:r>
      <w:r w:rsidRPr="000139D9">
        <w:rPr>
          <w:rFonts w:ascii="Times New Roman" w:hAnsi="Times New Roman" w:cs="Times New Roman"/>
          <w:iCs/>
          <w:lang w:val="en-US"/>
        </w:rPr>
        <w:t>.</w:t>
      </w:r>
      <w:r w:rsidRPr="000139D9">
        <w:rPr>
          <w:rFonts w:ascii="Times New Roman" w:hAnsi="Times New Roman" w:cs="Times New Roman"/>
          <w:lang w:val="en-US"/>
        </w:rPr>
        <w:t xml:space="preserve"> Industry structure and taxonomies. In: </w:t>
      </w:r>
      <w:proofErr w:type="spellStart"/>
      <w:r w:rsidRPr="000139D9">
        <w:rPr>
          <w:rFonts w:ascii="Times New Roman" w:hAnsi="Times New Roman" w:cs="Times New Roman"/>
          <w:lang w:val="en-US"/>
        </w:rPr>
        <w:t>O’MAHONY</w:t>
      </w:r>
      <w:proofErr w:type="spellEnd"/>
      <w:r w:rsidRPr="000139D9">
        <w:rPr>
          <w:rFonts w:ascii="Times New Roman" w:hAnsi="Times New Roman" w:cs="Times New Roman"/>
          <w:lang w:val="en-US"/>
        </w:rPr>
        <w:t xml:space="preserve">, M.; VAN ARK, B. </w:t>
      </w:r>
      <w:r w:rsidRPr="000139D9">
        <w:rPr>
          <w:rFonts w:ascii="Times New Roman" w:hAnsi="Times New Roman" w:cs="Times New Roman"/>
          <w:i/>
          <w:iCs/>
          <w:lang w:val="en-US"/>
        </w:rPr>
        <w:t>EU productivity and competitiveness</w:t>
      </w:r>
      <w:r w:rsidRPr="000139D9">
        <w:rPr>
          <w:rFonts w:ascii="Times New Roman" w:hAnsi="Times New Roman" w:cs="Times New Roman"/>
          <w:lang w:val="en-US"/>
        </w:rPr>
        <w:t>: An industry perspective. Can Europe resume the catching-up process? Luxembourg: Office for Official Publications of the European Communities, 2003. p. 37-71.</w:t>
      </w:r>
    </w:p>
    <w:p w14:paraId="777E05B3" w14:textId="77777777" w:rsidR="005F519D" w:rsidRPr="000139D9" w:rsidRDefault="005F519D" w:rsidP="005F519D">
      <w:pPr>
        <w:pStyle w:val="LISTADEREFERNCIASXIXENANPUR"/>
        <w:spacing w:after="0"/>
        <w:rPr>
          <w:rFonts w:ascii="Times New Roman" w:hAnsi="Times New Roman" w:cs="Times New Roman"/>
          <w:lang w:val="en-US"/>
        </w:rPr>
      </w:pPr>
    </w:p>
    <w:p w14:paraId="08B21744"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ROSENBERG, Nathan. </w:t>
      </w:r>
      <w:r w:rsidRPr="000139D9">
        <w:rPr>
          <w:rFonts w:ascii="Times New Roman" w:hAnsi="Times New Roman" w:cs="Times New Roman"/>
          <w:i/>
          <w:iCs/>
          <w:lang w:val="en-US"/>
        </w:rPr>
        <w:t>Inside the black box</w:t>
      </w:r>
      <w:r w:rsidRPr="000139D9">
        <w:rPr>
          <w:rFonts w:ascii="Times New Roman" w:hAnsi="Times New Roman" w:cs="Times New Roman"/>
          <w:lang w:val="en-US"/>
        </w:rPr>
        <w:t>: technology and economics. Cambridge: Cambridge university press, 1982.</w:t>
      </w:r>
    </w:p>
    <w:p w14:paraId="38ADADF9" w14:textId="77777777" w:rsidR="005F519D" w:rsidRPr="000139D9" w:rsidRDefault="005F519D" w:rsidP="005F519D">
      <w:pPr>
        <w:pStyle w:val="LISTADEREFERNCIASXIXENANPUR"/>
        <w:spacing w:after="0"/>
        <w:rPr>
          <w:rFonts w:ascii="Times New Roman" w:hAnsi="Times New Roman" w:cs="Times New Roman"/>
          <w:lang w:val="en-US"/>
        </w:rPr>
      </w:pPr>
    </w:p>
    <w:p w14:paraId="1150BF07"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SAFDAR, M. T.; VAN </w:t>
      </w:r>
      <w:proofErr w:type="spellStart"/>
      <w:r w:rsidRPr="000139D9">
        <w:rPr>
          <w:rFonts w:ascii="Times New Roman" w:hAnsi="Times New Roman" w:cs="Times New Roman"/>
          <w:lang w:val="en-US"/>
        </w:rPr>
        <w:t>GEVELT</w:t>
      </w:r>
      <w:proofErr w:type="spellEnd"/>
      <w:r w:rsidRPr="000139D9">
        <w:rPr>
          <w:rFonts w:ascii="Times New Roman" w:hAnsi="Times New Roman" w:cs="Times New Roman"/>
          <w:lang w:val="en-US"/>
        </w:rPr>
        <w:t xml:space="preserve">, T. Catching up with the ‘core’: the nature of the agricultural machinery sector and challenges for Chinese manufacturers. </w:t>
      </w:r>
      <w:r w:rsidRPr="000139D9">
        <w:rPr>
          <w:rFonts w:ascii="Times New Roman" w:hAnsi="Times New Roman" w:cs="Times New Roman"/>
          <w:bCs/>
          <w:i/>
          <w:iCs/>
          <w:lang w:val="en-US"/>
        </w:rPr>
        <w:t>The Journal of Development Studies</w:t>
      </w:r>
      <w:r w:rsidRPr="000139D9">
        <w:rPr>
          <w:rFonts w:ascii="Times New Roman" w:hAnsi="Times New Roman" w:cs="Times New Roman"/>
          <w:lang w:val="en-US"/>
        </w:rPr>
        <w:t>, London, v. 56, n. 7, p. 1349-1366, 2020.</w:t>
      </w:r>
    </w:p>
    <w:p w14:paraId="79F7EC5D" w14:textId="77777777" w:rsidR="005F519D" w:rsidRPr="000139D9" w:rsidRDefault="005F519D" w:rsidP="005F519D">
      <w:pPr>
        <w:pStyle w:val="LISTADEREFERNCIASXIXENANPUR"/>
        <w:spacing w:after="0"/>
        <w:rPr>
          <w:rFonts w:ascii="Times New Roman" w:hAnsi="Times New Roman" w:cs="Times New Roman"/>
          <w:lang w:val="en-US"/>
        </w:rPr>
      </w:pPr>
    </w:p>
    <w:p w14:paraId="34CB1411"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SPARKS, T. C.; </w:t>
      </w:r>
      <w:proofErr w:type="spellStart"/>
      <w:r w:rsidRPr="000139D9">
        <w:rPr>
          <w:rFonts w:ascii="Times New Roman" w:hAnsi="Times New Roman" w:cs="Times New Roman"/>
          <w:lang w:val="en-US"/>
        </w:rPr>
        <w:t>LORSBACH</w:t>
      </w:r>
      <w:proofErr w:type="spellEnd"/>
      <w:r w:rsidRPr="000139D9">
        <w:rPr>
          <w:rFonts w:ascii="Times New Roman" w:hAnsi="Times New Roman" w:cs="Times New Roman"/>
          <w:lang w:val="en-US"/>
        </w:rPr>
        <w:t xml:space="preserve">, B. A. Perspectives on the agrochemical industry and agrochemical discovery. </w:t>
      </w:r>
      <w:r w:rsidRPr="000139D9">
        <w:rPr>
          <w:rFonts w:ascii="Times New Roman" w:hAnsi="Times New Roman" w:cs="Times New Roman"/>
          <w:i/>
          <w:iCs/>
          <w:lang w:val="en-US"/>
        </w:rPr>
        <w:t>Pest Management Science</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73, n. 4, p. 672-677, April 2017.</w:t>
      </w:r>
    </w:p>
    <w:p w14:paraId="3733B3DB" w14:textId="77777777" w:rsidR="005F519D" w:rsidRPr="000139D9" w:rsidRDefault="005F519D" w:rsidP="005F519D">
      <w:pPr>
        <w:pStyle w:val="LISTADEREFERNCIASXIXENANPUR"/>
        <w:spacing w:after="0"/>
        <w:rPr>
          <w:rFonts w:ascii="Times New Roman" w:hAnsi="Times New Roman" w:cs="Times New Roman"/>
          <w:lang w:val="en-US"/>
        </w:rPr>
      </w:pPr>
    </w:p>
    <w:p w14:paraId="638F954B" w14:textId="77777777" w:rsidR="005F519D" w:rsidRPr="000139D9" w:rsidRDefault="005F519D" w:rsidP="005F519D">
      <w:pPr>
        <w:pStyle w:val="LISTADEREFERNCIASXIXENANPUR"/>
        <w:spacing w:after="0"/>
        <w:rPr>
          <w:rFonts w:ascii="Times New Roman" w:hAnsi="Times New Roman" w:cs="Times New Roman"/>
          <w:lang w:val="en-US"/>
        </w:rPr>
      </w:pPr>
      <w:proofErr w:type="spellStart"/>
      <w:r w:rsidRPr="000139D9">
        <w:rPr>
          <w:rFonts w:ascii="Times New Roman" w:hAnsi="Times New Roman" w:cs="Times New Roman"/>
          <w:lang w:val="en-US"/>
        </w:rPr>
        <w:t>STOCKHAMMER</w:t>
      </w:r>
      <w:proofErr w:type="spellEnd"/>
      <w:r w:rsidRPr="000139D9">
        <w:rPr>
          <w:rFonts w:ascii="Times New Roman" w:hAnsi="Times New Roman" w:cs="Times New Roman"/>
          <w:lang w:val="en-US"/>
        </w:rPr>
        <w:t xml:space="preserve">, E. Shareholder value orientation and the investment-profit puzzle. </w:t>
      </w:r>
      <w:r w:rsidRPr="000139D9">
        <w:rPr>
          <w:rFonts w:ascii="Times New Roman" w:hAnsi="Times New Roman" w:cs="Times New Roman"/>
          <w:i/>
          <w:iCs/>
          <w:lang w:val="en-US"/>
        </w:rPr>
        <w:t>Journal of Post Keynesian Economics</w:t>
      </w:r>
      <w:r w:rsidRPr="000139D9">
        <w:rPr>
          <w:rFonts w:ascii="Times New Roman" w:hAnsi="Times New Roman" w:cs="Times New Roman"/>
          <w:lang w:val="en-US"/>
        </w:rPr>
        <w:t>, v. 28, n. 2, p. 193-215, 2005.</w:t>
      </w:r>
    </w:p>
    <w:p w14:paraId="5587AD00" w14:textId="77777777" w:rsidR="005F519D" w:rsidRPr="000139D9" w:rsidRDefault="005F519D" w:rsidP="005F519D">
      <w:pPr>
        <w:pStyle w:val="LISTADEREFERNCIASXIXENANPUR"/>
        <w:spacing w:after="0"/>
        <w:rPr>
          <w:rFonts w:ascii="Times New Roman" w:hAnsi="Times New Roman" w:cs="Times New Roman"/>
          <w:lang w:val="en-US"/>
        </w:rPr>
      </w:pPr>
    </w:p>
    <w:p w14:paraId="40572301" w14:textId="3595A655" w:rsidR="005F519D" w:rsidRPr="000139D9" w:rsidRDefault="005F519D" w:rsidP="005F519D">
      <w:pPr>
        <w:pStyle w:val="LISTADEREFERNCIASXIXENANPUR"/>
        <w:spacing w:after="0"/>
        <w:rPr>
          <w:rFonts w:ascii="Times New Roman" w:hAnsi="Times New Roman" w:cs="Times New Roman"/>
        </w:rPr>
      </w:pPr>
      <w:proofErr w:type="spellStart"/>
      <w:r w:rsidRPr="000139D9">
        <w:rPr>
          <w:rFonts w:ascii="Times New Roman" w:hAnsi="Times New Roman" w:cs="Times New Roman"/>
          <w:lang w:val="en-US"/>
        </w:rPr>
        <w:t>TSOLOMYTI</w:t>
      </w:r>
      <w:proofErr w:type="spellEnd"/>
      <w:r w:rsidRPr="000139D9">
        <w:rPr>
          <w:rFonts w:ascii="Times New Roman" w:hAnsi="Times New Roman" w:cs="Times New Roman"/>
          <w:lang w:val="en-US"/>
        </w:rPr>
        <w:t xml:space="preserve">, G.; </w:t>
      </w:r>
      <w:proofErr w:type="spellStart"/>
      <w:r w:rsidRPr="000139D9">
        <w:rPr>
          <w:rFonts w:ascii="Times New Roman" w:hAnsi="Times New Roman" w:cs="Times New Roman"/>
          <w:lang w:val="en-US"/>
        </w:rPr>
        <w:t>MAGOUTAS</w:t>
      </w:r>
      <w:proofErr w:type="spellEnd"/>
      <w:r w:rsidRPr="000139D9">
        <w:rPr>
          <w:rFonts w:ascii="Times New Roman" w:hAnsi="Times New Roman" w:cs="Times New Roman"/>
          <w:lang w:val="en-US"/>
        </w:rPr>
        <w:t xml:space="preserve">, A.; </w:t>
      </w:r>
      <w:proofErr w:type="spellStart"/>
      <w:r w:rsidRPr="000139D9">
        <w:rPr>
          <w:rFonts w:ascii="Times New Roman" w:hAnsi="Times New Roman" w:cs="Times New Roman"/>
          <w:lang w:val="en-US"/>
        </w:rPr>
        <w:t>TSOULFAS</w:t>
      </w:r>
      <w:proofErr w:type="spellEnd"/>
      <w:r w:rsidRPr="000139D9">
        <w:rPr>
          <w:rFonts w:ascii="Times New Roman" w:hAnsi="Times New Roman" w:cs="Times New Roman"/>
          <w:lang w:val="en-US"/>
        </w:rPr>
        <w:t xml:space="preserve">, G. T. Global corporate concentration in pesticides: agrochemicals industry. </w:t>
      </w:r>
      <w:r w:rsidRPr="000139D9">
        <w:rPr>
          <w:rFonts w:ascii="Times New Roman" w:hAnsi="Times New Roman" w:cs="Times New Roman"/>
          <w:lang w:val="es-419"/>
        </w:rPr>
        <w:t xml:space="preserve">In: </w:t>
      </w:r>
      <w:proofErr w:type="spellStart"/>
      <w:r w:rsidRPr="000139D9">
        <w:rPr>
          <w:rFonts w:ascii="Times New Roman" w:hAnsi="Times New Roman" w:cs="Times New Roman"/>
          <w:lang w:val="es-419"/>
        </w:rPr>
        <w:t>SAKAS</w:t>
      </w:r>
      <w:proofErr w:type="spellEnd"/>
      <w:r w:rsidRPr="000139D9">
        <w:rPr>
          <w:rFonts w:ascii="Times New Roman" w:hAnsi="Times New Roman" w:cs="Times New Roman"/>
          <w:lang w:val="es-419"/>
        </w:rPr>
        <w:t xml:space="preserve">, D. P.; </w:t>
      </w:r>
      <w:proofErr w:type="spellStart"/>
      <w:r w:rsidRPr="000139D9">
        <w:rPr>
          <w:rFonts w:ascii="Times New Roman" w:hAnsi="Times New Roman" w:cs="Times New Roman"/>
          <w:lang w:val="es-419"/>
        </w:rPr>
        <w:t>NASIOPOULOS</w:t>
      </w:r>
      <w:proofErr w:type="spellEnd"/>
      <w:r w:rsidRPr="000139D9">
        <w:rPr>
          <w:rFonts w:ascii="Times New Roman" w:hAnsi="Times New Roman" w:cs="Times New Roman"/>
          <w:lang w:val="es-419"/>
        </w:rPr>
        <w:t xml:space="preserve">, D. K.; </w:t>
      </w:r>
      <w:proofErr w:type="spellStart"/>
      <w:r w:rsidRPr="000139D9">
        <w:rPr>
          <w:rFonts w:ascii="Times New Roman" w:hAnsi="Times New Roman" w:cs="Times New Roman"/>
          <w:lang w:val="es-419"/>
        </w:rPr>
        <w:t>TARATUHINA</w:t>
      </w:r>
      <w:proofErr w:type="spellEnd"/>
      <w:r w:rsidRPr="000139D9">
        <w:rPr>
          <w:rFonts w:ascii="Times New Roman" w:hAnsi="Times New Roman" w:cs="Times New Roman"/>
          <w:lang w:val="es-419"/>
        </w:rPr>
        <w:t xml:space="preserve"> Y (Ed.). </w:t>
      </w:r>
      <w:r w:rsidRPr="000139D9">
        <w:rPr>
          <w:rFonts w:ascii="Times New Roman" w:hAnsi="Times New Roman" w:cs="Times New Roman"/>
          <w:i/>
          <w:iCs/>
        </w:rPr>
        <w:t xml:space="preserve">Business </w:t>
      </w:r>
      <w:proofErr w:type="spellStart"/>
      <w:r w:rsidRPr="000139D9">
        <w:rPr>
          <w:rFonts w:ascii="Times New Roman" w:hAnsi="Times New Roman" w:cs="Times New Roman"/>
          <w:i/>
          <w:iCs/>
        </w:rPr>
        <w:t>intelligence</w:t>
      </w:r>
      <w:proofErr w:type="spellEnd"/>
      <w:r w:rsidRPr="000139D9">
        <w:rPr>
          <w:rFonts w:ascii="Times New Roman" w:hAnsi="Times New Roman" w:cs="Times New Roman"/>
          <w:i/>
          <w:iCs/>
        </w:rPr>
        <w:t xml:space="preserve"> </w:t>
      </w:r>
      <w:proofErr w:type="spellStart"/>
      <w:r w:rsidRPr="000139D9">
        <w:rPr>
          <w:rFonts w:ascii="Times New Roman" w:hAnsi="Times New Roman" w:cs="Times New Roman"/>
          <w:i/>
          <w:iCs/>
        </w:rPr>
        <w:t>and</w:t>
      </w:r>
      <w:proofErr w:type="spellEnd"/>
      <w:r w:rsidRPr="000139D9">
        <w:rPr>
          <w:rFonts w:ascii="Times New Roman" w:hAnsi="Times New Roman" w:cs="Times New Roman"/>
          <w:i/>
          <w:iCs/>
        </w:rPr>
        <w:t xml:space="preserve"> </w:t>
      </w:r>
      <w:proofErr w:type="spellStart"/>
      <w:r w:rsidRPr="000139D9">
        <w:rPr>
          <w:rFonts w:ascii="Times New Roman" w:hAnsi="Times New Roman" w:cs="Times New Roman"/>
          <w:i/>
          <w:iCs/>
        </w:rPr>
        <w:t>modelling</w:t>
      </w:r>
      <w:proofErr w:type="spellEnd"/>
      <w:r w:rsidRPr="000139D9">
        <w:rPr>
          <w:rFonts w:ascii="Times New Roman" w:hAnsi="Times New Roman" w:cs="Times New Roman"/>
        </w:rPr>
        <w:t xml:space="preserve">. Springer, 2021. p. 289-297. </w:t>
      </w:r>
    </w:p>
    <w:p w14:paraId="5104CE0A" w14:textId="77777777" w:rsidR="005F519D" w:rsidRPr="000139D9" w:rsidRDefault="005F519D" w:rsidP="005F519D">
      <w:pPr>
        <w:pStyle w:val="LISTADEREFERNCIASXIXENANPUR"/>
        <w:spacing w:after="0"/>
        <w:rPr>
          <w:rFonts w:ascii="Times New Roman" w:hAnsi="Times New Roman" w:cs="Times New Roman"/>
        </w:rPr>
      </w:pPr>
    </w:p>
    <w:p w14:paraId="34036A69" w14:textId="77777777" w:rsidR="005F519D" w:rsidRPr="000139D9" w:rsidRDefault="005F519D" w:rsidP="005F519D">
      <w:pPr>
        <w:pStyle w:val="LISTADEREFERNCIASXIXENANPUR"/>
        <w:spacing w:after="0"/>
        <w:rPr>
          <w:rFonts w:ascii="Times New Roman" w:hAnsi="Times New Roman" w:cs="Times New Roman"/>
        </w:rPr>
      </w:pPr>
      <w:r w:rsidRPr="000139D9">
        <w:rPr>
          <w:rFonts w:ascii="Times New Roman" w:hAnsi="Times New Roman" w:cs="Times New Roman"/>
        </w:rPr>
        <w:t xml:space="preserve">VALE. </w:t>
      </w:r>
      <w:proofErr w:type="spellStart"/>
      <w:r w:rsidRPr="000139D9">
        <w:rPr>
          <w:rFonts w:ascii="Times New Roman" w:hAnsi="Times New Roman" w:cs="Times New Roman"/>
        </w:rPr>
        <w:t>Form</w:t>
      </w:r>
      <w:proofErr w:type="spellEnd"/>
      <w:r w:rsidRPr="000139D9">
        <w:rPr>
          <w:rFonts w:ascii="Times New Roman" w:hAnsi="Times New Roman" w:cs="Times New Roman"/>
        </w:rPr>
        <w:t xml:space="preserve"> 20-F 2010. Rio de Janeiro: Vale, 2011. Disponível em http://www.vale.com/EN/investors/information-market/annual-reports/20f/20FDocs/20F_2010_i.pdf. Acesso em: 4 jan. 2022.</w:t>
      </w:r>
    </w:p>
    <w:p w14:paraId="406124D5" w14:textId="77777777" w:rsidR="005F519D" w:rsidRPr="000139D9" w:rsidRDefault="005F519D" w:rsidP="005F519D">
      <w:pPr>
        <w:pStyle w:val="LISTADEREFERNCIASXIXENANPUR"/>
        <w:spacing w:after="0"/>
        <w:rPr>
          <w:rFonts w:ascii="Times New Roman" w:hAnsi="Times New Roman" w:cs="Times New Roman"/>
        </w:rPr>
      </w:pPr>
    </w:p>
    <w:p w14:paraId="335AB135" w14:textId="77777777" w:rsidR="005F519D" w:rsidRPr="000139D9" w:rsidRDefault="005F519D" w:rsidP="005F519D">
      <w:pPr>
        <w:spacing w:after="0" w:line="240" w:lineRule="auto"/>
        <w:rPr>
          <w:rFonts w:ascii="Times New Roman" w:hAnsi="Times New Roman" w:cs="Times New Roman"/>
          <w:sz w:val="24"/>
          <w:szCs w:val="24"/>
          <w:lang w:val="en-US"/>
        </w:rPr>
      </w:pPr>
      <w:r w:rsidRPr="000139D9">
        <w:rPr>
          <w:rFonts w:ascii="Times New Roman" w:hAnsi="Times New Roman" w:cs="Times New Roman"/>
          <w:sz w:val="24"/>
          <w:szCs w:val="24"/>
        </w:rPr>
        <w:t xml:space="preserve">VALE. </w:t>
      </w:r>
      <w:proofErr w:type="spellStart"/>
      <w:r w:rsidRPr="000139D9">
        <w:rPr>
          <w:rFonts w:ascii="Times New Roman" w:hAnsi="Times New Roman" w:cs="Times New Roman"/>
          <w:sz w:val="24"/>
          <w:szCs w:val="24"/>
        </w:rPr>
        <w:t>Form</w:t>
      </w:r>
      <w:proofErr w:type="spellEnd"/>
      <w:r w:rsidRPr="000139D9">
        <w:rPr>
          <w:rFonts w:ascii="Times New Roman" w:hAnsi="Times New Roman" w:cs="Times New Roman"/>
          <w:sz w:val="24"/>
          <w:szCs w:val="24"/>
        </w:rPr>
        <w:t xml:space="preserve"> 20-F 2020. Rio de Janeiro: Vale, </w:t>
      </w:r>
      <w:proofErr w:type="spellStart"/>
      <w:r w:rsidRPr="000139D9">
        <w:rPr>
          <w:rFonts w:ascii="Times New Roman" w:hAnsi="Times New Roman" w:cs="Times New Roman"/>
          <w:sz w:val="24"/>
          <w:szCs w:val="24"/>
        </w:rPr>
        <w:t>March</w:t>
      </w:r>
      <w:proofErr w:type="spellEnd"/>
      <w:r w:rsidRPr="000139D9">
        <w:rPr>
          <w:rFonts w:ascii="Times New Roman" w:hAnsi="Times New Roman" w:cs="Times New Roman"/>
          <w:sz w:val="24"/>
          <w:szCs w:val="24"/>
        </w:rPr>
        <w:t xml:space="preserve"> 23, 2021. https://api.mziq.com/mzfilemanager/v2/d/53207d1c-63b4-48f1-96b7-19869fae19fe/348c0de9-5017-4a98-a9b7-4ba755a91f51?origin=1. </w:t>
      </w:r>
      <w:proofErr w:type="spellStart"/>
      <w:r w:rsidRPr="000139D9">
        <w:rPr>
          <w:rFonts w:ascii="Times New Roman" w:hAnsi="Times New Roman" w:cs="Times New Roman"/>
          <w:sz w:val="24"/>
          <w:szCs w:val="24"/>
          <w:lang w:val="en-US"/>
        </w:rPr>
        <w:t>Acesso</w:t>
      </w:r>
      <w:proofErr w:type="spellEnd"/>
      <w:r w:rsidRPr="000139D9">
        <w:rPr>
          <w:rFonts w:ascii="Times New Roman" w:hAnsi="Times New Roman" w:cs="Times New Roman"/>
          <w:sz w:val="24"/>
          <w:szCs w:val="24"/>
          <w:lang w:val="en-US"/>
        </w:rPr>
        <w:t xml:space="preserve"> </w:t>
      </w:r>
      <w:proofErr w:type="spellStart"/>
      <w:r w:rsidRPr="000139D9">
        <w:rPr>
          <w:rFonts w:ascii="Times New Roman" w:hAnsi="Times New Roman" w:cs="Times New Roman"/>
          <w:sz w:val="24"/>
          <w:szCs w:val="24"/>
          <w:lang w:val="en-US"/>
        </w:rPr>
        <w:t>em</w:t>
      </w:r>
      <w:proofErr w:type="spellEnd"/>
      <w:r w:rsidRPr="000139D9">
        <w:rPr>
          <w:rFonts w:ascii="Times New Roman" w:hAnsi="Times New Roman" w:cs="Times New Roman"/>
          <w:sz w:val="24"/>
          <w:szCs w:val="24"/>
          <w:lang w:val="en-US"/>
        </w:rPr>
        <w:t xml:space="preserve">: 4 </w:t>
      </w:r>
      <w:proofErr w:type="spellStart"/>
      <w:r w:rsidRPr="000139D9">
        <w:rPr>
          <w:rFonts w:ascii="Times New Roman" w:hAnsi="Times New Roman" w:cs="Times New Roman"/>
          <w:sz w:val="24"/>
          <w:szCs w:val="24"/>
          <w:lang w:val="en-US"/>
        </w:rPr>
        <w:t>jan.</w:t>
      </w:r>
      <w:proofErr w:type="spellEnd"/>
      <w:r w:rsidRPr="000139D9">
        <w:rPr>
          <w:rFonts w:ascii="Times New Roman" w:hAnsi="Times New Roman" w:cs="Times New Roman"/>
          <w:sz w:val="24"/>
          <w:szCs w:val="24"/>
          <w:lang w:val="en-US"/>
        </w:rPr>
        <w:t xml:space="preserve"> 2022.</w:t>
      </w:r>
    </w:p>
    <w:p w14:paraId="69CED8FE" w14:textId="77777777" w:rsidR="005F519D" w:rsidRPr="000139D9" w:rsidRDefault="005F519D" w:rsidP="005F519D">
      <w:pPr>
        <w:spacing w:after="0" w:line="240" w:lineRule="auto"/>
        <w:rPr>
          <w:rFonts w:ascii="Times New Roman" w:hAnsi="Times New Roman" w:cs="Times New Roman"/>
          <w:sz w:val="24"/>
          <w:szCs w:val="24"/>
          <w:lang w:val="en-US"/>
        </w:rPr>
      </w:pPr>
    </w:p>
    <w:p w14:paraId="1C4E9871"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VAN ARK, H. H.; BROERSMA L.; DEN </w:t>
      </w:r>
      <w:proofErr w:type="spellStart"/>
      <w:r w:rsidRPr="000139D9">
        <w:rPr>
          <w:rFonts w:ascii="Times New Roman" w:hAnsi="Times New Roman" w:cs="Times New Roman"/>
          <w:lang w:val="en-US"/>
        </w:rPr>
        <w:t>HERTOG</w:t>
      </w:r>
      <w:proofErr w:type="spellEnd"/>
      <w:r w:rsidRPr="000139D9">
        <w:rPr>
          <w:rFonts w:ascii="Times New Roman" w:hAnsi="Times New Roman" w:cs="Times New Roman"/>
          <w:lang w:val="en-US"/>
        </w:rPr>
        <w:t xml:space="preserve"> P. Services innovation, </w:t>
      </w:r>
      <w:proofErr w:type="gramStart"/>
      <w:r w:rsidRPr="000139D9">
        <w:rPr>
          <w:rFonts w:ascii="Times New Roman" w:hAnsi="Times New Roman" w:cs="Times New Roman"/>
          <w:lang w:val="en-US"/>
        </w:rPr>
        <w:t>performance</w:t>
      </w:r>
      <w:proofErr w:type="gramEnd"/>
      <w:r w:rsidRPr="000139D9">
        <w:rPr>
          <w:rFonts w:ascii="Times New Roman" w:hAnsi="Times New Roman" w:cs="Times New Roman"/>
          <w:lang w:val="en-US"/>
        </w:rPr>
        <w:t xml:space="preserve"> and policy: a review, synthesis report in the framework of the project structural information provision on innovation in services</w:t>
      </w:r>
      <w:r w:rsidRPr="000139D9">
        <w:rPr>
          <w:rFonts w:ascii="Times New Roman" w:hAnsi="Times New Roman" w:cs="Times New Roman"/>
          <w:caps/>
          <w:lang w:val="en-US"/>
        </w:rPr>
        <w:t>.</w:t>
      </w:r>
      <w:r w:rsidRPr="000139D9">
        <w:rPr>
          <w:rFonts w:ascii="Times New Roman" w:hAnsi="Times New Roman" w:cs="Times New Roman"/>
          <w:lang w:val="en-US"/>
        </w:rPr>
        <w:t xml:space="preserve"> DEN HAAG: Strategy, Research &amp; International Co-operation Department Directorate-General for Innovation, 2003. </w:t>
      </w:r>
    </w:p>
    <w:p w14:paraId="3F676B67" w14:textId="77777777" w:rsidR="005F519D" w:rsidRPr="000139D9" w:rsidRDefault="005F519D" w:rsidP="005F519D">
      <w:pPr>
        <w:pStyle w:val="LISTADEREFERNCIASXIXENANPUR"/>
        <w:spacing w:after="0"/>
        <w:rPr>
          <w:rFonts w:ascii="Times New Roman" w:hAnsi="Times New Roman" w:cs="Times New Roman"/>
          <w:lang w:val="en-US"/>
        </w:rPr>
      </w:pPr>
    </w:p>
    <w:p w14:paraId="7BB8BA6A" w14:textId="77777777" w:rsidR="005F519D" w:rsidRPr="000139D9" w:rsidRDefault="005F519D" w:rsidP="005F519D">
      <w:pPr>
        <w:pStyle w:val="LISTADEREFERNCIASXIXENANPUR"/>
        <w:spacing w:after="0"/>
        <w:rPr>
          <w:rFonts w:ascii="Times New Roman" w:hAnsi="Times New Roman" w:cs="Times New Roman"/>
          <w:lang w:val="en-US"/>
        </w:rPr>
      </w:pPr>
      <w:r w:rsidRPr="000139D9">
        <w:rPr>
          <w:rFonts w:ascii="Times New Roman" w:hAnsi="Times New Roman" w:cs="Times New Roman"/>
          <w:lang w:val="en-US"/>
        </w:rPr>
        <w:t xml:space="preserve">VOGEL, G. Where have all the insects gone? </w:t>
      </w:r>
      <w:r w:rsidRPr="000139D9">
        <w:rPr>
          <w:rFonts w:ascii="Times New Roman" w:hAnsi="Times New Roman" w:cs="Times New Roman"/>
          <w:i/>
          <w:iCs/>
          <w:lang w:val="en-US"/>
        </w:rPr>
        <w:t>Science</w:t>
      </w:r>
      <w:r w:rsidRPr="000139D9">
        <w:rPr>
          <w:rFonts w:ascii="Times New Roman" w:hAnsi="Times New Roman" w:cs="Times New Roman"/>
          <w:lang w:val="en-US"/>
        </w:rPr>
        <w:t>, [</w:t>
      </w:r>
      <w:proofErr w:type="spellStart"/>
      <w:r w:rsidRPr="000139D9">
        <w:rPr>
          <w:rFonts w:ascii="Times New Roman" w:hAnsi="Times New Roman" w:cs="Times New Roman"/>
          <w:lang w:val="en-US"/>
        </w:rPr>
        <w:t>s.l.</w:t>
      </w:r>
      <w:proofErr w:type="spellEnd"/>
      <w:r w:rsidRPr="000139D9">
        <w:rPr>
          <w:rFonts w:ascii="Times New Roman" w:hAnsi="Times New Roman" w:cs="Times New Roman"/>
          <w:lang w:val="en-US"/>
        </w:rPr>
        <w:t>], v. 356, n. 6338, p. 576-579, May 2017.</w:t>
      </w:r>
    </w:p>
    <w:sectPr w:rsidR="005F519D" w:rsidRPr="000139D9">
      <w:headerReference w:type="default" r:id="rId14"/>
      <w:footerReference w:type="default" r:id="rId15"/>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548C1C" w14:textId="77777777" w:rsidR="006E79D8" w:rsidRDefault="006E79D8">
      <w:pPr>
        <w:spacing w:line="240" w:lineRule="auto"/>
      </w:pPr>
      <w:r>
        <w:separator/>
      </w:r>
    </w:p>
  </w:endnote>
  <w:endnote w:type="continuationSeparator" w:id="0">
    <w:p w14:paraId="458EC8C5" w14:textId="77777777" w:rsidR="006E79D8" w:rsidRDefault="006E79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C2B69" w14:textId="77777777" w:rsidR="00C66543" w:rsidRDefault="00C93029">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755E7ED1" wp14:editId="453406AB">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AE8028" id="Conector Reto 3" o:spid="_x0000_s1026" style="position:absolute;z-index:-251655168;visibility:visible;mso-wrap-style:square;mso-wrap-distance-left:9pt;mso-wrap-distance-top:0;mso-wrap-distance-right:9pt;mso-wrap-distance-bottom:0;mso-position-horizontal:absolute;mso-position-horizontal-relative:margin;mso-position-vertical:absolute;mso-position-vertical-relative:text" from="-43.15pt,12pt" to="469.1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" strokecolor="#00b050" strokeweight=".5pt">
              <v:stroke joinstyle="miter"/>
              <w10:wrap anchorx="margin"/>
            </v:line>
          </w:pict>
        </mc:Fallback>
      </mc:AlternateContent>
    </w:r>
  </w:p>
  <w:p w14:paraId="31BA5701" w14:textId="77777777" w:rsidR="00C66543" w:rsidRDefault="00C66543">
    <w:pPr>
      <w:pStyle w:val="Rodap"/>
      <w:jc w:val="both"/>
      <w:rPr>
        <w:rFonts w:ascii="Times New Roman" w:hAnsi="Times New Roman" w:cs="Times New Roman"/>
        <w:sz w:val="20"/>
        <w:szCs w:val="20"/>
      </w:rPr>
    </w:pPr>
  </w:p>
  <w:p w14:paraId="54A87E94" w14:textId="77777777" w:rsidR="00C66543" w:rsidRDefault="00C93029">
    <w:pPr>
      <w:pStyle w:val="Rodap"/>
      <w:jc w:val="both"/>
      <w:rPr>
        <w:rFonts w:ascii="Times New Roman" w:hAnsi="Times New Roman" w:cs="Times New Roman"/>
        <w:sz w:val="20"/>
        <w:szCs w:val="20"/>
      </w:rPr>
    </w:pPr>
    <w:r>
      <w:rPr>
        <w:rFonts w:ascii="Times New Roman" w:hAnsi="Times New Roman" w:cs="Times New Roman"/>
        <w:sz w:val="20"/>
        <w:szCs w:val="20"/>
      </w:rPr>
      <w:t xml:space="preserve">VI </w:t>
    </w:r>
    <w:proofErr w:type="spellStart"/>
    <w:r>
      <w:rPr>
        <w:rFonts w:ascii="Times New Roman" w:hAnsi="Times New Roman" w:cs="Times New Roman"/>
        <w:sz w:val="20"/>
        <w:szCs w:val="20"/>
      </w:rPr>
      <w:t>SEDRES</w:t>
    </w:r>
    <w:proofErr w:type="spellEnd"/>
    <w:r>
      <w:rPr>
        <w:rFonts w:ascii="Times New Roman" w:hAnsi="Times New Roman" w:cs="Times New Roman"/>
        <w:sz w:val="20"/>
        <w:szCs w:val="20"/>
      </w:rPr>
      <w:t xml:space="preserve">.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5F0CDCF7" w14:textId="77777777" w:rsidR="00C66543" w:rsidRDefault="00C66543">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7AB5B" w14:textId="77777777" w:rsidR="006E79D8" w:rsidRDefault="006E79D8">
      <w:pPr>
        <w:spacing w:after="0"/>
      </w:pPr>
      <w:r>
        <w:separator/>
      </w:r>
    </w:p>
  </w:footnote>
  <w:footnote w:type="continuationSeparator" w:id="0">
    <w:p w14:paraId="16B933A5" w14:textId="77777777" w:rsidR="006E79D8" w:rsidRDefault="006E79D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EB35" w14:textId="77777777" w:rsidR="00C66543" w:rsidRDefault="00C93029">
    <w:pPr>
      <w:pStyle w:val="Cabealho"/>
      <w:jc w:val="center"/>
    </w:pPr>
    <w:r>
      <w:rPr>
        <w:noProof/>
      </w:rPr>
      <mc:AlternateContent>
        <mc:Choice Requires="wps">
          <w:drawing>
            <wp:anchor distT="0" distB="0" distL="114300" distR="114300" simplePos="0" relativeHeight="251660288" behindDoc="1" locked="0" layoutInCell="1" allowOverlap="1" wp14:anchorId="10EB9133" wp14:editId="382DFDE3">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7C935E" id="Conector Reto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39pt,76.45pt" to="473.2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" strokecolor="#00b050" strokeweight=".5pt">
              <v:stroke joinstyle="miter"/>
            </v:line>
          </w:pict>
        </mc:Fallback>
      </mc:AlternateContent>
    </w:r>
    <w:r>
      <w:rPr>
        <w:noProof/>
      </w:rPr>
      <mc:AlternateContent>
        <mc:Choice Requires="wps">
          <w:drawing>
            <wp:inline distT="0" distB="0" distL="0" distR="0" wp14:anchorId="5771B552" wp14:editId="4045EC0C">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34A8498" id="Retâ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t xml:space="preserve"> </w:t>
    </w:r>
    <w:r>
      <w:rPr>
        <w:noProof/>
      </w:rPr>
      <w:drawing>
        <wp:inline distT="0" distB="0" distL="0" distR="0" wp14:anchorId="557D595B" wp14:editId="44D9DF76">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75840B98" w14:textId="77777777" w:rsidR="00C66543" w:rsidRDefault="00C66543">
    <w:pPr>
      <w:pStyle w:val="Cabealho"/>
      <w:jc w:val="center"/>
    </w:pPr>
  </w:p>
  <w:p w14:paraId="65BDC106" w14:textId="77777777" w:rsidR="00C66543" w:rsidRDefault="00C66543">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30E7"/>
    <w:multiLevelType w:val="hybridMultilevel"/>
    <w:tmpl w:val="AB8EF090"/>
    <w:lvl w:ilvl="0" w:tplc="B88C4F4C">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16cid:durableId="1784958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5736"/>
    <w:rsid w:val="000139D9"/>
    <w:rsid w:val="00036C01"/>
    <w:rsid w:val="000545BE"/>
    <w:rsid w:val="00055162"/>
    <w:rsid w:val="000640C2"/>
    <w:rsid w:val="00077615"/>
    <w:rsid w:val="00077FF0"/>
    <w:rsid w:val="000A7784"/>
    <w:rsid w:val="000F2C33"/>
    <w:rsid w:val="001040A8"/>
    <w:rsid w:val="00124034"/>
    <w:rsid w:val="0017619A"/>
    <w:rsid w:val="00193A62"/>
    <w:rsid w:val="00206A92"/>
    <w:rsid w:val="0023270F"/>
    <w:rsid w:val="00241841"/>
    <w:rsid w:val="00241FC6"/>
    <w:rsid w:val="00255C43"/>
    <w:rsid w:val="002D100D"/>
    <w:rsid w:val="00331413"/>
    <w:rsid w:val="003371B2"/>
    <w:rsid w:val="0038066E"/>
    <w:rsid w:val="003861E8"/>
    <w:rsid w:val="00417D9E"/>
    <w:rsid w:val="004646B9"/>
    <w:rsid w:val="00487EA3"/>
    <w:rsid w:val="004D292A"/>
    <w:rsid w:val="00507F7E"/>
    <w:rsid w:val="00510F45"/>
    <w:rsid w:val="00552D8D"/>
    <w:rsid w:val="005551F4"/>
    <w:rsid w:val="00580437"/>
    <w:rsid w:val="00586B80"/>
    <w:rsid w:val="005F11D9"/>
    <w:rsid w:val="005F519D"/>
    <w:rsid w:val="006070A5"/>
    <w:rsid w:val="00617127"/>
    <w:rsid w:val="006746C3"/>
    <w:rsid w:val="006E79D8"/>
    <w:rsid w:val="00730965"/>
    <w:rsid w:val="0076053F"/>
    <w:rsid w:val="007776DC"/>
    <w:rsid w:val="00780B62"/>
    <w:rsid w:val="007A3A8D"/>
    <w:rsid w:val="007C2178"/>
    <w:rsid w:val="007C3EAC"/>
    <w:rsid w:val="007E2B6E"/>
    <w:rsid w:val="007E705E"/>
    <w:rsid w:val="008028F4"/>
    <w:rsid w:val="0085799B"/>
    <w:rsid w:val="008740CF"/>
    <w:rsid w:val="008E3E10"/>
    <w:rsid w:val="00902ADA"/>
    <w:rsid w:val="00961A7E"/>
    <w:rsid w:val="009822E2"/>
    <w:rsid w:val="009A79FB"/>
    <w:rsid w:val="009B5558"/>
    <w:rsid w:val="009F167A"/>
    <w:rsid w:val="00A12BDF"/>
    <w:rsid w:val="00A97C3D"/>
    <w:rsid w:val="00AF06B8"/>
    <w:rsid w:val="00AF593E"/>
    <w:rsid w:val="00B44464"/>
    <w:rsid w:val="00B942F0"/>
    <w:rsid w:val="00B94E66"/>
    <w:rsid w:val="00BA4CA4"/>
    <w:rsid w:val="00BC4390"/>
    <w:rsid w:val="00BC6D50"/>
    <w:rsid w:val="00C1083C"/>
    <w:rsid w:val="00C66543"/>
    <w:rsid w:val="00C74F03"/>
    <w:rsid w:val="00C87F92"/>
    <w:rsid w:val="00C93029"/>
    <w:rsid w:val="00CD1FF6"/>
    <w:rsid w:val="00CF12AB"/>
    <w:rsid w:val="00D866DE"/>
    <w:rsid w:val="00D94B55"/>
    <w:rsid w:val="00DE7DD6"/>
    <w:rsid w:val="00DF4B58"/>
    <w:rsid w:val="00E0508F"/>
    <w:rsid w:val="00E051A3"/>
    <w:rsid w:val="00E164B5"/>
    <w:rsid w:val="00E234F7"/>
    <w:rsid w:val="00E50039"/>
    <w:rsid w:val="00F01DB6"/>
    <w:rsid w:val="00F170BB"/>
    <w:rsid w:val="00F26DB7"/>
    <w:rsid w:val="00F64B24"/>
    <w:rsid w:val="00FC4F7E"/>
    <w:rsid w:val="00FE2500"/>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A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2">
    <w:name w:val="heading 2"/>
    <w:next w:val="Normal"/>
    <w:link w:val="Ttulo2Char"/>
    <w:uiPriority w:val="9"/>
    <w:unhideWhenUsed/>
    <w:qFormat/>
    <w:rsid w:val="007E705E"/>
    <w:pPr>
      <w:spacing w:after="640" w:line="312" w:lineRule="auto"/>
      <w:contextualSpacing/>
      <w:outlineLvl w:val="1"/>
    </w:pPr>
    <w:rPr>
      <w:rFonts w:ascii="Georgia" w:hAnsi="Georgia"/>
      <w:caps/>
      <w:spacing w:val="10"/>
      <w:sz w:val="28"/>
      <w:szCs w:val="28"/>
      <w:lang w:eastAsia="en-US"/>
    </w:rPr>
  </w:style>
  <w:style w:type="paragraph" w:styleId="Ttulo3">
    <w:name w:val="heading 3"/>
    <w:basedOn w:val="Normal"/>
    <w:next w:val="Normal"/>
    <w:link w:val="Ttulo3Char"/>
    <w:uiPriority w:val="9"/>
    <w:unhideWhenUsed/>
    <w:qFormat/>
    <w:rsid w:val="007E705E"/>
    <w:pPr>
      <w:keepNext/>
      <w:spacing w:before="400" w:after="240" w:line="276" w:lineRule="auto"/>
      <w:outlineLvl w:val="2"/>
    </w:pPr>
    <w:rPr>
      <w:rFonts w:ascii="Georgia" w:hAnsi="Georgia"/>
      <w:caps/>
      <w:sz w:val="26"/>
      <w:szCs w:val="26"/>
    </w:rPr>
  </w:style>
  <w:style w:type="paragraph" w:styleId="Ttulo4">
    <w:name w:val="heading 4"/>
    <w:basedOn w:val="Normal"/>
    <w:next w:val="Normal"/>
    <w:link w:val="Ttulo4Char"/>
    <w:uiPriority w:val="9"/>
    <w:unhideWhenUsed/>
    <w:qFormat/>
    <w:rsid w:val="007E705E"/>
    <w:pPr>
      <w:keepNext/>
      <w:keepLines/>
      <w:spacing w:before="400" w:after="120" w:line="240" w:lineRule="auto"/>
      <w:jc w:val="both"/>
      <w:outlineLvl w:val="3"/>
    </w:pPr>
    <w:rPr>
      <w:rFonts w:ascii="Georgia" w:eastAsiaTheme="majorEastAsia" w:hAnsi="Georgia" w:cstheme="majorBidi"/>
      <w:i/>
      <w:iCs/>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customStyle="1" w:styleId="LISTADEREFERNCIASXIXENANPUR">
    <w:name w:val="LISTA DE REFERÊNCIAS XIX ENANPUR"/>
    <w:basedOn w:val="Normal"/>
    <w:link w:val="LISTADEREFERNCIASXIXENANPURChar"/>
    <w:qFormat/>
    <w:rsid w:val="005F519D"/>
    <w:pPr>
      <w:spacing w:after="120" w:line="240" w:lineRule="auto"/>
      <w:jc w:val="both"/>
    </w:pPr>
    <w:rPr>
      <w:rFonts w:ascii="Georgia" w:hAnsi="Georgia"/>
      <w:sz w:val="24"/>
      <w:szCs w:val="24"/>
    </w:rPr>
  </w:style>
  <w:style w:type="character" w:customStyle="1" w:styleId="LISTADEREFERNCIASXIXENANPURChar">
    <w:name w:val="LISTA DE REFERÊNCIAS XIX ENANPUR Char"/>
    <w:basedOn w:val="Fontepargpadro"/>
    <w:link w:val="LISTADEREFERNCIASXIXENANPUR"/>
    <w:rsid w:val="005F519D"/>
    <w:rPr>
      <w:rFonts w:ascii="Georgia" w:hAnsi="Georgia"/>
      <w:sz w:val="24"/>
      <w:szCs w:val="24"/>
      <w:lang w:eastAsia="en-US"/>
    </w:rPr>
  </w:style>
  <w:style w:type="paragraph" w:customStyle="1" w:styleId="LegendaTab">
    <w:name w:val="Legenda_Tab"/>
    <w:basedOn w:val="Normal"/>
    <w:link w:val="LegendaTabChar"/>
    <w:qFormat/>
    <w:rsid w:val="00617127"/>
    <w:pPr>
      <w:keepNext/>
      <w:suppressLineNumbers/>
      <w:suppressAutoHyphens/>
      <w:spacing w:before="120" w:after="0" w:line="240" w:lineRule="auto"/>
    </w:pPr>
    <w:rPr>
      <w:rFonts w:ascii="Georgia" w:eastAsia="Times New Roman" w:hAnsi="Georgia" w:cs="Times New Roman"/>
      <w:i/>
      <w:iCs/>
      <w:sz w:val="24"/>
      <w:szCs w:val="24"/>
    </w:rPr>
  </w:style>
  <w:style w:type="character" w:customStyle="1" w:styleId="LegendaTabChar">
    <w:name w:val="Legenda_Tab Char"/>
    <w:basedOn w:val="Fontepargpadro"/>
    <w:link w:val="LegendaTab"/>
    <w:rsid w:val="00617127"/>
    <w:rPr>
      <w:rFonts w:ascii="Georgia" w:eastAsia="Times New Roman" w:hAnsi="Georgia" w:cs="Times New Roman"/>
      <w:i/>
      <w:iCs/>
      <w:sz w:val="24"/>
      <w:szCs w:val="24"/>
      <w:lang w:eastAsia="en-US"/>
    </w:rPr>
  </w:style>
  <w:style w:type="paragraph" w:customStyle="1" w:styleId="Fonte">
    <w:name w:val="Fonte"/>
    <w:basedOn w:val="Normal"/>
    <w:link w:val="FonteChar"/>
    <w:qFormat/>
    <w:rsid w:val="00617127"/>
    <w:pPr>
      <w:spacing w:after="120" w:line="240" w:lineRule="auto"/>
      <w:jc w:val="both"/>
    </w:pPr>
    <w:rPr>
      <w:rFonts w:ascii="Georgia" w:hAnsi="Georgia"/>
      <w:sz w:val="20"/>
      <w:szCs w:val="20"/>
    </w:rPr>
  </w:style>
  <w:style w:type="character" w:customStyle="1" w:styleId="FonteChar">
    <w:name w:val="Fonte Char"/>
    <w:basedOn w:val="Fontepargpadro"/>
    <w:link w:val="Fonte"/>
    <w:rsid w:val="00617127"/>
    <w:rPr>
      <w:rFonts w:ascii="Georgia" w:hAnsi="Georgia"/>
      <w:lang w:eastAsia="en-US"/>
    </w:rPr>
  </w:style>
  <w:style w:type="paragraph" w:styleId="PargrafodaLista">
    <w:name w:val="List Paragraph"/>
    <w:basedOn w:val="Normal"/>
    <w:uiPriority w:val="34"/>
    <w:qFormat/>
    <w:rsid w:val="00D94B55"/>
    <w:pPr>
      <w:spacing w:after="120" w:line="240" w:lineRule="auto"/>
      <w:ind w:left="720" w:firstLine="720"/>
      <w:contextualSpacing/>
      <w:jc w:val="both"/>
    </w:pPr>
    <w:rPr>
      <w:rFonts w:ascii="Georgia" w:hAnsi="Georgia"/>
      <w:sz w:val="24"/>
      <w:lang w:val="en-US"/>
    </w:rPr>
  </w:style>
  <w:style w:type="paragraph" w:customStyle="1" w:styleId="TableParagraph">
    <w:name w:val="Table Paragraph"/>
    <w:basedOn w:val="Normal"/>
    <w:uiPriority w:val="1"/>
    <w:qFormat/>
    <w:rsid w:val="00B44464"/>
    <w:pPr>
      <w:widowControl w:val="0"/>
      <w:autoSpaceDE w:val="0"/>
      <w:autoSpaceDN w:val="0"/>
      <w:spacing w:after="0" w:line="240" w:lineRule="auto"/>
    </w:pPr>
    <w:rPr>
      <w:rFonts w:ascii="Georgia" w:eastAsia="Times New Roman" w:hAnsi="Georgia" w:cs="Times New Roman"/>
      <w:sz w:val="20"/>
      <w:szCs w:val="20"/>
      <w:lang w:eastAsia="pt-BR"/>
    </w:rPr>
  </w:style>
  <w:style w:type="table" w:styleId="Tabelacomgrade">
    <w:name w:val="Table Grid"/>
    <w:basedOn w:val="Tabelanormal"/>
    <w:uiPriority w:val="39"/>
    <w:rsid w:val="00B444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har">
    <w:name w:val="Título 2 Char"/>
    <w:basedOn w:val="Fontepargpadro"/>
    <w:link w:val="Ttulo2"/>
    <w:uiPriority w:val="9"/>
    <w:rsid w:val="007E705E"/>
    <w:rPr>
      <w:rFonts w:ascii="Georgia" w:hAnsi="Georgia"/>
      <w:caps/>
      <w:spacing w:val="10"/>
      <w:sz w:val="28"/>
      <w:szCs w:val="28"/>
      <w:lang w:eastAsia="en-US"/>
    </w:rPr>
  </w:style>
  <w:style w:type="character" w:customStyle="1" w:styleId="Ttulo3Char">
    <w:name w:val="Título 3 Char"/>
    <w:basedOn w:val="Fontepargpadro"/>
    <w:link w:val="Ttulo3"/>
    <w:uiPriority w:val="9"/>
    <w:rsid w:val="007E705E"/>
    <w:rPr>
      <w:rFonts w:ascii="Georgia" w:hAnsi="Georgia"/>
      <w:caps/>
      <w:sz w:val="26"/>
      <w:szCs w:val="26"/>
      <w:lang w:eastAsia="en-US"/>
    </w:rPr>
  </w:style>
  <w:style w:type="character" w:customStyle="1" w:styleId="Ttulo4Char">
    <w:name w:val="Título 4 Char"/>
    <w:basedOn w:val="Fontepargpadro"/>
    <w:link w:val="Ttulo4"/>
    <w:uiPriority w:val="9"/>
    <w:rsid w:val="007E705E"/>
    <w:rPr>
      <w:rFonts w:ascii="Georgia" w:eastAsiaTheme="majorEastAsia" w:hAnsi="Georgia" w:cstheme="majorBidi"/>
      <w:i/>
      <w:iCs/>
      <w:sz w:val="24"/>
      <w:szCs w:val="24"/>
      <w:lang w:val="en-US" w:eastAsia="en-US"/>
    </w:rPr>
  </w:style>
  <w:style w:type="character" w:styleId="Forte">
    <w:name w:val="Strong"/>
    <w:basedOn w:val="Fontepargpadro"/>
    <w:uiPriority w:val="22"/>
    <w:qFormat/>
    <w:rsid w:val="007E705E"/>
    <w:rPr>
      <w:b/>
      <w:bCs/>
      <w:color w:val="000000" w:themeColor="text1"/>
      <w:sz w:val="56"/>
      <w:szCs w:val="56"/>
    </w:rPr>
  </w:style>
  <w:style w:type="character" w:styleId="Hyperlink">
    <w:name w:val="Hyperlink"/>
    <w:basedOn w:val="Fontepargpadro"/>
    <w:uiPriority w:val="99"/>
    <w:unhideWhenUsed/>
    <w:rsid w:val="007E705E"/>
    <w:rPr>
      <w:color w:val="0563C1" w:themeColor="hyperlink"/>
      <w:u w:val="single"/>
    </w:rPr>
  </w:style>
  <w:style w:type="paragraph" w:customStyle="1" w:styleId="Autorultimo">
    <w:name w:val="Autor_ultimo"/>
    <w:basedOn w:val="Normal"/>
    <w:link w:val="AutorultimoChar"/>
    <w:qFormat/>
    <w:rsid w:val="007E705E"/>
    <w:pPr>
      <w:spacing w:after="720" w:line="240" w:lineRule="auto"/>
      <w:ind w:firstLine="720"/>
      <w:jc w:val="right"/>
    </w:pPr>
    <w:rPr>
      <w:rFonts w:ascii="Georgia" w:hAnsi="Georgia"/>
      <w:sz w:val="28"/>
      <w:szCs w:val="28"/>
    </w:rPr>
  </w:style>
  <w:style w:type="character" w:customStyle="1" w:styleId="AutorultimoChar">
    <w:name w:val="Autor_ultimo Char"/>
    <w:basedOn w:val="Fontepargpadro"/>
    <w:link w:val="Autorultimo"/>
    <w:rsid w:val="007E705E"/>
    <w:rPr>
      <w:rFonts w:ascii="Georgia" w:hAnsi="Georgia"/>
      <w:sz w:val="28"/>
      <w:szCs w:val="28"/>
      <w:lang w:eastAsia="en-US"/>
    </w:rPr>
  </w:style>
  <w:style w:type="paragraph" w:styleId="NormalWeb">
    <w:name w:val="Normal (Web)"/>
    <w:basedOn w:val="Normal"/>
    <w:uiPriority w:val="99"/>
    <w:unhideWhenUsed/>
    <w:rsid w:val="007E70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rsid w:val="007E705E"/>
    <w:pPr>
      <w:autoSpaceDE w:val="0"/>
      <w:autoSpaceDN w:val="0"/>
      <w:adjustRightInd w:val="0"/>
    </w:pPr>
    <w:rPr>
      <w:rFonts w:ascii="Calibri" w:hAnsi="Calibri" w:cs="Calibri"/>
      <w:color w:val="000000"/>
      <w:sz w:val="24"/>
      <w:szCs w:val="24"/>
      <w:lang w:eastAsia="en-US"/>
    </w:rPr>
  </w:style>
  <w:style w:type="paragraph" w:styleId="SemEspaamento">
    <w:name w:val="No Spacing"/>
    <w:uiPriority w:val="1"/>
    <w:qFormat/>
    <w:rsid w:val="007E705E"/>
    <w:pPr>
      <w:ind w:firstLine="720"/>
      <w:jc w:val="both"/>
    </w:pPr>
    <w:rPr>
      <w:rFonts w:ascii="Georgia" w:hAnsi="Georgia"/>
      <w:sz w:val="24"/>
      <w:szCs w:val="22"/>
      <w:lang w:val="en-US" w:eastAsia="en-US"/>
    </w:rPr>
  </w:style>
  <w:style w:type="paragraph" w:customStyle="1" w:styleId="Bibliografialivro">
    <w:name w:val="Bibliografia_livro"/>
    <w:basedOn w:val="Normal"/>
    <w:link w:val="BibliografialivroChar"/>
    <w:qFormat/>
    <w:rsid w:val="007E705E"/>
    <w:pPr>
      <w:tabs>
        <w:tab w:val="num" w:pos="0"/>
      </w:tabs>
      <w:spacing w:after="120" w:line="312" w:lineRule="auto"/>
      <w:ind w:firstLine="709"/>
      <w:jc w:val="both"/>
    </w:pPr>
    <w:rPr>
      <w:rFonts w:ascii="Times New Roman" w:hAnsi="Times New Roman" w:cs="Times New Roman"/>
      <w:sz w:val="24"/>
      <w:szCs w:val="20"/>
      <w:lang w:val="en-US"/>
    </w:rPr>
  </w:style>
  <w:style w:type="character" w:customStyle="1" w:styleId="BibliografialivroChar">
    <w:name w:val="Bibliografia_livro Char"/>
    <w:basedOn w:val="Fontepargpadro"/>
    <w:link w:val="Bibliografialivro"/>
    <w:rsid w:val="007E705E"/>
    <w:rPr>
      <w:rFonts w:ascii="Times New Roman" w:hAnsi="Times New Roman" w:cs="Times New Roman"/>
      <w:sz w:val="24"/>
      <w:lang w:val="en-US" w:eastAsia="en-US"/>
    </w:rPr>
  </w:style>
  <w:style w:type="character" w:styleId="MenoPendente">
    <w:name w:val="Unresolved Mention"/>
    <w:basedOn w:val="Fontepargpadro"/>
    <w:uiPriority w:val="99"/>
    <w:semiHidden/>
    <w:unhideWhenUsed/>
    <w:rsid w:val="007E705E"/>
    <w:rPr>
      <w:color w:val="605E5C"/>
      <w:shd w:val="clear" w:color="auto" w:fill="E1DFDD"/>
    </w:rPr>
  </w:style>
  <w:style w:type="paragraph" w:styleId="Textodenotaderodap">
    <w:name w:val="footnote text"/>
    <w:basedOn w:val="Normal"/>
    <w:link w:val="TextodenotaderodapChar"/>
    <w:uiPriority w:val="99"/>
    <w:semiHidden/>
    <w:unhideWhenUsed/>
    <w:rsid w:val="007E705E"/>
    <w:pPr>
      <w:spacing w:after="0" w:line="240" w:lineRule="auto"/>
      <w:ind w:firstLine="720"/>
      <w:jc w:val="both"/>
    </w:pPr>
    <w:rPr>
      <w:rFonts w:ascii="Georgia" w:hAnsi="Georgia"/>
      <w:sz w:val="20"/>
      <w:szCs w:val="20"/>
      <w:lang w:val="en-US"/>
    </w:rPr>
  </w:style>
  <w:style w:type="character" w:customStyle="1" w:styleId="TextodenotaderodapChar">
    <w:name w:val="Texto de nota de rodapé Char"/>
    <w:basedOn w:val="Fontepargpadro"/>
    <w:link w:val="Textodenotaderodap"/>
    <w:uiPriority w:val="99"/>
    <w:semiHidden/>
    <w:rsid w:val="007E705E"/>
    <w:rPr>
      <w:rFonts w:ascii="Georgia" w:hAnsi="Georgia"/>
      <w:lang w:val="en-US" w:eastAsia="en-US"/>
    </w:rPr>
  </w:style>
  <w:style w:type="character" w:styleId="Refdenotaderodap">
    <w:name w:val="footnote reference"/>
    <w:basedOn w:val="Fontepargpadro"/>
    <w:uiPriority w:val="99"/>
    <w:semiHidden/>
    <w:unhideWhenUsed/>
    <w:rsid w:val="007E70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bge.gov.br/estatisticas/economicas/contas-nacionais/9088-produto-interno-bruto-dos-municipios.html?edicao=18021&amp;t=downloads"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translate.googleusercontent.com/translate_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ranslate.googleusercontent.com/translate_f"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24888358149544"/>
          <c:y val="2.7098028198956774E-2"/>
          <c:w val="0.85212029960089086"/>
          <c:h val="0.6605755089000801"/>
        </c:manualLayout>
      </c:layout>
      <c:lineChart>
        <c:grouping val="standard"/>
        <c:varyColors val="0"/>
        <c:ser>
          <c:idx val="0"/>
          <c:order val="0"/>
          <c:tx>
            <c:strRef>
              <c:f>'[AC_censo_agro_2017_com_grupo_area_final_c_fator2.xlsx]Evolução Trajetórias'!$A$73</c:f>
              <c:strCache>
                <c:ptCount val="1"/>
                <c:pt idx="0">
                  <c:v>Assalariado Lav. Temp.  (10,067% a.a.)</c:v>
                </c:pt>
              </c:strCache>
            </c:strRef>
          </c:tx>
          <c:spPr>
            <a:ln w="12700" cap="rnd">
              <a:solidFill>
                <a:schemeClr val="accent2">
                  <a:lumMod val="60000"/>
                  <a:lumOff val="40000"/>
                </a:schemeClr>
              </a:solidFill>
              <a:prstDash val="sysDash"/>
              <a:round/>
            </a:ln>
            <a:effectLst/>
          </c:spPr>
          <c:marker>
            <c:symbol val="none"/>
          </c:marker>
          <c:dPt>
            <c:idx val="2"/>
            <c:marker>
              <c:symbol val="none"/>
            </c:marker>
            <c:bubble3D val="0"/>
            <c:spPr>
              <a:ln w="19050" cap="rnd">
                <a:solidFill>
                  <a:schemeClr val="accent2">
                    <a:lumMod val="60000"/>
                    <a:lumOff val="40000"/>
                  </a:schemeClr>
                </a:solidFill>
                <a:prstDash val="sysDash"/>
                <a:round/>
              </a:ln>
              <a:effectLst/>
            </c:spPr>
            <c:extLst>
              <c:ext xmlns:c16="http://schemas.microsoft.com/office/drawing/2014/chart" uri="{C3380CC4-5D6E-409C-BE32-E72D297353CC}">
                <c16:uniqueId val="{00000001-3A67-47D0-AE7D-E28277F41FD3}"/>
              </c:ext>
            </c:extLst>
          </c:dPt>
          <c:cat>
            <c:numRef>
              <c:f>'[AC_censo_agro_2017_com_grupo_area_final_c_fator2.xlsx]Evolução Trajetórias'!$B$72:$D$72</c:f>
              <c:numCache>
                <c:formatCode>0</c:formatCode>
                <c:ptCount val="3"/>
                <c:pt idx="0">
                  <c:v>1996</c:v>
                </c:pt>
                <c:pt idx="1">
                  <c:v>2006</c:v>
                </c:pt>
                <c:pt idx="2" formatCode="General">
                  <c:v>2017</c:v>
                </c:pt>
              </c:numCache>
            </c:numRef>
          </c:cat>
          <c:val>
            <c:numRef>
              <c:f>'[AC_censo_agro_2017_com_grupo_area_final_c_fator2.xlsx]Evolução Trajetórias'!$B$73:$D$73</c:f>
              <c:numCache>
                <c:formatCode>#,##0</c:formatCode>
                <c:ptCount val="3"/>
                <c:pt idx="0">
                  <c:v>107466.19729970489</c:v>
                </c:pt>
                <c:pt idx="1">
                  <c:v>279076.54984988936</c:v>
                </c:pt>
                <c:pt idx="2">
                  <c:v>804686.98000000021</c:v>
                </c:pt>
              </c:numCache>
            </c:numRef>
          </c:val>
          <c:smooth val="1"/>
          <c:extLst>
            <c:ext xmlns:c16="http://schemas.microsoft.com/office/drawing/2014/chart" uri="{C3380CC4-5D6E-409C-BE32-E72D297353CC}">
              <c16:uniqueId val="{00000002-3A67-47D0-AE7D-E28277F41FD3}"/>
            </c:ext>
          </c:extLst>
        </c:ser>
        <c:ser>
          <c:idx val="1"/>
          <c:order val="1"/>
          <c:tx>
            <c:strRef>
              <c:f>'[AC_censo_agro_2017_com_grupo_area_final_c_fator2.xlsx]Evolução Trajetórias'!$A$74</c:f>
              <c:strCache>
                <c:ptCount val="1"/>
                <c:pt idx="0">
                  <c:v>Assalariado Pec. Corte (7,32% a.a.)</c:v>
                </c:pt>
              </c:strCache>
            </c:strRef>
          </c:tx>
          <c:spPr>
            <a:ln w="12700" cap="rnd">
              <a:solidFill>
                <a:srgbClr val="FF0000"/>
              </a:solidFill>
              <a:prstDash val="sysDash"/>
              <a:round/>
            </a:ln>
            <a:effectLst/>
          </c:spPr>
          <c:marker>
            <c:symbol val="none"/>
          </c:marker>
          <c:dPt>
            <c:idx val="2"/>
            <c:marker>
              <c:symbol val="none"/>
            </c:marker>
            <c:bubble3D val="0"/>
            <c:spPr>
              <a:ln w="19050" cap="rnd">
                <a:solidFill>
                  <a:srgbClr val="FF0000"/>
                </a:solidFill>
                <a:prstDash val="sysDash"/>
                <a:round/>
              </a:ln>
              <a:effectLst/>
            </c:spPr>
            <c:extLst>
              <c:ext xmlns:c16="http://schemas.microsoft.com/office/drawing/2014/chart" uri="{C3380CC4-5D6E-409C-BE32-E72D297353CC}">
                <c16:uniqueId val="{00000004-3A67-47D0-AE7D-E28277F41FD3}"/>
              </c:ext>
            </c:extLst>
          </c:dPt>
          <c:cat>
            <c:numRef>
              <c:f>'[AC_censo_agro_2017_com_grupo_area_final_c_fator2.xlsx]Evolução Trajetórias'!$B$72:$D$72</c:f>
              <c:numCache>
                <c:formatCode>0</c:formatCode>
                <c:ptCount val="3"/>
                <c:pt idx="0">
                  <c:v>1996</c:v>
                </c:pt>
                <c:pt idx="1">
                  <c:v>2006</c:v>
                </c:pt>
                <c:pt idx="2" formatCode="General">
                  <c:v>2017</c:v>
                </c:pt>
              </c:numCache>
            </c:numRef>
          </c:cat>
          <c:val>
            <c:numRef>
              <c:f>'[AC_censo_agro_2017_com_grupo_area_final_c_fator2.xlsx]Evolução Trajetórias'!$B$74:$D$74</c:f>
              <c:numCache>
                <c:formatCode>#,##0</c:formatCode>
                <c:ptCount val="3"/>
                <c:pt idx="0">
                  <c:v>353052.74015619827</c:v>
                </c:pt>
                <c:pt idx="1">
                  <c:v>902100.15687065281</c:v>
                </c:pt>
                <c:pt idx="2">
                  <c:v>1556445.61</c:v>
                </c:pt>
              </c:numCache>
            </c:numRef>
          </c:val>
          <c:smooth val="1"/>
          <c:extLst>
            <c:ext xmlns:c16="http://schemas.microsoft.com/office/drawing/2014/chart" uri="{C3380CC4-5D6E-409C-BE32-E72D297353CC}">
              <c16:uniqueId val="{00000005-3A67-47D0-AE7D-E28277F41FD3}"/>
            </c:ext>
          </c:extLst>
        </c:ser>
        <c:ser>
          <c:idx val="2"/>
          <c:order val="2"/>
          <c:tx>
            <c:strRef>
              <c:f>'[AC_censo_agro_2017_com_grupo_area_final_c_fator2.xlsx]Evolução Trajetórias'!$A$75</c:f>
              <c:strCache>
                <c:ptCount val="1"/>
                <c:pt idx="0">
                  <c:v>Assalariado Lav. Perm.  (4,66% a.a.)</c:v>
                </c:pt>
              </c:strCache>
            </c:strRef>
          </c:tx>
          <c:spPr>
            <a:ln w="19050" cap="rnd">
              <a:solidFill>
                <a:schemeClr val="accent6">
                  <a:lumMod val="60000"/>
                  <a:lumOff val="40000"/>
                </a:schemeClr>
              </a:solidFill>
              <a:prstDash val="sysDash"/>
              <a:round/>
            </a:ln>
            <a:effectLst/>
          </c:spPr>
          <c:marker>
            <c:symbol val="none"/>
          </c:marker>
          <c:cat>
            <c:numRef>
              <c:f>'[AC_censo_agro_2017_com_grupo_area_final_c_fator2.xlsx]Evolução Trajetórias'!$B$72:$D$72</c:f>
              <c:numCache>
                <c:formatCode>0</c:formatCode>
                <c:ptCount val="3"/>
                <c:pt idx="0">
                  <c:v>1996</c:v>
                </c:pt>
                <c:pt idx="1">
                  <c:v>2006</c:v>
                </c:pt>
                <c:pt idx="2" formatCode="General">
                  <c:v>2017</c:v>
                </c:pt>
              </c:numCache>
            </c:numRef>
          </c:cat>
          <c:val>
            <c:numRef>
              <c:f>'[AC_censo_agro_2017_com_grupo_area_final_c_fator2.xlsx]Evolução Trajetórias'!$B$75:$D$75</c:f>
              <c:numCache>
                <c:formatCode>#,##0</c:formatCode>
                <c:ptCount val="3"/>
                <c:pt idx="0">
                  <c:v>118549.86191240074</c:v>
                </c:pt>
                <c:pt idx="1">
                  <c:v>200674.02645647095</c:v>
                </c:pt>
                <c:pt idx="2">
                  <c:v>308514.91999999993</c:v>
                </c:pt>
              </c:numCache>
            </c:numRef>
          </c:val>
          <c:smooth val="1"/>
          <c:extLst>
            <c:ext xmlns:c16="http://schemas.microsoft.com/office/drawing/2014/chart" uri="{C3380CC4-5D6E-409C-BE32-E72D297353CC}">
              <c16:uniqueId val="{00000006-3A67-47D0-AE7D-E28277F41FD3}"/>
            </c:ext>
          </c:extLst>
        </c:ser>
        <c:ser>
          <c:idx val="3"/>
          <c:order val="3"/>
          <c:tx>
            <c:strRef>
              <c:f>'[AC_censo_agro_2017_com_grupo_area_final_c_fator2.xlsx]Evolução Trajetórias'!$A$76</c:f>
              <c:strCache>
                <c:ptCount val="1"/>
                <c:pt idx="0">
                  <c:v>Familiar Pec. Corte (2,91% a.a.)</c:v>
                </c:pt>
              </c:strCache>
            </c:strRef>
          </c:tx>
          <c:spPr>
            <a:ln w="19050" cap="rnd">
              <a:solidFill>
                <a:schemeClr val="accent2">
                  <a:lumMod val="60000"/>
                  <a:lumOff val="40000"/>
                </a:schemeClr>
              </a:solidFill>
              <a:round/>
            </a:ln>
            <a:effectLst/>
          </c:spPr>
          <c:marker>
            <c:symbol val="none"/>
          </c:marker>
          <c:cat>
            <c:numRef>
              <c:f>'[AC_censo_agro_2017_com_grupo_area_final_c_fator2.xlsx]Evolução Trajetórias'!$B$72:$D$72</c:f>
              <c:numCache>
                <c:formatCode>0</c:formatCode>
                <c:ptCount val="3"/>
                <c:pt idx="0">
                  <c:v>1996</c:v>
                </c:pt>
                <c:pt idx="1">
                  <c:v>2006</c:v>
                </c:pt>
                <c:pt idx="2" formatCode="General">
                  <c:v>2017</c:v>
                </c:pt>
              </c:numCache>
            </c:numRef>
          </c:cat>
          <c:val>
            <c:numRef>
              <c:f>'[AC_censo_agro_2017_com_grupo_area_final_c_fator2.xlsx]Evolução Trajetórias'!$B$76:$D$76</c:f>
              <c:numCache>
                <c:formatCode>#,##0</c:formatCode>
                <c:ptCount val="3"/>
                <c:pt idx="0">
                  <c:v>513170.25418511697</c:v>
                </c:pt>
                <c:pt idx="1">
                  <c:v>630766.2878882708</c:v>
                </c:pt>
                <c:pt idx="2">
                  <c:v>937269.15</c:v>
                </c:pt>
              </c:numCache>
            </c:numRef>
          </c:val>
          <c:smooth val="1"/>
          <c:extLst>
            <c:ext xmlns:c16="http://schemas.microsoft.com/office/drawing/2014/chart" uri="{C3380CC4-5D6E-409C-BE32-E72D297353CC}">
              <c16:uniqueId val="{00000007-3A67-47D0-AE7D-E28277F41FD3}"/>
            </c:ext>
          </c:extLst>
        </c:ser>
        <c:ser>
          <c:idx val="4"/>
          <c:order val="4"/>
          <c:tx>
            <c:strRef>
              <c:f>'[AC_censo_agro_2017_com_grupo_area_final_c_fator2.xlsx]Evolução Trajetórias'!$A$77</c:f>
              <c:strCache>
                <c:ptCount val="1"/>
                <c:pt idx="0">
                  <c:v>Familiar Lav. Temp. (-0,56% a.a.)</c:v>
                </c:pt>
              </c:strCache>
            </c:strRef>
          </c:tx>
          <c:spPr>
            <a:ln w="19050" cap="rnd">
              <a:solidFill>
                <a:schemeClr val="accent3">
                  <a:lumMod val="75000"/>
                </a:schemeClr>
              </a:solidFill>
              <a:round/>
            </a:ln>
            <a:effectLst/>
          </c:spPr>
          <c:marker>
            <c:symbol val="none"/>
          </c:marker>
          <c:cat>
            <c:numRef>
              <c:f>'[AC_censo_agro_2017_com_grupo_area_final_c_fator2.xlsx]Evolução Trajetórias'!$B$72:$D$72</c:f>
              <c:numCache>
                <c:formatCode>0</c:formatCode>
                <c:ptCount val="3"/>
                <c:pt idx="0">
                  <c:v>1996</c:v>
                </c:pt>
                <c:pt idx="1">
                  <c:v>2006</c:v>
                </c:pt>
                <c:pt idx="2" formatCode="General">
                  <c:v>2017</c:v>
                </c:pt>
              </c:numCache>
            </c:numRef>
          </c:cat>
          <c:val>
            <c:numRef>
              <c:f>'[AC_censo_agro_2017_com_grupo_area_final_c_fator2.xlsx]Evolução Trajetórias'!$B$77:$D$77</c:f>
              <c:numCache>
                <c:formatCode>#,##0</c:formatCode>
                <c:ptCount val="3"/>
                <c:pt idx="0">
                  <c:v>113655.70428562089</c:v>
                </c:pt>
                <c:pt idx="1">
                  <c:v>116194.37314529991</c:v>
                </c:pt>
                <c:pt idx="2">
                  <c:v>101094.29999999999</c:v>
                </c:pt>
              </c:numCache>
            </c:numRef>
          </c:val>
          <c:smooth val="1"/>
          <c:extLst>
            <c:ext xmlns:c16="http://schemas.microsoft.com/office/drawing/2014/chart" uri="{C3380CC4-5D6E-409C-BE32-E72D297353CC}">
              <c16:uniqueId val="{00000008-3A67-47D0-AE7D-E28277F41FD3}"/>
            </c:ext>
          </c:extLst>
        </c:ser>
        <c:ser>
          <c:idx val="5"/>
          <c:order val="5"/>
          <c:tx>
            <c:strRef>
              <c:f>'[AC_censo_agro_2017_com_grupo_area_final_c_fator2.xlsx]Evolução Trajetórias'!$A$78</c:f>
              <c:strCache>
                <c:ptCount val="1"/>
                <c:pt idx="0">
                  <c:v>Familiar Lav. Perm. (4,35%  a.a.)</c:v>
                </c:pt>
              </c:strCache>
            </c:strRef>
          </c:tx>
          <c:spPr>
            <a:ln w="19050" cap="rnd">
              <a:solidFill>
                <a:schemeClr val="accent3">
                  <a:lumMod val="60000"/>
                  <a:lumOff val="40000"/>
                </a:schemeClr>
              </a:solidFill>
              <a:round/>
            </a:ln>
            <a:effectLst/>
          </c:spPr>
          <c:marker>
            <c:symbol val="none"/>
          </c:marker>
          <c:cat>
            <c:numRef>
              <c:f>'[AC_censo_agro_2017_com_grupo_area_final_c_fator2.xlsx]Evolução Trajetórias'!$B$72:$D$72</c:f>
              <c:numCache>
                <c:formatCode>0</c:formatCode>
                <c:ptCount val="3"/>
                <c:pt idx="0">
                  <c:v>1996</c:v>
                </c:pt>
                <c:pt idx="1">
                  <c:v>2006</c:v>
                </c:pt>
                <c:pt idx="2" formatCode="General">
                  <c:v>2017</c:v>
                </c:pt>
              </c:numCache>
            </c:numRef>
          </c:cat>
          <c:val>
            <c:numRef>
              <c:f>'[AC_censo_agro_2017_com_grupo_area_final_c_fator2.xlsx]Evolução Trajetórias'!$B$78:$D$78</c:f>
              <c:numCache>
                <c:formatCode>#,##0</c:formatCode>
                <c:ptCount val="3"/>
                <c:pt idx="0">
                  <c:v>32266.396163206209</c:v>
                </c:pt>
                <c:pt idx="1">
                  <c:v>51282.018577056384</c:v>
                </c:pt>
                <c:pt idx="2">
                  <c:v>78914.569999999992</c:v>
                </c:pt>
              </c:numCache>
            </c:numRef>
          </c:val>
          <c:smooth val="1"/>
          <c:extLst>
            <c:ext xmlns:c16="http://schemas.microsoft.com/office/drawing/2014/chart" uri="{C3380CC4-5D6E-409C-BE32-E72D297353CC}">
              <c16:uniqueId val="{00000009-3A67-47D0-AE7D-E28277F41FD3}"/>
            </c:ext>
          </c:extLst>
        </c:ser>
        <c:dLbls>
          <c:showLegendKey val="0"/>
          <c:showVal val="0"/>
          <c:showCatName val="0"/>
          <c:showSerName val="0"/>
          <c:showPercent val="0"/>
          <c:showBubbleSize val="0"/>
        </c:dLbls>
        <c:smooth val="0"/>
        <c:axId val="1958504944"/>
        <c:axId val="1958504528"/>
      </c:lineChart>
      <c:catAx>
        <c:axId val="1958504944"/>
        <c:scaling>
          <c:orientation val="minMax"/>
        </c:scaling>
        <c:delete val="0"/>
        <c:axPos val="b"/>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crossAx val="1958504528"/>
        <c:crosses val="autoZero"/>
        <c:auto val="1"/>
        <c:lblAlgn val="ctr"/>
        <c:lblOffset val="100"/>
        <c:noMultiLvlLbl val="0"/>
      </c:catAx>
      <c:valAx>
        <c:axId val="1958504528"/>
        <c:scaling>
          <c:orientation val="minMax"/>
          <c:max val="1600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pt-BR"/>
          </a:p>
        </c:txPr>
        <c:crossAx val="1958504944"/>
        <c:crosses val="autoZero"/>
        <c:crossBetween val="between"/>
        <c:dispUnits>
          <c:builtInUnit val="thousands"/>
          <c:dispUnitsLbl>
            <c:layout>
              <c:manualLayout>
                <c:xMode val="edge"/>
                <c:yMode val="edge"/>
                <c:x val="1.5061771563675936E-2"/>
                <c:y val="0.22116025369681794"/>
              </c:manualLayout>
            </c:layout>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t-BR" sz="1000">
                      <a:latin typeface="Times New Roman" panose="02020603050405020304" pitchFamily="18" charset="0"/>
                      <a:cs typeface="Times New Roman" panose="02020603050405020304" pitchFamily="18" charset="0"/>
                    </a:rPr>
                    <a:t>R$ Milhões </a:t>
                  </a:r>
                </a:p>
              </c:rich>
            </c:tx>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dispUnitsLbl>
        </c:dispUnits>
      </c:valAx>
      <c:spPr>
        <a:noFill/>
        <a:ln>
          <a:noFill/>
        </a:ln>
        <a:effectLst/>
      </c:spPr>
    </c:plotArea>
    <c:legend>
      <c:legendPos val="b"/>
      <c:layout>
        <c:manualLayout>
          <c:xMode val="edge"/>
          <c:yMode val="edge"/>
          <c:x val="4.2161533605767625E-2"/>
          <c:y val="0.77727129563350039"/>
          <c:w val="0.93677397920196681"/>
          <c:h val="0.1984862801240754"/>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solidFill>
      <a:schemeClr val="bg1"/>
    </a:solidFill>
    <a:ln w="9525" cap="flat" cmpd="sng" algn="ctr">
      <a:noFill/>
      <a:round/>
    </a:ln>
    <a:effectLst/>
  </c:spPr>
  <c:txPr>
    <a:bodyPr/>
    <a:lstStyle/>
    <a:p>
      <a:pPr>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8675</Words>
  <Characters>46846</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2022-07-10T11:56:00Z</dcterms:created>
  <dcterms:modified xsi:type="dcterms:W3CDTF">2022-07-10T12:28:00Z</dcterms:modified>
</cp:coreProperties>
</file>