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word/diagrams/quickStyle1.xml" ContentType="application/vnd.openxmlformats-officedocument.drawingml.diagramStyle+xml"/>
  <Default Extension="png" ContentType="image/png"/>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diagrams/layout1.xml" ContentType="application/vnd.openxmlformats-officedocument.drawingml.diagramLayou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13B1" w:rsidRPr="006351DF" w:rsidRDefault="002B13B1" w:rsidP="002B13B1">
      <w:pPr>
        <w:spacing w:line="360" w:lineRule="auto"/>
        <w:jc w:val="center"/>
        <w:rPr>
          <w:rFonts w:ascii="Times New Roman" w:hAnsi="Times New Roman" w:cs="Times New Roman"/>
          <w:b/>
          <w:bCs/>
          <w:sz w:val="28"/>
          <w:szCs w:val="28"/>
        </w:rPr>
      </w:pPr>
      <w:r w:rsidRPr="006351DF">
        <w:rPr>
          <w:rFonts w:ascii="Times New Roman" w:hAnsi="Times New Roman" w:cs="Times New Roman"/>
          <w:b/>
          <w:bCs/>
          <w:sz w:val="28"/>
          <w:szCs w:val="28"/>
        </w:rPr>
        <w:t>F</w:t>
      </w:r>
      <w:r>
        <w:rPr>
          <w:rFonts w:ascii="Times New Roman" w:hAnsi="Times New Roman" w:cs="Times New Roman"/>
          <w:b/>
          <w:bCs/>
          <w:sz w:val="28"/>
          <w:szCs w:val="28"/>
        </w:rPr>
        <w:t>RAGMENTAÇÃO PRODUTIVA REGIONAL E SEUS DESDOBRAMENTOS SOBRE O ESVAZIAMENTO INSTITUCIONAL DA SUDENE</w:t>
      </w:r>
      <w:r w:rsidRPr="006351DF">
        <w:rPr>
          <w:rFonts w:ascii="Times New Roman" w:hAnsi="Times New Roman" w:cs="Times New Roman"/>
          <w:b/>
          <w:bCs/>
          <w:sz w:val="28"/>
          <w:szCs w:val="28"/>
        </w:rPr>
        <w:t>: Uma análise a partir das resoluções do CONDEL</w:t>
      </w:r>
    </w:p>
    <w:p w:rsidR="00F72780" w:rsidRDefault="00F72780">
      <w:pPr>
        <w:spacing w:after="0" w:line="360" w:lineRule="auto"/>
        <w:jc w:val="center"/>
        <w:rPr>
          <w:rFonts w:ascii="Times New Roman" w:hAnsi="Times New Roman" w:cs="Times New Roman"/>
          <w:sz w:val="28"/>
          <w:szCs w:val="28"/>
        </w:rPr>
      </w:pPr>
    </w:p>
    <w:p w:rsidR="002B13B1" w:rsidRPr="002B13B1" w:rsidRDefault="002B13B1" w:rsidP="002B13B1">
      <w:pPr>
        <w:rPr>
          <w:rFonts w:ascii="Times New Roman" w:hAnsi="Times New Roman" w:cs="Times New Roman"/>
          <w:b/>
          <w:bCs/>
          <w:sz w:val="24"/>
        </w:rPr>
      </w:pPr>
      <w:r w:rsidRPr="002B13B1">
        <w:rPr>
          <w:rFonts w:ascii="Times New Roman" w:hAnsi="Times New Roman" w:cs="Times New Roman"/>
          <w:b/>
          <w:bCs/>
          <w:sz w:val="24"/>
        </w:rPr>
        <w:t>RESUMO</w:t>
      </w:r>
    </w:p>
    <w:p w:rsidR="002B13B1" w:rsidRDefault="002B13B1" w:rsidP="002B13B1">
      <w:pPr>
        <w:spacing w:line="240" w:lineRule="auto"/>
        <w:jc w:val="both"/>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 xml:space="preserve">Na atual quadra histórica, se percebe certo movimento de esvaziamento normativo, político e financeiro das instituições políticas relacionadas com a temática regional, quadro acirrado sob o quadro de manutenção do tripé macroeconômico e tensionamento das forças de fragmentação da articulação produtiva regional. Nesse sentido, o presente artigo tem como </w:t>
      </w:r>
      <w:r w:rsidRPr="000D3639">
        <w:rPr>
          <w:rFonts w:ascii="Times New Roman" w:eastAsia="Times New Roman" w:hAnsi="Times New Roman" w:cs="Times New Roman"/>
          <w:sz w:val="24"/>
          <w:szCs w:val="24"/>
          <w:lang w:eastAsia="pt-BR"/>
        </w:rPr>
        <w:t xml:space="preserve">objetivo analisar </w:t>
      </w:r>
      <w:r>
        <w:rPr>
          <w:rFonts w:ascii="Times New Roman" w:eastAsia="Times New Roman" w:hAnsi="Times New Roman" w:cs="Times New Roman"/>
          <w:sz w:val="24"/>
          <w:szCs w:val="24"/>
          <w:lang w:eastAsia="pt-BR"/>
        </w:rPr>
        <w:t>a estrutura de governança da política regional, em especial da SUDENE.</w:t>
      </w:r>
      <w:r w:rsidRPr="000D3639">
        <w:rPr>
          <w:rFonts w:ascii="Times New Roman" w:eastAsia="Times New Roman" w:hAnsi="Times New Roman" w:cs="Times New Roman"/>
          <w:sz w:val="24"/>
          <w:szCs w:val="24"/>
          <w:lang w:eastAsia="pt-BR"/>
        </w:rPr>
        <w:t xml:space="preserve">Para tanto, </w:t>
      </w:r>
      <w:r>
        <w:rPr>
          <w:rFonts w:ascii="Times New Roman" w:eastAsia="Times New Roman" w:hAnsi="Times New Roman" w:cs="Times New Roman"/>
          <w:sz w:val="24"/>
          <w:szCs w:val="24"/>
          <w:lang w:eastAsia="pt-BR"/>
        </w:rPr>
        <w:t>o trabalho segue dois caminhos metodológicos interligados, no primeiro plano</w:t>
      </w:r>
      <w:r w:rsidRPr="000D3639">
        <w:rPr>
          <w:rFonts w:ascii="Times New Roman" w:eastAsia="Times New Roman" w:hAnsi="Times New Roman" w:cs="Times New Roman"/>
          <w:sz w:val="24"/>
          <w:szCs w:val="24"/>
          <w:lang w:eastAsia="pt-BR"/>
        </w:rPr>
        <w:t>utiliza</w:t>
      </w:r>
      <w:r>
        <w:rPr>
          <w:rFonts w:ascii="Times New Roman" w:eastAsia="Times New Roman" w:hAnsi="Times New Roman" w:cs="Times New Roman"/>
          <w:sz w:val="24"/>
          <w:szCs w:val="24"/>
          <w:lang w:eastAsia="pt-BR"/>
        </w:rPr>
        <w:t xml:space="preserve">mos </w:t>
      </w:r>
      <w:r w:rsidRPr="000D3639">
        <w:rPr>
          <w:rFonts w:ascii="Times New Roman" w:eastAsia="Times New Roman" w:hAnsi="Times New Roman" w:cs="Times New Roman"/>
          <w:sz w:val="24"/>
          <w:szCs w:val="24"/>
          <w:lang w:eastAsia="pt-BR"/>
        </w:rPr>
        <w:t>o método histórico-estrutural aplicado à análise regional.</w:t>
      </w:r>
      <w:r>
        <w:rPr>
          <w:rFonts w:ascii="Times New Roman" w:eastAsia="Times New Roman" w:hAnsi="Times New Roman" w:cs="Times New Roman"/>
          <w:sz w:val="24"/>
          <w:szCs w:val="24"/>
          <w:lang w:eastAsia="pt-BR"/>
        </w:rPr>
        <w:t xml:space="preserve"> Conjuntamente, nos debruçamos nas deliberações continas nas atas de reunião do CONDEL para </w:t>
      </w:r>
      <w:r w:rsidRPr="000D3639">
        <w:rPr>
          <w:rFonts w:ascii="Times New Roman" w:eastAsia="Times New Roman" w:hAnsi="Times New Roman" w:cs="Times New Roman"/>
          <w:sz w:val="24"/>
          <w:szCs w:val="24"/>
          <w:lang w:eastAsia="pt-BR"/>
        </w:rPr>
        <w:t>investigar</w:t>
      </w:r>
      <w:r>
        <w:rPr>
          <w:rFonts w:ascii="Times New Roman" w:eastAsia="Times New Roman" w:hAnsi="Times New Roman" w:cs="Times New Roman"/>
          <w:sz w:val="24"/>
          <w:szCs w:val="24"/>
          <w:lang w:eastAsia="pt-BR"/>
        </w:rPr>
        <w:t xml:space="preserve">a lógica de atuação da Autarquia Federal. </w:t>
      </w:r>
      <w:r w:rsidRPr="000D3639">
        <w:rPr>
          <w:rFonts w:ascii="Times New Roman" w:eastAsia="Times New Roman" w:hAnsi="Times New Roman" w:cs="Times New Roman"/>
          <w:sz w:val="24"/>
          <w:szCs w:val="24"/>
          <w:lang w:eastAsia="pt-BR"/>
        </w:rPr>
        <w:t xml:space="preserve">Com base nas análises realizadas, </w:t>
      </w:r>
      <w:r>
        <w:rPr>
          <w:rFonts w:ascii="Times New Roman" w:eastAsia="Times New Roman" w:hAnsi="Times New Roman" w:cs="Times New Roman"/>
          <w:sz w:val="24"/>
          <w:szCs w:val="24"/>
          <w:lang w:eastAsia="pt-BR"/>
        </w:rPr>
        <w:t xml:space="preserve">concluímos </w:t>
      </w:r>
      <w:r w:rsidRPr="000D3639">
        <w:rPr>
          <w:rFonts w:ascii="Times New Roman" w:eastAsia="Times New Roman" w:hAnsi="Times New Roman" w:cs="Times New Roman"/>
          <w:sz w:val="24"/>
          <w:szCs w:val="24"/>
          <w:lang w:eastAsia="pt-BR"/>
        </w:rPr>
        <w:t xml:space="preserve">que </w:t>
      </w:r>
      <w:r>
        <w:rPr>
          <w:rFonts w:ascii="Times New Roman" w:eastAsia="Times New Roman" w:hAnsi="Times New Roman" w:cs="Times New Roman"/>
          <w:sz w:val="24"/>
          <w:szCs w:val="24"/>
          <w:lang w:eastAsia="pt-BR"/>
        </w:rPr>
        <w:t xml:space="preserve">a Superintendência parra por um processo de desmonte político e institucional, com ações voltadas para si e pouco conectadas com as demandas regionais latentes. </w:t>
      </w:r>
    </w:p>
    <w:p w:rsidR="002B13B1" w:rsidRPr="006351DF" w:rsidRDefault="002B13B1" w:rsidP="002B13B1">
      <w:pPr>
        <w:spacing w:line="360" w:lineRule="auto"/>
        <w:jc w:val="both"/>
        <w:rPr>
          <w:rFonts w:ascii="Times New Roman" w:hAnsi="Times New Roman" w:cs="Times New Roman"/>
          <w:sz w:val="24"/>
          <w:szCs w:val="24"/>
        </w:rPr>
      </w:pPr>
      <w:r w:rsidRPr="000D3639">
        <w:rPr>
          <w:rFonts w:ascii="Times New Roman" w:hAnsi="Times New Roman" w:cs="Times New Roman"/>
          <w:b/>
          <w:sz w:val="24"/>
          <w:szCs w:val="24"/>
        </w:rPr>
        <w:t>Palavras-chave:</w:t>
      </w:r>
      <w:r>
        <w:rPr>
          <w:rFonts w:ascii="Times New Roman" w:hAnsi="Times New Roman" w:cs="Times New Roman"/>
          <w:sz w:val="24"/>
          <w:szCs w:val="24"/>
        </w:rPr>
        <w:t>Fragmentação produtiva; Tripé Macroeconômico; Articulação Regional; SUDENE; CONDEL.</w:t>
      </w:r>
    </w:p>
    <w:p w:rsidR="00F72780" w:rsidRDefault="00F72780">
      <w:pPr>
        <w:spacing w:after="0" w:line="360" w:lineRule="auto"/>
        <w:jc w:val="both"/>
        <w:rPr>
          <w:rFonts w:ascii="Times New Roman" w:hAnsi="Times New Roman" w:cs="Times New Roman"/>
          <w:sz w:val="24"/>
          <w:szCs w:val="24"/>
        </w:rPr>
      </w:pPr>
    </w:p>
    <w:p w:rsidR="00F72780" w:rsidRDefault="002B13B1">
      <w:pPr>
        <w:spacing w:after="0" w:line="360" w:lineRule="auto"/>
        <w:jc w:val="both"/>
        <w:rPr>
          <w:rFonts w:ascii="Times New Roman" w:eastAsia="Times New Roman" w:hAnsi="Times New Roman" w:cs="Times New Roman"/>
          <w:sz w:val="24"/>
          <w:szCs w:val="24"/>
          <w:lang w:eastAsia="pt-BR"/>
        </w:rPr>
      </w:pPr>
      <w:r w:rsidRPr="002B13B1">
        <w:rPr>
          <w:rFonts w:ascii="Times New Roman" w:eastAsia="Times New Roman" w:hAnsi="Times New Roman" w:cs="Times New Roman"/>
          <w:b/>
          <w:sz w:val="24"/>
          <w:szCs w:val="24"/>
          <w:lang w:eastAsia="pt-BR"/>
        </w:rPr>
        <w:t>GT Nº4</w:t>
      </w:r>
      <w:r w:rsidR="00A65F5D" w:rsidRPr="002B13B1">
        <w:rPr>
          <w:rFonts w:ascii="Times New Roman" w:eastAsia="Times New Roman" w:hAnsi="Times New Roman" w:cs="Times New Roman"/>
          <w:b/>
          <w:sz w:val="24"/>
          <w:szCs w:val="24"/>
          <w:lang w:eastAsia="pt-BR"/>
        </w:rPr>
        <w:t>:</w:t>
      </w:r>
      <w:r w:rsidR="00A65F5D" w:rsidRPr="002B13B1">
        <w:rPr>
          <w:rFonts w:ascii="Times New Roman" w:eastAsia="Times New Roman" w:hAnsi="Times New Roman" w:cs="Times New Roman"/>
          <w:sz w:val="24"/>
          <w:szCs w:val="24"/>
          <w:lang w:eastAsia="pt-BR"/>
        </w:rPr>
        <w:t xml:space="preserve"> </w:t>
      </w:r>
      <w:r w:rsidRPr="002B13B1">
        <w:rPr>
          <w:rFonts w:ascii="Times New Roman" w:eastAsia="Times New Roman" w:hAnsi="Times New Roman" w:cs="Times New Roman"/>
          <w:sz w:val="24"/>
          <w:szCs w:val="24"/>
          <w:lang w:eastAsia="pt-BR"/>
        </w:rPr>
        <w:t>Instituições, Governança Territorial e Desenvolvimento</w:t>
      </w:r>
      <w:r>
        <w:rPr>
          <w:rFonts w:ascii="Times New Roman" w:eastAsia="Times New Roman" w:hAnsi="Times New Roman" w:cs="Times New Roman"/>
          <w:sz w:val="24"/>
          <w:szCs w:val="24"/>
          <w:lang w:eastAsia="pt-BR"/>
        </w:rPr>
        <w:t>.</w:t>
      </w:r>
    </w:p>
    <w:p w:rsidR="002B13B1" w:rsidRPr="002B13B1" w:rsidRDefault="002B13B1">
      <w:pPr>
        <w:spacing w:after="0" w:line="360" w:lineRule="auto"/>
        <w:jc w:val="both"/>
        <w:rPr>
          <w:rFonts w:ascii="Times New Roman" w:hAnsi="Times New Roman" w:cs="Times New Roman"/>
          <w:b/>
          <w:bCs/>
          <w:sz w:val="24"/>
        </w:rPr>
      </w:pPr>
      <w:r w:rsidRPr="002B13B1">
        <w:rPr>
          <w:rFonts w:ascii="Times New Roman" w:hAnsi="Times New Roman" w:cs="Times New Roman"/>
          <w:b/>
          <w:bCs/>
          <w:sz w:val="24"/>
        </w:rPr>
        <w:t xml:space="preserve">ABSTRACT </w:t>
      </w:r>
    </w:p>
    <w:p w:rsidR="002B13B1" w:rsidRPr="00F12468" w:rsidRDefault="002B13B1" w:rsidP="006F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pt-BR"/>
        </w:rPr>
      </w:pPr>
      <w:r w:rsidRPr="00F12468">
        <w:rPr>
          <w:rFonts w:ascii="Times New Roman" w:eastAsia="Times New Roman" w:hAnsi="Times New Roman" w:cs="Times New Roman"/>
          <w:sz w:val="24"/>
          <w:szCs w:val="24"/>
          <w:lang w:eastAsia="pt-BR"/>
        </w:rPr>
        <w:t xml:space="preserve">In the current historical period, a certain movement of normative, political and financial </w:t>
      </w:r>
      <w:r w:rsidRPr="00174A1E">
        <w:rPr>
          <w:rFonts w:ascii="Times New Roman" w:eastAsia="Times New Roman" w:hAnsi="Times New Roman" w:cs="Times New Roman"/>
          <w:sz w:val="24"/>
          <w:szCs w:val="24"/>
          <w:lang w:eastAsia="pt-BR"/>
        </w:rPr>
        <w:t>weakening</w:t>
      </w:r>
      <w:r w:rsidRPr="00F12468">
        <w:rPr>
          <w:rFonts w:ascii="Times New Roman" w:eastAsia="Times New Roman" w:hAnsi="Times New Roman" w:cs="Times New Roman"/>
          <w:sz w:val="24"/>
          <w:szCs w:val="24"/>
          <w:lang w:eastAsia="pt-BR"/>
        </w:rPr>
        <w:t xml:space="preserve"> of the political institutions related to the regional </w:t>
      </w:r>
      <w:r w:rsidRPr="00174A1E">
        <w:rPr>
          <w:rFonts w:ascii="Times New Roman" w:eastAsia="Times New Roman" w:hAnsi="Times New Roman" w:cs="Times New Roman"/>
          <w:sz w:val="24"/>
          <w:szCs w:val="24"/>
          <w:lang w:eastAsia="pt-BR"/>
        </w:rPr>
        <w:t>subject</w:t>
      </w:r>
      <w:r w:rsidRPr="00F12468">
        <w:rPr>
          <w:rFonts w:ascii="Times New Roman" w:eastAsia="Times New Roman" w:hAnsi="Times New Roman" w:cs="Times New Roman"/>
          <w:sz w:val="24"/>
          <w:szCs w:val="24"/>
          <w:lang w:eastAsia="pt-BR"/>
        </w:rPr>
        <w:t xml:space="preserve"> can be seen, a fierce situation under the maintenance of the macroeconomic </w:t>
      </w:r>
      <w:r w:rsidRPr="00174A1E">
        <w:rPr>
          <w:rFonts w:ascii="Times New Roman" w:eastAsia="Times New Roman" w:hAnsi="Times New Roman" w:cs="Times New Roman"/>
          <w:sz w:val="24"/>
          <w:szCs w:val="24"/>
          <w:lang w:eastAsia="pt-BR"/>
        </w:rPr>
        <w:t>structure</w:t>
      </w:r>
      <w:r w:rsidRPr="00F12468">
        <w:rPr>
          <w:rFonts w:ascii="Times New Roman" w:eastAsia="Times New Roman" w:hAnsi="Times New Roman" w:cs="Times New Roman"/>
          <w:sz w:val="24"/>
          <w:szCs w:val="24"/>
          <w:lang w:eastAsia="pt-BR"/>
        </w:rPr>
        <w:t>and tensioning of thefragmentation</w:t>
      </w:r>
      <w:r>
        <w:rPr>
          <w:rFonts w:ascii="Times New Roman" w:eastAsia="Times New Roman" w:hAnsi="Times New Roman" w:cs="Times New Roman"/>
          <w:sz w:val="24"/>
          <w:szCs w:val="24"/>
          <w:lang w:eastAsia="pt-BR"/>
        </w:rPr>
        <w:t xml:space="preserve"> forces of </w:t>
      </w:r>
      <w:r w:rsidRPr="00F12468">
        <w:rPr>
          <w:rFonts w:ascii="Times New Roman" w:eastAsia="Times New Roman" w:hAnsi="Times New Roman" w:cs="Times New Roman"/>
          <w:sz w:val="24"/>
          <w:szCs w:val="24"/>
          <w:lang w:eastAsia="pt-BR"/>
        </w:rPr>
        <w:t xml:space="preserve">the regional productive articulation. In this sense, this </w:t>
      </w:r>
      <w:r>
        <w:rPr>
          <w:rFonts w:ascii="Times New Roman" w:eastAsia="Times New Roman" w:hAnsi="Times New Roman" w:cs="Times New Roman"/>
          <w:sz w:val="24"/>
          <w:szCs w:val="24"/>
          <w:lang w:eastAsia="pt-BR"/>
        </w:rPr>
        <w:t>paper</w:t>
      </w:r>
      <w:r w:rsidRPr="00F12468">
        <w:rPr>
          <w:rFonts w:ascii="Times New Roman" w:eastAsia="Times New Roman" w:hAnsi="Times New Roman" w:cs="Times New Roman"/>
          <w:sz w:val="24"/>
          <w:szCs w:val="24"/>
          <w:lang w:eastAsia="pt-BR"/>
        </w:rPr>
        <w:t xml:space="preserve"> aims to analyze the regional policygovernance structure, especially </w:t>
      </w:r>
      <w:r>
        <w:rPr>
          <w:rFonts w:ascii="Times New Roman" w:eastAsia="Times New Roman" w:hAnsi="Times New Roman" w:cs="Times New Roman"/>
          <w:sz w:val="24"/>
          <w:szCs w:val="24"/>
          <w:lang w:eastAsia="pt-BR"/>
        </w:rPr>
        <w:t xml:space="preserve">of </w:t>
      </w:r>
      <w:r w:rsidRPr="00F12468">
        <w:rPr>
          <w:rFonts w:ascii="Times New Roman" w:eastAsia="Times New Roman" w:hAnsi="Times New Roman" w:cs="Times New Roman"/>
          <w:sz w:val="24"/>
          <w:szCs w:val="24"/>
          <w:lang w:eastAsia="pt-BR"/>
        </w:rPr>
        <w:t xml:space="preserve">SUDENE. For this, the work </w:t>
      </w:r>
      <w:r w:rsidRPr="00174A1E">
        <w:rPr>
          <w:rFonts w:ascii="Times New Roman" w:eastAsia="Times New Roman" w:hAnsi="Times New Roman" w:cs="Times New Roman"/>
          <w:sz w:val="24"/>
          <w:szCs w:val="24"/>
          <w:lang w:eastAsia="pt-BR"/>
        </w:rPr>
        <w:t>adopts</w:t>
      </w:r>
      <w:r w:rsidRPr="00F12468">
        <w:rPr>
          <w:rFonts w:ascii="Times New Roman" w:eastAsia="Times New Roman" w:hAnsi="Times New Roman" w:cs="Times New Roman"/>
          <w:sz w:val="24"/>
          <w:szCs w:val="24"/>
          <w:lang w:eastAsia="pt-BR"/>
        </w:rPr>
        <w:t xml:space="preserve"> two interconnected methodological paths, in the foreground we use the historical-structural method applied to regional analysis. </w:t>
      </w:r>
      <w:r>
        <w:rPr>
          <w:rFonts w:ascii="Times New Roman" w:eastAsia="Times New Roman" w:hAnsi="Times New Roman" w:cs="Times New Roman"/>
          <w:sz w:val="24"/>
          <w:szCs w:val="24"/>
          <w:lang w:eastAsia="pt-BR"/>
        </w:rPr>
        <w:t>Secondly</w:t>
      </w:r>
      <w:r w:rsidRPr="00F12468">
        <w:rPr>
          <w:rFonts w:ascii="Times New Roman" w:eastAsia="Times New Roman" w:hAnsi="Times New Roman" w:cs="Times New Roman"/>
          <w:sz w:val="24"/>
          <w:szCs w:val="24"/>
          <w:lang w:eastAsia="pt-BR"/>
        </w:rPr>
        <w:t xml:space="preserve">, we focus on the deliberations in the minutes of the CONDEL meeting to investigate theFederal Autarchy logic of action. </w:t>
      </w:r>
      <w:r>
        <w:rPr>
          <w:rFonts w:ascii="Times New Roman" w:eastAsia="Times New Roman" w:hAnsi="Times New Roman" w:cs="Times New Roman"/>
          <w:sz w:val="24"/>
          <w:szCs w:val="24"/>
          <w:lang w:eastAsia="pt-BR"/>
        </w:rPr>
        <w:t>W</w:t>
      </w:r>
      <w:r w:rsidRPr="00F12468">
        <w:rPr>
          <w:rFonts w:ascii="Times New Roman" w:eastAsia="Times New Roman" w:hAnsi="Times New Roman" w:cs="Times New Roman"/>
          <w:sz w:val="24"/>
          <w:szCs w:val="24"/>
          <w:lang w:eastAsia="pt-BR"/>
        </w:rPr>
        <w:t xml:space="preserve">e conclude that the Superintendence is undergoing a process of political and institutional dismantling, with actions </w:t>
      </w:r>
      <w:r>
        <w:rPr>
          <w:rFonts w:ascii="Times New Roman" w:eastAsia="Times New Roman" w:hAnsi="Times New Roman" w:cs="Times New Roman"/>
          <w:sz w:val="24"/>
          <w:szCs w:val="24"/>
          <w:lang w:eastAsia="pt-BR"/>
        </w:rPr>
        <w:t xml:space="preserve">focused on the the instituion </w:t>
      </w:r>
      <w:r w:rsidRPr="00F12468">
        <w:rPr>
          <w:rFonts w:ascii="Times New Roman" w:eastAsia="Times New Roman" w:hAnsi="Times New Roman" w:cs="Times New Roman"/>
          <w:sz w:val="24"/>
          <w:szCs w:val="24"/>
          <w:lang w:eastAsia="pt-BR"/>
        </w:rPr>
        <w:t xml:space="preserve">and </w:t>
      </w:r>
      <w:r>
        <w:rPr>
          <w:rFonts w:ascii="Times New Roman" w:eastAsia="Times New Roman" w:hAnsi="Times New Roman" w:cs="Times New Roman"/>
          <w:sz w:val="24"/>
          <w:szCs w:val="24"/>
          <w:lang w:eastAsia="pt-BR"/>
        </w:rPr>
        <w:t>barely connected</w:t>
      </w:r>
      <w:r w:rsidRPr="00F12468">
        <w:rPr>
          <w:rFonts w:ascii="Times New Roman" w:eastAsia="Times New Roman" w:hAnsi="Times New Roman" w:cs="Times New Roman"/>
          <w:sz w:val="24"/>
          <w:szCs w:val="24"/>
          <w:lang w:eastAsia="pt-BR"/>
        </w:rPr>
        <w:t xml:space="preserve"> with latent regional demands.</w:t>
      </w:r>
    </w:p>
    <w:p w:rsidR="002B13B1" w:rsidRDefault="002B13B1">
      <w:pPr>
        <w:spacing w:after="0" w:line="360" w:lineRule="auto"/>
        <w:jc w:val="both"/>
        <w:rPr>
          <w:rFonts w:ascii="Times New Roman" w:eastAsia="Times New Roman" w:hAnsi="Times New Roman" w:cs="Times New Roman"/>
          <w:sz w:val="24"/>
          <w:szCs w:val="24"/>
          <w:lang w:eastAsia="pt-BR"/>
        </w:rPr>
      </w:pPr>
    </w:p>
    <w:p w:rsidR="002B13B1" w:rsidRPr="002B13B1" w:rsidRDefault="002B13B1">
      <w:pPr>
        <w:spacing w:after="0" w:line="360" w:lineRule="auto"/>
        <w:jc w:val="both"/>
        <w:rPr>
          <w:rFonts w:ascii="Times New Roman" w:eastAsia="Times New Roman" w:hAnsi="Times New Roman" w:cs="Times New Roman"/>
          <w:sz w:val="24"/>
          <w:szCs w:val="24"/>
          <w:lang w:eastAsia="pt-BR"/>
        </w:rPr>
      </w:pPr>
      <w:r w:rsidRPr="002B13B1">
        <w:rPr>
          <w:rFonts w:ascii="Times New Roman" w:hAnsi="Times New Roman" w:cs="Times New Roman"/>
          <w:b/>
          <w:sz w:val="24"/>
          <w:szCs w:val="24"/>
        </w:rPr>
        <w:t>Keywords:</w:t>
      </w:r>
      <w:r>
        <w:rPr>
          <w:rFonts w:ascii="Times New Roman" w:eastAsia="Times New Roman" w:hAnsi="Times New Roman" w:cs="Times New Roman"/>
          <w:sz w:val="24"/>
          <w:szCs w:val="24"/>
          <w:lang w:eastAsia="pt-BR"/>
        </w:rPr>
        <w:t>Productive fragmentation;Macroeconomics Tripod; Regional Articulation; SUDENE; CONDEL</w:t>
      </w:r>
    </w:p>
    <w:p w:rsidR="00F72780" w:rsidRDefault="00F72780">
      <w:pPr>
        <w:spacing w:after="0" w:line="360" w:lineRule="auto"/>
        <w:jc w:val="both"/>
        <w:rPr>
          <w:rFonts w:ascii="Times New Roman" w:hAnsi="Times New Roman" w:cs="Times New Roman"/>
          <w:sz w:val="24"/>
          <w:szCs w:val="24"/>
        </w:rPr>
      </w:pPr>
    </w:p>
    <w:p w:rsidR="00F72780" w:rsidRDefault="00A65F5D">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1 INTRODUÇÃO</w:t>
      </w:r>
    </w:p>
    <w:p w:rsidR="002B13B1" w:rsidRPr="00DC1330" w:rsidRDefault="002B13B1" w:rsidP="002B13B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Atualmente a</w:t>
      </w:r>
      <w:r w:rsidRPr="00DC1330">
        <w:rPr>
          <w:rFonts w:ascii="Times New Roman" w:hAnsi="Times New Roman" w:cs="Times New Roman"/>
          <w:sz w:val="24"/>
          <w:szCs w:val="24"/>
        </w:rPr>
        <w:t xml:space="preserve"> economia brasileira enfrenta problemas estruturais que </w:t>
      </w:r>
      <w:r>
        <w:rPr>
          <w:rFonts w:ascii="Times New Roman" w:hAnsi="Times New Roman" w:cs="Times New Roman"/>
          <w:sz w:val="24"/>
          <w:szCs w:val="24"/>
        </w:rPr>
        <w:t xml:space="preserve">a </w:t>
      </w:r>
      <w:r w:rsidRPr="00DC1330">
        <w:rPr>
          <w:rFonts w:ascii="Times New Roman" w:hAnsi="Times New Roman" w:cs="Times New Roman"/>
          <w:sz w:val="24"/>
          <w:szCs w:val="24"/>
        </w:rPr>
        <w:t>afligem desde os anos 1980, como o processo de desindustrialização</w:t>
      </w:r>
      <w:r>
        <w:rPr>
          <w:rFonts w:ascii="Times New Roman" w:hAnsi="Times New Roman" w:cs="Times New Roman"/>
          <w:sz w:val="24"/>
          <w:szCs w:val="24"/>
        </w:rPr>
        <w:t xml:space="preserve"> precoce</w:t>
      </w:r>
      <w:r w:rsidRPr="00DC1330">
        <w:rPr>
          <w:rFonts w:ascii="Times New Roman" w:hAnsi="Times New Roman" w:cs="Times New Roman"/>
          <w:sz w:val="24"/>
          <w:szCs w:val="24"/>
        </w:rPr>
        <w:t xml:space="preserve"> e a especialização regressiva da estrutura produtiva e da pauta exportadora. Essas questões foram acirradas pela</w:t>
      </w:r>
      <w:r>
        <w:rPr>
          <w:rFonts w:ascii="Times New Roman" w:hAnsi="Times New Roman" w:cs="Times New Roman"/>
          <w:sz w:val="24"/>
          <w:szCs w:val="24"/>
        </w:rPr>
        <w:t xml:space="preserve"> adoção e</w:t>
      </w:r>
      <w:r w:rsidRPr="00DC1330">
        <w:rPr>
          <w:rFonts w:ascii="Times New Roman" w:hAnsi="Times New Roman" w:cs="Times New Roman"/>
          <w:sz w:val="24"/>
          <w:szCs w:val="24"/>
        </w:rPr>
        <w:t xml:space="preserve"> manutenção do tripé macroeconômico </w:t>
      </w:r>
      <w:r>
        <w:rPr>
          <w:rFonts w:ascii="Times New Roman" w:hAnsi="Times New Roman" w:cs="Times New Roman"/>
          <w:sz w:val="24"/>
          <w:szCs w:val="24"/>
        </w:rPr>
        <w:t>no século XXI.</w:t>
      </w:r>
      <w:r w:rsidRPr="00DC1330">
        <w:rPr>
          <w:rFonts w:ascii="Times New Roman" w:hAnsi="Times New Roman" w:cs="Times New Roman"/>
          <w:sz w:val="24"/>
          <w:szCs w:val="24"/>
        </w:rPr>
        <w:t xml:space="preserve">Nesse contexto, </w:t>
      </w:r>
      <w:r>
        <w:rPr>
          <w:rFonts w:ascii="Times New Roman" w:hAnsi="Times New Roman" w:cs="Times New Roman"/>
          <w:sz w:val="24"/>
          <w:szCs w:val="24"/>
        </w:rPr>
        <w:t xml:space="preserve">emergem tendências de fragmentação da articulação produtiva regional, com ruptura do laços de solidariedade intersetorial e inter-regional, como apontam Pacheco (1996) e Macedo(2010). A fragmentação se expressa também sobre as instituições voltadas para a temática regional. De tal sorte, </w:t>
      </w:r>
      <w:r w:rsidRPr="00DC1330">
        <w:rPr>
          <w:rFonts w:ascii="Times New Roman" w:hAnsi="Times New Roman" w:cs="Times New Roman"/>
          <w:sz w:val="24"/>
          <w:szCs w:val="24"/>
        </w:rPr>
        <w:t>o presente trabalho tem o objetivo investigar a lógica de atuação dos instrumentos da política regional</w:t>
      </w:r>
      <w:r>
        <w:rPr>
          <w:rFonts w:ascii="Times New Roman" w:hAnsi="Times New Roman" w:cs="Times New Roman"/>
          <w:sz w:val="24"/>
          <w:szCs w:val="24"/>
        </w:rPr>
        <w:t xml:space="preserve"> na presente quadra histórico</w:t>
      </w:r>
      <w:r w:rsidRPr="00DC1330">
        <w:rPr>
          <w:rFonts w:ascii="Times New Roman" w:hAnsi="Times New Roman" w:cs="Times New Roman"/>
          <w:sz w:val="24"/>
          <w:szCs w:val="24"/>
        </w:rPr>
        <w:t xml:space="preserve"> em </w:t>
      </w:r>
      <w:r w:rsidR="006F0285" w:rsidRPr="00DC1330">
        <w:rPr>
          <w:rFonts w:ascii="Times New Roman" w:hAnsi="Times New Roman" w:cs="Times New Roman"/>
          <w:sz w:val="24"/>
          <w:szCs w:val="24"/>
        </w:rPr>
        <w:t>especial</w:t>
      </w:r>
      <w:r w:rsidRPr="00DC1330">
        <w:rPr>
          <w:rFonts w:ascii="Times New Roman" w:hAnsi="Times New Roman" w:cs="Times New Roman"/>
          <w:sz w:val="24"/>
          <w:szCs w:val="24"/>
        </w:rPr>
        <w:t xml:space="preserve"> </w:t>
      </w:r>
      <w:r w:rsidR="006F0285">
        <w:rPr>
          <w:rFonts w:ascii="Times New Roman" w:hAnsi="Times New Roman" w:cs="Times New Roman"/>
          <w:sz w:val="24"/>
          <w:szCs w:val="24"/>
        </w:rPr>
        <w:t xml:space="preserve">a </w:t>
      </w:r>
      <w:r w:rsidRPr="00DC1330">
        <w:rPr>
          <w:rFonts w:ascii="Times New Roman" w:hAnsi="Times New Roman" w:cs="Times New Roman"/>
          <w:sz w:val="24"/>
          <w:szCs w:val="24"/>
        </w:rPr>
        <w:t>Superintendência d</w:t>
      </w:r>
      <w:r>
        <w:rPr>
          <w:rFonts w:ascii="Times New Roman" w:hAnsi="Times New Roman" w:cs="Times New Roman"/>
          <w:sz w:val="24"/>
          <w:szCs w:val="24"/>
        </w:rPr>
        <w:t>o</w:t>
      </w:r>
      <w:r w:rsidRPr="00DC1330">
        <w:rPr>
          <w:rFonts w:ascii="Times New Roman" w:hAnsi="Times New Roman" w:cs="Times New Roman"/>
          <w:sz w:val="24"/>
          <w:szCs w:val="24"/>
        </w:rPr>
        <w:t xml:space="preserve"> Desenvolvimento </w:t>
      </w:r>
      <w:r>
        <w:rPr>
          <w:rFonts w:ascii="Times New Roman" w:hAnsi="Times New Roman" w:cs="Times New Roman"/>
          <w:sz w:val="24"/>
          <w:szCs w:val="24"/>
        </w:rPr>
        <w:t xml:space="preserve">do Nordeste </w:t>
      </w:r>
      <w:r w:rsidRPr="00DC1330">
        <w:rPr>
          <w:rFonts w:ascii="Times New Roman" w:hAnsi="Times New Roman" w:cs="Times New Roman"/>
          <w:sz w:val="24"/>
          <w:szCs w:val="24"/>
        </w:rPr>
        <w:t>(SUDENE</w:t>
      </w:r>
      <w:r>
        <w:rPr>
          <w:rFonts w:ascii="Times New Roman" w:hAnsi="Times New Roman" w:cs="Times New Roman"/>
          <w:sz w:val="24"/>
          <w:szCs w:val="24"/>
        </w:rPr>
        <w:t>), sob a hipótese de um possível esvaziamento pela Autarquia Federal por conta de e alinhado à possibilidade de fragmentação regional.</w:t>
      </w:r>
    </w:p>
    <w:p w:rsidR="002B13B1" w:rsidRPr="0047619F" w:rsidRDefault="002B13B1" w:rsidP="002B13B1">
      <w:pPr>
        <w:spacing w:after="0" w:line="360" w:lineRule="auto"/>
        <w:jc w:val="both"/>
        <w:rPr>
          <w:rFonts w:ascii="Times New Roman" w:hAnsi="Times New Roman" w:cs="Times New Roman"/>
          <w:sz w:val="24"/>
          <w:szCs w:val="24"/>
        </w:rPr>
      </w:pPr>
      <w:r>
        <w:tab/>
      </w:r>
      <w:r w:rsidRPr="0047619F">
        <w:rPr>
          <w:rFonts w:ascii="Times New Roman" w:hAnsi="Times New Roman" w:cs="Times New Roman"/>
          <w:sz w:val="24"/>
          <w:szCs w:val="24"/>
        </w:rPr>
        <w:t xml:space="preserve">Na parte metodológica fizemos uso do amplo arcabouço disponível na literatura, utilizando como guia o método histórico estrutural aplicado à análise regional, com abordagem qualitativa </w:t>
      </w:r>
      <w:r w:rsidRPr="0047619F">
        <w:rPr>
          <w:rFonts w:ascii="Times New Roman" w:eastAsia="Times New Roman" w:hAnsi="Times New Roman" w:cs="Times New Roman"/>
          <w:sz w:val="24"/>
          <w:szCs w:val="24"/>
          <w:lang w:eastAsia="pt-BR"/>
        </w:rPr>
        <w:t>através da utilização de pesquisas bibliográficas, e quantitativa, com uso da estatística descritiva. Em complemento, analisamos as atas publicadas pelas reuniões do Conselho Deliberativo d</w:t>
      </w:r>
      <w:r>
        <w:rPr>
          <w:rFonts w:ascii="Times New Roman" w:eastAsia="Times New Roman" w:hAnsi="Times New Roman" w:cs="Times New Roman"/>
          <w:sz w:val="24"/>
          <w:szCs w:val="24"/>
          <w:lang w:eastAsia="pt-BR"/>
        </w:rPr>
        <w:t>a SUDENE (CONDEL/SUDENE</w:t>
      </w:r>
      <w:r w:rsidR="006F0285">
        <w:rPr>
          <w:rFonts w:ascii="Times New Roman" w:eastAsia="Times New Roman" w:hAnsi="Times New Roman" w:cs="Times New Roman"/>
          <w:sz w:val="24"/>
          <w:szCs w:val="24"/>
          <w:lang w:eastAsia="pt-BR"/>
        </w:rPr>
        <w:t>)</w:t>
      </w:r>
      <w:r w:rsidR="006F0285" w:rsidRPr="0047619F">
        <w:rPr>
          <w:rFonts w:ascii="Times New Roman" w:eastAsia="Times New Roman" w:hAnsi="Times New Roman" w:cs="Times New Roman"/>
          <w:sz w:val="24"/>
          <w:szCs w:val="24"/>
          <w:lang w:eastAsia="pt-BR"/>
        </w:rPr>
        <w:t xml:space="preserve"> para</w:t>
      </w:r>
      <w:r w:rsidRPr="0047619F">
        <w:rPr>
          <w:rFonts w:ascii="Times New Roman" w:eastAsia="Times New Roman" w:hAnsi="Times New Roman" w:cs="Times New Roman"/>
          <w:sz w:val="24"/>
          <w:szCs w:val="24"/>
          <w:lang w:eastAsia="pt-BR"/>
        </w:rPr>
        <w:t xml:space="preserve"> captar as transformações sobre as operações e ações d</w:t>
      </w:r>
      <w:r>
        <w:rPr>
          <w:rFonts w:ascii="Times New Roman" w:eastAsia="Times New Roman" w:hAnsi="Times New Roman" w:cs="Times New Roman"/>
          <w:sz w:val="24"/>
          <w:szCs w:val="24"/>
          <w:lang w:eastAsia="pt-BR"/>
        </w:rPr>
        <w:t>a Superintendência</w:t>
      </w:r>
      <w:r w:rsidRPr="0047619F">
        <w:rPr>
          <w:rFonts w:ascii="Times New Roman" w:eastAsia="Times New Roman" w:hAnsi="Times New Roman" w:cs="Times New Roman"/>
          <w:sz w:val="24"/>
          <w:szCs w:val="24"/>
          <w:lang w:eastAsia="pt-BR"/>
        </w:rPr>
        <w:t xml:space="preserve">. </w:t>
      </w:r>
    </w:p>
    <w:p w:rsidR="002B13B1" w:rsidRDefault="002B13B1" w:rsidP="002B13B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47619F">
        <w:rPr>
          <w:rFonts w:ascii="Times New Roman" w:hAnsi="Times New Roman" w:cs="Times New Roman"/>
          <w:sz w:val="24"/>
          <w:szCs w:val="24"/>
        </w:rPr>
        <w:t xml:space="preserve">Além dessa introdução o presente texto conta com outras </w:t>
      </w:r>
      <w:r>
        <w:rPr>
          <w:rFonts w:ascii="Times New Roman" w:hAnsi="Times New Roman" w:cs="Times New Roman"/>
          <w:sz w:val="24"/>
          <w:szCs w:val="24"/>
        </w:rPr>
        <w:t>quatro</w:t>
      </w:r>
      <w:r w:rsidRPr="0047619F">
        <w:rPr>
          <w:rFonts w:ascii="Times New Roman" w:hAnsi="Times New Roman" w:cs="Times New Roman"/>
          <w:sz w:val="24"/>
          <w:szCs w:val="24"/>
        </w:rPr>
        <w:t xml:space="preserve"> seções. No segundo tópico buscamos retratar os aspectos macroeconômicos e os novos determinantes da dinâmica urbano-regional brasileira no século XXI. Na segunda seção apresentamos a </w:t>
      </w:r>
      <w:r w:rsidR="006F0285" w:rsidRPr="0047619F">
        <w:rPr>
          <w:rFonts w:ascii="Times New Roman" w:hAnsi="Times New Roman" w:cs="Times New Roman"/>
          <w:sz w:val="24"/>
          <w:szCs w:val="24"/>
        </w:rPr>
        <w:t>montagem da</w:t>
      </w:r>
      <w:r w:rsidRPr="0047619F">
        <w:rPr>
          <w:rFonts w:ascii="Times New Roman" w:hAnsi="Times New Roman" w:cs="Times New Roman"/>
          <w:sz w:val="24"/>
          <w:szCs w:val="24"/>
        </w:rPr>
        <w:t xml:space="preserve"> SUDENE e suas modificações ao longo do tempo, em especial no </w:t>
      </w:r>
      <w:r>
        <w:rPr>
          <w:rFonts w:ascii="Times New Roman" w:hAnsi="Times New Roman" w:cs="Times New Roman"/>
          <w:sz w:val="24"/>
          <w:szCs w:val="24"/>
        </w:rPr>
        <w:t>período recente</w:t>
      </w:r>
      <w:r w:rsidRPr="0047619F">
        <w:rPr>
          <w:rFonts w:ascii="Times New Roman" w:hAnsi="Times New Roman" w:cs="Times New Roman"/>
          <w:sz w:val="24"/>
          <w:szCs w:val="24"/>
        </w:rPr>
        <w:t>. Na terceira seção fizemos um exercício de</w:t>
      </w:r>
      <w:r>
        <w:rPr>
          <w:rFonts w:ascii="Times New Roman" w:hAnsi="Times New Roman" w:cs="Times New Roman"/>
          <w:sz w:val="24"/>
          <w:szCs w:val="24"/>
        </w:rPr>
        <w:t xml:space="preserve"> analisar </w:t>
      </w:r>
      <w:r w:rsidRPr="0047619F">
        <w:rPr>
          <w:rFonts w:ascii="Times New Roman" w:hAnsi="Times New Roman" w:cs="Times New Roman"/>
          <w:sz w:val="24"/>
          <w:szCs w:val="24"/>
        </w:rPr>
        <w:t>as atas de reuniões do CONDE</w:t>
      </w:r>
      <w:r>
        <w:rPr>
          <w:rFonts w:ascii="Times New Roman" w:hAnsi="Times New Roman" w:cs="Times New Roman"/>
          <w:sz w:val="24"/>
          <w:szCs w:val="24"/>
        </w:rPr>
        <w:t>L</w:t>
      </w:r>
      <w:r w:rsidRPr="0047619F">
        <w:rPr>
          <w:rFonts w:ascii="Times New Roman" w:hAnsi="Times New Roman" w:cs="Times New Roman"/>
          <w:sz w:val="24"/>
          <w:szCs w:val="24"/>
        </w:rPr>
        <w:t>.</w:t>
      </w:r>
      <w:r>
        <w:rPr>
          <w:rFonts w:ascii="Times New Roman" w:hAnsi="Times New Roman" w:cs="Times New Roman"/>
          <w:sz w:val="24"/>
          <w:szCs w:val="24"/>
        </w:rPr>
        <w:t xml:space="preserve"> C</w:t>
      </w:r>
      <w:r w:rsidRPr="0047619F">
        <w:rPr>
          <w:rFonts w:ascii="Times New Roman" w:hAnsi="Times New Roman" w:cs="Times New Roman"/>
          <w:sz w:val="24"/>
          <w:szCs w:val="24"/>
        </w:rPr>
        <w:t xml:space="preserve">ategorizamos as resoluções e catalogamos o número de reuniões, a </w:t>
      </w:r>
      <w:r w:rsidR="006F0285" w:rsidRPr="0047619F">
        <w:rPr>
          <w:rFonts w:ascii="Times New Roman" w:hAnsi="Times New Roman" w:cs="Times New Roman"/>
          <w:sz w:val="24"/>
          <w:szCs w:val="24"/>
        </w:rPr>
        <w:t>freqüência</w:t>
      </w:r>
      <w:r w:rsidRPr="0047619F">
        <w:rPr>
          <w:rFonts w:ascii="Times New Roman" w:hAnsi="Times New Roman" w:cs="Times New Roman"/>
          <w:sz w:val="24"/>
          <w:szCs w:val="24"/>
        </w:rPr>
        <w:t xml:space="preserve"> dos governado</w:t>
      </w:r>
      <w:r>
        <w:rPr>
          <w:rFonts w:ascii="Times New Roman" w:hAnsi="Times New Roman" w:cs="Times New Roman"/>
          <w:sz w:val="24"/>
          <w:szCs w:val="24"/>
        </w:rPr>
        <w:t>res</w:t>
      </w:r>
      <w:r w:rsidRPr="0047619F">
        <w:rPr>
          <w:rFonts w:ascii="Times New Roman" w:hAnsi="Times New Roman" w:cs="Times New Roman"/>
          <w:sz w:val="24"/>
          <w:szCs w:val="24"/>
        </w:rPr>
        <w:t xml:space="preserve"> e os locais onde os encontros foram realizados. </w:t>
      </w:r>
      <w:r>
        <w:rPr>
          <w:rFonts w:ascii="Times New Roman" w:hAnsi="Times New Roman" w:cs="Times New Roman"/>
          <w:sz w:val="24"/>
          <w:szCs w:val="24"/>
        </w:rPr>
        <w:t>Por último, chegamos a nossas conclusões</w:t>
      </w:r>
    </w:p>
    <w:p w:rsidR="00F72780" w:rsidRDefault="002B13B1" w:rsidP="002B13B1">
      <w:pPr>
        <w:spacing w:after="0" w:line="360" w:lineRule="auto"/>
        <w:ind w:firstLine="708"/>
        <w:jc w:val="both"/>
        <w:rPr>
          <w:rFonts w:ascii="Times New Roman" w:hAnsi="Times New Roman" w:cs="Times New Roman"/>
          <w:sz w:val="24"/>
          <w:szCs w:val="24"/>
        </w:rPr>
      </w:pPr>
      <w:r w:rsidRPr="0047619F">
        <w:rPr>
          <w:rFonts w:ascii="Times New Roman" w:hAnsi="Times New Roman" w:cs="Times New Roman"/>
          <w:sz w:val="24"/>
          <w:szCs w:val="24"/>
        </w:rPr>
        <w:t>Como saldo final dessa tarefa concluímos que a SUDENE passa por progressivo quadro de deterioração política</w:t>
      </w:r>
      <w:r>
        <w:rPr>
          <w:rFonts w:ascii="Times New Roman" w:hAnsi="Times New Roman" w:cs="Times New Roman"/>
          <w:sz w:val="24"/>
          <w:szCs w:val="24"/>
        </w:rPr>
        <w:t xml:space="preserve">, </w:t>
      </w:r>
      <w:r w:rsidRPr="0047619F">
        <w:rPr>
          <w:rFonts w:ascii="Times New Roman" w:hAnsi="Times New Roman" w:cs="Times New Roman"/>
          <w:sz w:val="24"/>
          <w:szCs w:val="24"/>
        </w:rPr>
        <w:t>institucional</w:t>
      </w:r>
      <w:r>
        <w:rPr>
          <w:rFonts w:ascii="Times New Roman" w:hAnsi="Times New Roman" w:cs="Times New Roman"/>
          <w:sz w:val="24"/>
          <w:szCs w:val="24"/>
        </w:rPr>
        <w:t xml:space="preserve"> e até na infraestrutura física</w:t>
      </w:r>
      <w:r w:rsidRPr="0047619F">
        <w:rPr>
          <w:rFonts w:ascii="Times New Roman" w:hAnsi="Times New Roman" w:cs="Times New Roman"/>
          <w:sz w:val="24"/>
          <w:szCs w:val="24"/>
        </w:rPr>
        <w:t>, pouco influenciando os rumos da economia nordestin</w:t>
      </w:r>
      <w:r>
        <w:rPr>
          <w:rFonts w:ascii="Times New Roman" w:hAnsi="Times New Roman" w:cs="Times New Roman"/>
          <w:sz w:val="24"/>
          <w:szCs w:val="24"/>
        </w:rPr>
        <w:t>a</w:t>
      </w:r>
      <w:r w:rsidRPr="0047619F">
        <w:rPr>
          <w:rFonts w:ascii="Times New Roman" w:hAnsi="Times New Roman" w:cs="Times New Roman"/>
          <w:sz w:val="24"/>
          <w:szCs w:val="24"/>
        </w:rPr>
        <w:t>,</w:t>
      </w:r>
      <w:r>
        <w:rPr>
          <w:rFonts w:ascii="Times New Roman" w:hAnsi="Times New Roman" w:cs="Times New Roman"/>
          <w:sz w:val="24"/>
          <w:szCs w:val="24"/>
        </w:rPr>
        <w:t xml:space="preserve">com ações apartados dos desafios e </w:t>
      </w:r>
      <w:r>
        <w:rPr>
          <w:rFonts w:ascii="Times New Roman" w:hAnsi="Times New Roman" w:cs="Times New Roman"/>
          <w:sz w:val="24"/>
          <w:szCs w:val="24"/>
        </w:rPr>
        <w:lastRenderedPageBreak/>
        <w:t>necessidades da dinâmica regional diante do quadro de fragmentação das articulações produtivas e especialização m atividades de parco valor adicionado e baixo conteúdo tecnológico.</w:t>
      </w:r>
    </w:p>
    <w:p w:rsidR="00F72780" w:rsidRDefault="00F72780">
      <w:pPr>
        <w:spacing w:after="0" w:line="240" w:lineRule="auto"/>
        <w:jc w:val="both"/>
        <w:rPr>
          <w:rFonts w:ascii="Times New Roman" w:hAnsi="Times New Roman" w:cs="Times New Roman"/>
          <w:sz w:val="24"/>
          <w:szCs w:val="24"/>
        </w:rPr>
      </w:pPr>
    </w:p>
    <w:p w:rsidR="00F72780" w:rsidRDefault="00F72780">
      <w:pPr>
        <w:spacing w:after="0" w:line="240" w:lineRule="auto"/>
        <w:jc w:val="both"/>
        <w:rPr>
          <w:rFonts w:ascii="Times New Roman" w:hAnsi="Times New Roman" w:cs="Times New Roman"/>
          <w:sz w:val="24"/>
          <w:szCs w:val="24"/>
        </w:rPr>
      </w:pPr>
    </w:p>
    <w:p w:rsidR="006F0285" w:rsidRDefault="00A65F5D" w:rsidP="006F0285">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2 ASPECTOS METODOLÓGICOS</w:t>
      </w:r>
    </w:p>
    <w:p w:rsidR="002B13B1" w:rsidRPr="002B13B1" w:rsidRDefault="002B13B1" w:rsidP="006F0285">
      <w:pPr>
        <w:spacing w:after="0" w:line="240" w:lineRule="auto"/>
        <w:jc w:val="both"/>
        <w:rPr>
          <w:rFonts w:ascii="Times New Roman" w:hAnsi="Times New Roman" w:cs="Times New Roman"/>
          <w:b/>
          <w:bCs/>
          <w:sz w:val="24"/>
          <w:szCs w:val="24"/>
        </w:rPr>
      </w:pPr>
      <w:r w:rsidRPr="002B13B1">
        <w:rPr>
          <w:rFonts w:ascii="Times New Roman" w:hAnsi="Times New Roman" w:cs="Times New Roman"/>
          <w:b/>
          <w:bCs/>
          <w:sz w:val="24"/>
          <w:szCs w:val="24"/>
        </w:rPr>
        <w:t>2.1</w:t>
      </w:r>
      <w:r w:rsidR="006F0285">
        <w:rPr>
          <w:rFonts w:ascii="Times New Roman" w:hAnsi="Times New Roman" w:cs="Times New Roman"/>
          <w:b/>
          <w:bCs/>
          <w:sz w:val="24"/>
          <w:szCs w:val="24"/>
        </w:rPr>
        <w:t xml:space="preserve"> </w:t>
      </w:r>
      <w:r w:rsidRPr="002B13B1">
        <w:rPr>
          <w:rFonts w:ascii="Times New Roman" w:hAnsi="Times New Roman" w:cs="Times New Roman"/>
          <w:b/>
          <w:bCs/>
          <w:sz w:val="24"/>
          <w:szCs w:val="24"/>
        </w:rPr>
        <w:t xml:space="preserve"> Método histórico estrutural: Desindustrialização, tripé macroeconômico e as forças de fragmentação regional.</w:t>
      </w:r>
    </w:p>
    <w:p w:rsidR="002B13B1" w:rsidRPr="002B13B1" w:rsidRDefault="002B13B1" w:rsidP="002B13B1">
      <w:pPr>
        <w:spacing w:after="0" w:line="240" w:lineRule="auto"/>
        <w:jc w:val="both"/>
        <w:rPr>
          <w:rFonts w:ascii="Times New Roman" w:hAnsi="Times New Roman" w:cs="Times New Roman"/>
          <w:sz w:val="24"/>
          <w:szCs w:val="24"/>
        </w:rPr>
      </w:pPr>
    </w:p>
    <w:p w:rsidR="002B13B1" w:rsidRPr="00F85756" w:rsidRDefault="002B13B1" w:rsidP="002B13B1">
      <w:pPr>
        <w:spacing w:after="0" w:line="360" w:lineRule="auto"/>
        <w:jc w:val="both"/>
        <w:rPr>
          <w:rFonts w:ascii="Times New Roman" w:hAnsi="Times New Roman" w:cs="Times New Roman"/>
          <w:sz w:val="24"/>
          <w:szCs w:val="24"/>
        </w:rPr>
      </w:pPr>
      <w:r w:rsidRPr="00F85756">
        <w:rPr>
          <w:rFonts w:ascii="Times New Roman" w:eastAsia="Times New Roman" w:hAnsi="Times New Roman" w:cs="Times New Roman"/>
          <w:sz w:val="24"/>
          <w:szCs w:val="24"/>
          <w:shd w:val="clear" w:color="auto" w:fill="FFFFFF"/>
          <w:lang w:eastAsia="pt-BR"/>
        </w:rPr>
        <w:t xml:space="preserve">Desde os anos 1980 que </w:t>
      </w:r>
      <w:r w:rsidRPr="00F85756">
        <w:rPr>
          <w:rFonts w:ascii="Times New Roman" w:hAnsi="Times New Roman" w:cs="Times New Roman"/>
          <w:sz w:val="24"/>
          <w:szCs w:val="24"/>
        </w:rPr>
        <w:t xml:space="preserve">a economia brasileira passa por um intenso processo de modificação de sua base de acumulação, com um peso crescente do segmento de beneficiamentode produtos primários e de bens de consumo não-duráveis em detrimento da participação do setor de manufaturados ou de bens de capital. </w:t>
      </w:r>
    </w:p>
    <w:p w:rsidR="002B13B1" w:rsidRDefault="002B13B1" w:rsidP="002B13B1">
      <w:pPr>
        <w:spacing w:after="0" w:line="360" w:lineRule="auto"/>
        <w:jc w:val="both"/>
        <w:rPr>
          <w:rFonts w:ascii="Times New Roman" w:hAnsi="Times New Roman" w:cs="Times New Roman"/>
          <w:sz w:val="24"/>
          <w:szCs w:val="24"/>
        </w:rPr>
      </w:pPr>
      <w:r w:rsidRPr="00F85756">
        <w:rPr>
          <w:rFonts w:ascii="Times New Roman" w:hAnsi="Times New Roman" w:cs="Times New Roman"/>
          <w:sz w:val="24"/>
          <w:szCs w:val="24"/>
        </w:rPr>
        <w:tab/>
        <w:t xml:space="preserve">Cano (2012) chama essa </w:t>
      </w:r>
      <w:r>
        <w:rPr>
          <w:rFonts w:ascii="Times New Roman" w:hAnsi="Times New Roman" w:cs="Times New Roman"/>
          <w:sz w:val="24"/>
          <w:szCs w:val="24"/>
        </w:rPr>
        <w:t>mudança n</w:t>
      </w:r>
      <w:r w:rsidRPr="00F85756">
        <w:rPr>
          <w:rFonts w:ascii="Times New Roman" w:hAnsi="Times New Roman" w:cs="Times New Roman"/>
          <w:sz w:val="24"/>
          <w:szCs w:val="24"/>
        </w:rPr>
        <w:t xml:space="preserve">a estrutura de produção de desindustrialização precoce ou negativa, típica de países subdesenvolvidos. </w:t>
      </w:r>
      <w:r>
        <w:rPr>
          <w:rFonts w:ascii="Times New Roman" w:hAnsi="Times New Roman" w:cs="Times New Roman"/>
          <w:sz w:val="24"/>
          <w:szCs w:val="24"/>
        </w:rPr>
        <w:t xml:space="preserve">Nos países desenvolvidos, a </w:t>
      </w:r>
      <w:r w:rsidRPr="00F85756">
        <w:rPr>
          <w:rFonts w:ascii="Times New Roman" w:hAnsi="Times New Roman" w:cs="Times New Roman"/>
          <w:sz w:val="24"/>
          <w:szCs w:val="24"/>
        </w:rPr>
        <w:t xml:space="preserve">desindustrialização normal (ou positiva) </w:t>
      </w:r>
      <w:r>
        <w:rPr>
          <w:rFonts w:ascii="Times New Roman" w:hAnsi="Times New Roman" w:cs="Times New Roman"/>
          <w:sz w:val="24"/>
          <w:szCs w:val="24"/>
        </w:rPr>
        <w:t>emerge d</w:t>
      </w:r>
      <w:r w:rsidRPr="00F85756">
        <w:rPr>
          <w:rFonts w:ascii="Times New Roman" w:hAnsi="Times New Roman" w:cs="Times New Roman"/>
          <w:sz w:val="24"/>
          <w:szCs w:val="24"/>
        </w:rPr>
        <w:t>o histórico fortalecimento da indústria e da urbanização</w:t>
      </w:r>
      <w:r>
        <w:rPr>
          <w:rFonts w:ascii="Times New Roman" w:hAnsi="Times New Roman" w:cs="Times New Roman"/>
          <w:sz w:val="24"/>
          <w:szCs w:val="24"/>
        </w:rPr>
        <w:t>, que</w:t>
      </w:r>
      <w:r w:rsidRPr="00F85756">
        <w:rPr>
          <w:rFonts w:ascii="Times New Roman" w:hAnsi="Times New Roman" w:cs="Times New Roman"/>
          <w:sz w:val="24"/>
          <w:szCs w:val="24"/>
        </w:rPr>
        <w:t xml:space="preserve"> exigem crescentes serviços para atender as demandas de todas as ordens: produtivas, comerciais, sociais e financeira</w:t>
      </w:r>
      <w:r>
        <w:rPr>
          <w:rFonts w:ascii="Times New Roman" w:hAnsi="Times New Roman" w:cs="Times New Roman"/>
          <w:sz w:val="24"/>
          <w:szCs w:val="24"/>
        </w:rPr>
        <w:t>s</w:t>
      </w:r>
      <w:r w:rsidRPr="00F85756">
        <w:rPr>
          <w:rFonts w:ascii="Times New Roman" w:hAnsi="Times New Roman" w:cs="Times New Roman"/>
          <w:sz w:val="24"/>
          <w:szCs w:val="24"/>
        </w:rPr>
        <w:t xml:space="preserve">. Assim, gradativamente a indústria até perde participação ao setor de serviços, mas não só continua a crescer como mantém </w:t>
      </w:r>
      <w:r>
        <w:rPr>
          <w:rFonts w:ascii="Times New Roman" w:hAnsi="Times New Roman" w:cs="Times New Roman"/>
          <w:sz w:val="24"/>
          <w:szCs w:val="24"/>
        </w:rPr>
        <w:t xml:space="preserve">a competitividade internacional e os </w:t>
      </w:r>
      <w:r w:rsidRPr="00F85756">
        <w:rPr>
          <w:rFonts w:ascii="Times New Roman" w:hAnsi="Times New Roman" w:cs="Times New Roman"/>
          <w:sz w:val="24"/>
          <w:szCs w:val="24"/>
        </w:rPr>
        <w:t xml:space="preserve">altos investimentos, principalmente em C&amp;Tl. </w:t>
      </w:r>
      <w:r>
        <w:rPr>
          <w:rFonts w:ascii="Times New Roman" w:hAnsi="Times New Roman" w:cs="Times New Roman"/>
          <w:sz w:val="24"/>
          <w:szCs w:val="24"/>
        </w:rPr>
        <w:t>Cano (2014)</w:t>
      </w:r>
      <w:r w:rsidRPr="00F85756">
        <w:rPr>
          <w:rFonts w:ascii="Times New Roman" w:hAnsi="Times New Roman" w:cs="Times New Roman"/>
          <w:sz w:val="24"/>
          <w:szCs w:val="24"/>
        </w:rPr>
        <w:t xml:space="preserve"> alerta ainda que essa perda de participação setorial </w:t>
      </w:r>
      <w:r>
        <w:rPr>
          <w:rFonts w:ascii="Times New Roman" w:hAnsi="Times New Roman" w:cs="Times New Roman"/>
          <w:sz w:val="24"/>
          <w:szCs w:val="24"/>
        </w:rPr>
        <w:t xml:space="preserve">da indústria ante os serviços </w:t>
      </w:r>
      <w:r w:rsidRPr="00F85756">
        <w:rPr>
          <w:rFonts w:ascii="Times New Roman" w:hAnsi="Times New Roman" w:cs="Times New Roman"/>
          <w:sz w:val="24"/>
          <w:szCs w:val="24"/>
        </w:rPr>
        <w:t xml:space="preserve">deve ser observada em perspectiva, pois as empresas dos países desenvolvidos deslocam suas plantas produtivas para países com mão-de-obra barata e estímulos fiscais e financeiros, mas são os desenvolvidos que captam os royalties, lucros, juros e bônus dessa indústria, deslocada no plano geográfico, mas ainda estritamente ligada à sua matriz industrial.   </w:t>
      </w:r>
      <w:r w:rsidRPr="00F85756">
        <w:rPr>
          <w:rFonts w:ascii="Times New Roman" w:hAnsi="Times New Roman" w:cs="Times New Roman"/>
          <w:sz w:val="24"/>
          <w:szCs w:val="24"/>
        </w:rPr>
        <w:tab/>
      </w:r>
      <w:r w:rsidRPr="00F85756">
        <w:rPr>
          <w:rFonts w:ascii="Times New Roman" w:hAnsi="Times New Roman" w:cs="Times New Roman"/>
          <w:sz w:val="24"/>
          <w:szCs w:val="24"/>
        </w:rPr>
        <w:br/>
      </w:r>
      <w:r w:rsidRPr="00F85756">
        <w:rPr>
          <w:rFonts w:ascii="Times New Roman" w:hAnsi="Times New Roman" w:cs="Times New Roman"/>
          <w:sz w:val="24"/>
          <w:szCs w:val="24"/>
        </w:rPr>
        <w:tab/>
        <w:t xml:space="preserve">Já </w:t>
      </w:r>
      <w:r>
        <w:rPr>
          <w:rFonts w:ascii="Times New Roman" w:hAnsi="Times New Roman" w:cs="Times New Roman"/>
          <w:sz w:val="24"/>
          <w:szCs w:val="24"/>
        </w:rPr>
        <w:t xml:space="preserve">no subdesenvolvimento, </w:t>
      </w:r>
      <w:r w:rsidRPr="00F85756">
        <w:rPr>
          <w:rFonts w:ascii="Times New Roman" w:hAnsi="Times New Roman" w:cs="Times New Roman"/>
          <w:sz w:val="24"/>
          <w:szCs w:val="24"/>
        </w:rPr>
        <w:t xml:space="preserve">o processo de </w:t>
      </w:r>
      <w:r>
        <w:rPr>
          <w:rFonts w:ascii="Times New Roman" w:hAnsi="Times New Roman" w:cs="Times New Roman"/>
          <w:sz w:val="24"/>
          <w:szCs w:val="24"/>
        </w:rPr>
        <w:t>des</w:t>
      </w:r>
      <w:r w:rsidRPr="00F85756">
        <w:rPr>
          <w:rFonts w:ascii="Times New Roman" w:hAnsi="Times New Roman" w:cs="Times New Roman"/>
          <w:sz w:val="24"/>
          <w:szCs w:val="24"/>
        </w:rPr>
        <w:t xml:space="preserve">industrialização negativa corresponde a </w:t>
      </w:r>
      <w:r>
        <w:rPr>
          <w:rFonts w:ascii="Times New Roman" w:hAnsi="Times New Roman" w:cs="Times New Roman"/>
          <w:sz w:val="24"/>
          <w:szCs w:val="24"/>
        </w:rPr>
        <w:t xml:space="preserve">diminuição da </w:t>
      </w:r>
      <w:r w:rsidRPr="00F85756">
        <w:rPr>
          <w:rFonts w:ascii="Times New Roman" w:hAnsi="Times New Roman" w:cs="Times New Roman"/>
          <w:sz w:val="24"/>
          <w:szCs w:val="24"/>
        </w:rPr>
        <w:t>participação na produção mundial, queda dos investimentos, perda de produtividade, quebra dos elos produtivos</w:t>
      </w:r>
      <w:r>
        <w:rPr>
          <w:rFonts w:ascii="Times New Roman" w:hAnsi="Times New Roman" w:cs="Times New Roman"/>
          <w:sz w:val="24"/>
          <w:szCs w:val="24"/>
        </w:rPr>
        <w:t>,</w:t>
      </w:r>
      <w:r w:rsidRPr="00F85756">
        <w:rPr>
          <w:rFonts w:ascii="Times New Roman" w:hAnsi="Times New Roman" w:cs="Times New Roman"/>
          <w:sz w:val="24"/>
          <w:szCs w:val="24"/>
        </w:rPr>
        <w:t>perda de participação da exportação de manufaturados</w:t>
      </w:r>
      <w:r>
        <w:rPr>
          <w:rFonts w:ascii="Times New Roman" w:hAnsi="Times New Roman" w:cs="Times New Roman"/>
          <w:sz w:val="24"/>
          <w:szCs w:val="24"/>
        </w:rPr>
        <w:t xml:space="preserve"> e menor </w:t>
      </w:r>
      <w:r w:rsidRPr="00F85756">
        <w:rPr>
          <w:rFonts w:ascii="Times New Roman" w:hAnsi="Times New Roman" w:cs="Times New Roman"/>
          <w:sz w:val="24"/>
          <w:szCs w:val="24"/>
        </w:rPr>
        <w:t>competividade externa e interna</w:t>
      </w:r>
      <w:r>
        <w:rPr>
          <w:rFonts w:ascii="Times New Roman" w:hAnsi="Times New Roman" w:cs="Times New Roman"/>
          <w:sz w:val="24"/>
          <w:szCs w:val="24"/>
        </w:rPr>
        <w:t xml:space="preserve"> da indústria</w:t>
      </w:r>
      <w:r w:rsidRPr="00F85756">
        <w:rPr>
          <w:rFonts w:ascii="Times New Roman" w:hAnsi="Times New Roman" w:cs="Times New Roman"/>
          <w:sz w:val="24"/>
          <w:szCs w:val="24"/>
        </w:rPr>
        <w:t>. No Brasil em específico isso se deve à ausência de políticas industriais, alta dos juros, retração dos investimentos públicos, medidas de austeridade fiscal, câmbio sobrevalorizado e forte abertura comercial.</w:t>
      </w:r>
    </w:p>
    <w:p w:rsidR="002B13B1" w:rsidRDefault="002B13B1" w:rsidP="002B13B1">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Morceiro (2018) constata empiricamente </w:t>
      </w:r>
      <w:r>
        <w:rPr>
          <w:rFonts w:ascii="Times New Roman" w:eastAsia="Times New Roman" w:hAnsi="Times New Roman" w:cs="Times New Roman"/>
          <w:sz w:val="24"/>
          <w:szCs w:val="24"/>
          <w:shd w:val="clear" w:color="auto" w:fill="FFFFFF"/>
          <w:lang w:eastAsia="pt-BR"/>
        </w:rPr>
        <w:t xml:space="preserve">a perda do valor agregado da produção industrial brasileira </w:t>
      </w:r>
      <w:r>
        <w:rPr>
          <w:rFonts w:ascii="Times New Roman" w:hAnsi="Times New Roman" w:cs="Times New Roman"/>
          <w:sz w:val="24"/>
          <w:szCs w:val="24"/>
        </w:rPr>
        <w:t xml:space="preserve">ao demonstrar que entre 1981 e 2017, a relação do Valor Adicionado Manufatureiro/PIB saiu de 20,7% para 11,8% no período.Sobre esse debate da desindustrialização, Sampaio (2015) demonstra também os impactos setoriais e regionais da perda de densidade do tecido produtivo industrial. Macedo (2010) pontua ainda que a desindustrialização se expressa também por meio do aumento dos coeficientes de importações setoriais com a substituição de fornecedores nacionais por estrangeiros, representando um enfraquecimento, quando não uma verdadeira quebra dos elos das cadeias produtivas nacionais, o que compromete ainda mais a geração de economias de escala de produção e de inovação tecnológica, restringindo o potencial técnico-produtivo do país. </w:t>
      </w:r>
    </w:p>
    <w:p w:rsidR="002B13B1" w:rsidRDefault="002B13B1" w:rsidP="002B13B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 desestruturação da ossatura industrial brasileira resulta em uma estrutura produtiva pouco complexa, baseada em atividades com abundância de recursos naturais ou intensivas em trabalho</w:t>
      </w:r>
      <w:r>
        <w:rPr>
          <w:rStyle w:val="ncoradanotaderodap"/>
          <w:rFonts w:ascii="Times New Roman" w:hAnsi="Times New Roman" w:cs="Times New Roman"/>
          <w:sz w:val="24"/>
          <w:szCs w:val="24"/>
        </w:rPr>
        <w:footnoteReference w:id="2"/>
      </w:r>
      <w:r>
        <w:rPr>
          <w:rFonts w:ascii="Times New Roman" w:hAnsi="Times New Roman" w:cs="Times New Roman"/>
          <w:sz w:val="24"/>
          <w:szCs w:val="24"/>
        </w:rPr>
        <w:t>, com baixa produtividade, parca incorporação do progresso técnico, poucos estímulos a processos endógenos de inovação, baixa sofisticação produtiva, pouco valor adicionado e permeadas por serviços de baixa remuneração.</w:t>
      </w:r>
    </w:p>
    <w:p w:rsidR="002B13B1" w:rsidRDefault="002B13B1" w:rsidP="002B13B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Na esteira desse fenômeno, se agudiza a especialização regressiva da pauta produtiva e exportadora nacional à medida que a montagem do parque industrial </w:t>
      </w:r>
      <w:r w:rsidRPr="0096331A">
        <w:rPr>
          <w:rFonts w:ascii="Times New Roman" w:hAnsi="Times New Roman" w:cs="Times New Roman"/>
          <w:sz w:val="24"/>
          <w:szCs w:val="24"/>
        </w:rPr>
        <w:t xml:space="preserve">não se renova frente </w:t>
      </w:r>
      <w:r>
        <w:rPr>
          <w:rFonts w:ascii="Times New Roman" w:hAnsi="Times New Roman" w:cs="Times New Roman"/>
          <w:sz w:val="24"/>
          <w:szCs w:val="24"/>
        </w:rPr>
        <w:t>a</w:t>
      </w:r>
      <w:r w:rsidRPr="0096331A">
        <w:rPr>
          <w:rFonts w:ascii="Times New Roman" w:hAnsi="Times New Roman" w:cs="Times New Roman"/>
          <w:sz w:val="24"/>
          <w:szCs w:val="24"/>
        </w:rPr>
        <w:t xml:space="preserve"> concorrência internacional.</w:t>
      </w:r>
      <w:r>
        <w:rPr>
          <w:rFonts w:ascii="Times New Roman" w:hAnsi="Times New Roman" w:cs="Times New Roman"/>
          <w:sz w:val="24"/>
          <w:szCs w:val="24"/>
        </w:rPr>
        <w:t xml:space="preserve">Isto é, parcela crescente da produção e exportação </w:t>
      </w:r>
      <w:r w:rsidRPr="00F85756">
        <w:rPr>
          <w:rFonts w:ascii="Times New Roman" w:hAnsi="Times New Roman" w:cs="Times New Roman"/>
          <w:sz w:val="24"/>
          <w:szCs w:val="24"/>
        </w:rPr>
        <w:t>de produtos básicos, como bens de consumo não duráveis e intensivos em recursos naturais</w:t>
      </w:r>
      <w:r>
        <w:rPr>
          <w:rFonts w:ascii="Times New Roman" w:hAnsi="Times New Roman" w:cs="Times New Roman"/>
          <w:sz w:val="24"/>
          <w:szCs w:val="24"/>
        </w:rPr>
        <w:t>, e</w:t>
      </w:r>
      <w:r w:rsidRPr="00F85756">
        <w:rPr>
          <w:rFonts w:ascii="Times New Roman" w:hAnsi="Times New Roman" w:cs="Times New Roman"/>
          <w:sz w:val="24"/>
          <w:szCs w:val="24"/>
        </w:rPr>
        <w:t xml:space="preserve">nquanto </w:t>
      </w:r>
      <w:r>
        <w:rPr>
          <w:rFonts w:ascii="Times New Roman" w:hAnsi="Times New Roman" w:cs="Times New Roman"/>
          <w:sz w:val="24"/>
          <w:szCs w:val="24"/>
        </w:rPr>
        <w:t xml:space="preserve">que o segmento de bens de capital ou bens de consumos duráveis perdem participação. No âmbito do comércio internacional, isso significa um processo de reprimarização da pauta exportação, ou seja,exportamos produtos básicos e importamos bens manufaturados. </w:t>
      </w:r>
    </w:p>
    <w:p w:rsidR="002B13B1" w:rsidRPr="00AD4707" w:rsidRDefault="002B13B1" w:rsidP="002B13B1">
      <w:pPr>
        <w:spacing w:after="0" w:line="360" w:lineRule="auto"/>
        <w:jc w:val="both"/>
        <w:rPr>
          <w:rFonts w:ascii="Times New Roman" w:hAnsi="Times New Roman" w:cs="Times New Roman"/>
          <w:color w:val="000000" w:themeColor="text1"/>
          <w:sz w:val="24"/>
          <w:szCs w:val="24"/>
        </w:rPr>
      </w:pPr>
      <w:r>
        <w:tab/>
      </w:r>
      <w:r>
        <w:rPr>
          <w:rFonts w:ascii="Times New Roman" w:hAnsi="Times New Roman" w:cs="Times New Roman"/>
          <w:color w:val="000000" w:themeColor="text1"/>
          <w:sz w:val="24"/>
          <w:szCs w:val="24"/>
        </w:rPr>
        <w:t xml:space="preserve">Tal movimento acompanha a dinâmica global de alteração na produção e o comércio internacional pelo surgimento de uma nova divisão internacional do trabalho (DIT), composta pelas chamadas “Cadeias Globais de Valor”, em que o Brasil de insere de maneira passiva ou subordinada nessa DIT, seguindo as orientações dos organismos multilaterais e se </w:t>
      </w:r>
      <w:r>
        <w:rPr>
          <w:rFonts w:ascii="Times New Roman" w:hAnsi="Times New Roman" w:cs="Times New Roman"/>
          <w:sz w:val="24"/>
          <w:szCs w:val="24"/>
        </w:rPr>
        <w:t xml:space="preserve">especializando na produção de atividades onde já possuía prévia </w:t>
      </w:r>
      <w:r>
        <w:rPr>
          <w:rFonts w:ascii="Times New Roman" w:hAnsi="Times New Roman" w:cs="Times New Roman"/>
          <w:color w:val="000000" w:themeColor="text1"/>
          <w:sz w:val="24"/>
          <w:szCs w:val="24"/>
        </w:rPr>
        <w:t xml:space="preserve"> vantagens comparativas, </w:t>
      </w:r>
      <w:r>
        <w:rPr>
          <w:rFonts w:ascii="Times New Roman" w:hAnsi="Times New Roman" w:cs="Times New Roman"/>
          <w:color w:val="000000" w:themeColor="text1"/>
          <w:sz w:val="24"/>
          <w:szCs w:val="24"/>
        </w:rPr>
        <w:lastRenderedPageBreak/>
        <w:t xml:space="preserve">como </w:t>
      </w:r>
      <w:r w:rsidRPr="0074658C">
        <w:rPr>
          <w:rFonts w:ascii="Times New Roman" w:hAnsi="Times New Roman" w:cs="Times New Roman"/>
          <w:i/>
          <w:iCs/>
          <w:sz w:val="24"/>
          <w:szCs w:val="24"/>
        </w:rPr>
        <w:t>commodities</w:t>
      </w:r>
      <w:r>
        <w:rPr>
          <w:rFonts w:ascii="Times New Roman" w:hAnsi="Times New Roman" w:cs="Times New Roman"/>
          <w:sz w:val="24"/>
          <w:szCs w:val="24"/>
        </w:rPr>
        <w:t xml:space="preserve"> e matérias primas</w:t>
      </w:r>
      <w:r>
        <w:rPr>
          <w:rFonts w:ascii="Times New Roman" w:hAnsi="Times New Roman" w:cs="Times New Roman"/>
          <w:color w:val="000000" w:themeColor="text1"/>
          <w:sz w:val="24"/>
          <w:szCs w:val="24"/>
        </w:rPr>
        <w:t xml:space="preserve">. </w:t>
      </w:r>
      <w:r>
        <w:rPr>
          <w:rFonts w:ascii="Times New Roman" w:hAnsi="Times New Roman" w:cs="Times New Roman"/>
          <w:sz w:val="24"/>
          <w:szCs w:val="24"/>
        </w:rPr>
        <w:t xml:space="preserve">Borghi (2015) coloca que que com as exportações voltadas para a produção de produtos primários, o Brasil aumentou sua competividade em produtos cada vez mais marginais no comércio internacional. Já os países do Leste Asiático, como </w:t>
      </w:r>
      <w:r w:rsidR="006F0285">
        <w:rPr>
          <w:rFonts w:ascii="Times New Roman" w:hAnsi="Times New Roman" w:cs="Times New Roman"/>
          <w:sz w:val="24"/>
          <w:szCs w:val="24"/>
        </w:rPr>
        <w:t>lembra</w:t>
      </w:r>
      <w:r w:rsidR="006F0285">
        <w:rPr>
          <w:rFonts w:ascii="Times New Roman" w:hAnsi="Times New Roman" w:cs="Times New Roman"/>
          <w:color w:val="000000" w:themeColor="text1"/>
          <w:sz w:val="24"/>
          <w:szCs w:val="24"/>
        </w:rPr>
        <w:t xml:space="preserve"> Palma</w:t>
      </w:r>
      <w:r>
        <w:rPr>
          <w:rFonts w:ascii="Times New Roman" w:hAnsi="Times New Roman" w:cs="Times New Roman"/>
          <w:color w:val="000000" w:themeColor="text1"/>
          <w:sz w:val="24"/>
          <w:szCs w:val="24"/>
        </w:rPr>
        <w:t xml:space="preserve"> (2009),</w:t>
      </w:r>
      <w:r>
        <w:rPr>
          <w:rFonts w:ascii="Times New Roman" w:hAnsi="Times New Roman" w:cs="Times New Roman"/>
          <w:sz w:val="24"/>
          <w:szCs w:val="24"/>
        </w:rPr>
        <w:t xml:space="preserve"> seguiram trajetórias autônomas aos rejeitar tais pressupostos das organizações internacionais, reorientando com sucesso suas políticas econômicas para promover as exportações de manufaturas industriais de maior valor agregado e transformação na sua trajetória de desenvolvimento econômico. </w:t>
      </w:r>
    </w:p>
    <w:p w:rsidR="002B13B1" w:rsidRDefault="002B13B1" w:rsidP="002B13B1">
      <w:pPr>
        <w:spacing w:after="0" w:line="36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ab/>
        <w:t>No Brasil, essa subordinação ao comércio internacional foi reforçada pela implementação em 1999 do tripé macroeconômico</w:t>
      </w:r>
      <w:r w:rsidRPr="00EE069F">
        <w:rPr>
          <w:rFonts w:ascii="Times New Roman" w:hAnsi="Times New Roman" w:cs="Times New Roman"/>
          <w:color w:val="000000" w:themeColor="text1"/>
          <w:sz w:val="24"/>
          <w:szCs w:val="24"/>
        </w:rPr>
        <w:t>,</w:t>
      </w:r>
      <w:r>
        <w:rPr>
          <w:rFonts w:ascii="Times New Roman" w:hAnsi="Times New Roman" w:cs="Times New Roman"/>
          <w:sz w:val="24"/>
          <w:szCs w:val="24"/>
        </w:rPr>
        <w:t>que ao longo das décadas seguintes ampliou a trajetória de desindustrialização e especialização regressiva</w:t>
      </w:r>
      <w:r w:rsidRPr="00EE069F">
        <w:rPr>
          <w:rFonts w:ascii="Times New Roman" w:hAnsi="Times New Roman" w:cs="Times New Roman"/>
          <w:color w:val="000000" w:themeColor="text1"/>
          <w:sz w:val="24"/>
          <w:szCs w:val="24"/>
        </w:rPr>
        <w:t>por subordinar a</w:t>
      </w:r>
      <w:r w:rsidRPr="00EE069F">
        <w:rPr>
          <w:rFonts w:ascii="Times New Roman" w:hAnsi="Times New Roman" w:cs="Times New Roman"/>
          <w:sz w:val="24"/>
          <w:szCs w:val="24"/>
        </w:rPr>
        <w:t xml:space="preserve"> política fiscal, cambial, financeira, industrial, regional, além de políticas setoriais, </w:t>
      </w:r>
      <w:r>
        <w:rPr>
          <w:rFonts w:ascii="Times New Roman" w:hAnsi="Times New Roman" w:cs="Times New Roman"/>
          <w:sz w:val="24"/>
          <w:szCs w:val="24"/>
        </w:rPr>
        <w:t>a</w:t>
      </w:r>
      <w:r w:rsidRPr="00EE069F">
        <w:rPr>
          <w:rFonts w:ascii="Times New Roman" w:hAnsi="Times New Roman" w:cs="Times New Roman"/>
          <w:sz w:val="24"/>
          <w:szCs w:val="24"/>
        </w:rPr>
        <w:t xml:space="preserve"> cumprir um único objetivo da política monetária, o controle da taxa de inflação, conforme aponta Oreiro e Paula (2021).</w:t>
      </w:r>
      <w:r>
        <w:rPr>
          <w:rFonts w:ascii="Times New Roman" w:hAnsi="Times New Roman" w:cs="Times New Roman"/>
          <w:sz w:val="24"/>
          <w:szCs w:val="24"/>
        </w:rPr>
        <w:t xml:space="preserve"> Isto é, o tripé macro abriu mão do papel de coordenador multidimensional do planejamento público e todos seus instrumentos para focalizar em uma única preocupação: o controle inflacionário. </w:t>
      </w:r>
      <w:r w:rsidRPr="00EE069F">
        <w:rPr>
          <w:rFonts w:ascii="Times New Roman" w:hAnsi="Times New Roman" w:cs="Times New Roman"/>
          <w:sz w:val="24"/>
          <w:szCs w:val="24"/>
        </w:rPr>
        <w:t>Assim, foi o responsável</w:t>
      </w:r>
      <w:r>
        <w:rPr>
          <w:rFonts w:ascii="Times New Roman" w:hAnsi="Times New Roman" w:cs="Times New Roman"/>
          <w:sz w:val="24"/>
          <w:szCs w:val="24"/>
        </w:rPr>
        <w:t xml:space="preserve"> por</w:t>
      </w:r>
      <w:r w:rsidRPr="00EE069F">
        <w:rPr>
          <w:rFonts w:ascii="Times New Roman" w:hAnsi="Times New Roman" w:cs="Times New Roman"/>
          <w:sz w:val="24"/>
          <w:szCs w:val="24"/>
        </w:rPr>
        <w:t xml:space="preserve"> impor</w:t>
      </w:r>
      <w:r>
        <w:rPr>
          <w:rFonts w:ascii="Times New Roman" w:hAnsi="Times New Roman" w:cs="Times New Roman"/>
          <w:sz w:val="24"/>
          <w:szCs w:val="24"/>
        </w:rPr>
        <w:t xml:space="preserve"> e intensificar</w:t>
      </w:r>
      <w:r w:rsidRPr="00EE069F">
        <w:rPr>
          <w:rFonts w:ascii="Times New Roman" w:hAnsi="Times New Roman" w:cs="Times New Roman"/>
          <w:sz w:val="24"/>
          <w:szCs w:val="24"/>
        </w:rPr>
        <w:t xml:space="preserve"> para a economia nacional uma taxa de juros real elevada, </w:t>
      </w:r>
      <w:r>
        <w:rPr>
          <w:rFonts w:ascii="Times New Roman" w:hAnsi="Times New Roman" w:cs="Times New Roman"/>
          <w:sz w:val="24"/>
          <w:szCs w:val="24"/>
        </w:rPr>
        <w:t xml:space="preserve">uma agenda de austeridade fiscal, </w:t>
      </w:r>
      <w:r w:rsidRPr="00EE069F">
        <w:rPr>
          <w:rFonts w:ascii="Times New Roman" w:hAnsi="Times New Roman" w:cs="Times New Roman"/>
          <w:sz w:val="24"/>
          <w:szCs w:val="24"/>
        </w:rPr>
        <w:t xml:space="preserve">a taxa de câmbio </w:t>
      </w:r>
      <w:r>
        <w:rPr>
          <w:rFonts w:ascii="Times New Roman" w:hAnsi="Times New Roman" w:cs="Times New Roman"/>
          <w:sz w:val="24"/>
          <w:szCs w:val="24"/>
        </w:rPr>
        <w:t>flutuante</w:t>
      </w:r>
      <w:r w:rsidRPr="00EE069F">
        <w:rPr>
          <w:rFonts w:ascii="Times New Roman" w:hAnsi="Times New Roman" w:cs="Times New Roman"/>
          <w:sz w:val="24"/>
          <w:szCs w:val="24"/>
        </w:rPr>
        <w:t xml:space="preserve"> e o desempenho do tipo de “stop and go” (BRESSER-PEREIRA, NASSIF e FEIJÓ, 2016).</w:t>
      </w:r>
    </w:p>
    <w:p w:rsidR="002B13B1" w:rsidRPr="0001076B" w:rsidRDefault="002B13B1" w:rsidP="002B13B1">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ab/>
        <w:t xml:space="preserve">Presa aos paradigmas desse modelo, </w:t>
      </w:r>
      <w:r w:rsidRPr="00EE069F">
        <w:rPr>
          <w:rFonts w:ascii="Times New Roman" w:hAnsi="Times New Roman" w:cs="Times New Roman"/>
          <w:sz w:val="24"/>
          <w:szCs w:val="24"/>
        </w:rPr>
        <w:t xml:space="preserve">a economia brasileira esteve cada vez mais atrelada às variáveis do cenário externo e na dependência do fluxo </w:t>
      </w:r>
      <w:r>
        <w:rPr>
          <w:rFonts w:ascii="Times New Roman" w:hAnsi="Times New Roman" w:cs="Times New Roman"/>
          <w:sz w:val="24"/>
          <w:szCs w:val="24"/>
        </w:rPr>
        <w:t>d</w:t>
      </w:r>
      <w:r w:rsidRPr="00EE069F">
        <w:rPr>
          <w:rFonts w:ascii="Times New Roman" w:hAnsi="Times New Roman" w:cs="Times New Roman"/>
          <w:sz w:val="24"/>
          <w:szCs w:val="24"/>
        </w:rPr>
        <w:t>e divisas e capitais internacionais, o que sancionava uma dinâmica econômica volátil e suscetível às variações abruptas nos preços</w:t>
      </w:r>
      <w:r>
        <w:rPr>
          <w:rFonts w:ascii="Times New Roman" w:hAnsi="Times New Roman" w:cs="Times New Roman"/>
          <w:sz w:val="24"/>
          <w:szCs w:val="24"/>
        </w:rPr>
        <w:t xml:space="preserve"> internacionais</w:t>
      </w:r>
      <w:r w:rsidRPr="00EE069F">
        <w:rPr>
          <w:rFonts w:ascii="Times New Roman" w:hAnsi="Times New Roman" w:cs="Times New Roman"/>
          <w:sz w:val="24"/>
          <w:szCs w:val="24"/>
        </w:rPr>
        <w:t xml:space="preserve"> das </w:t>
      </w:r>
      <w:r w:rsidRPr="00EE069F">
        <w:rPr>
          <w:rFonts w:ascii="Times New Roman" w:hAnsi="Times New Roman" w:cs="Times New Roman"/>
          <w:i/>
          <w:iCs/>
          <w:sz w:val="24"/>
          <w:szCs w:val="24"/>
        </w:rPr>
        <w:t>commodities</w:t>
      </w:r>
      <w:r w:rsidRPr="00EE069F">
        <w:rPr>
          <w:rFonts w:ascii="Times New Roman" w:hAnsi="Times New Roman" w:cs="Times New Roman"/>
          <w:sz w:val="24"/>
          <w:szCs w:val="24"/>
        </w:rPr>
        <w:t xml:space="preserve"> (LÉLIS, CUNHA e LINCK, 2019).O modelo delegou às exportações o papel de principal variável dinâmica da atividade econômica nacional, indutora da demanda efetiva interna e do comportamento do ciclo de gastos, de arrecadação e de produção</w:t>
      </w:r>
      <w:r>
        <w:rPr>
          <w:rFonts w:ascii="Times New Roman" w:hAnsi="Times New Roman" w:cs="Times New Roman"/>
          <w:sz w:val="24"/>
          <w:szCs w:val="24"/>
        </w:rPr>
        <w:t xml:space="preserve">. </w:t>
      </w:r>
      <w:r w:rsidRPr="00EE069F">
        <w:rPr>
          <w:rFonts w:ascii="Times New Roman" w:hAnsi="Times New Roman" w:cs="Times New Roman"/>
          <w:sz w:val="24"/>
          <w:szCs w:val="24"/>
        </w:rPr>
        <w:t xml:space="preserve">Então </w:t>
      </w:r>
      <w:r>
        <w:rPr>
          <w:rFonts w:ascii="Times New Roman" w:hAnsi="Times New Roman" w:cs="Times New Roman"/>
          <w:sz w:val="24"/>
          <w:szCs w:val="24"/>
        </w:rPr>
        <w:t xml:space="preserve">mesmo que se registre o crescimento econômico, como de fato ocorreu entre </w:t>
      </w:r>
      <w:r>
        <w:rPr>
          <w:rFonts w:ascii="Times New Roman" w:hAnsi="Times New Roman" w:cs="Times New Roman"/>
          <w:color w:val="000000" w:themeColor="text1"/>
          <w:sz w:val="24"/>
          <w:szCs w:val="24"/>
        </w:rPr>
        <w:t xml:space="preserve">2002 e 2014 quando o país registrou uma </w:t>
      </w:r>
      <w:r>
        <w:rPr>
          <w:rFonts w:ascii="Times New Roman" w:eastAsia="Times New Roman" w:hAnsi="Times New Roman" w:cs="Times New Roman"/>
          <w:sz w:val="24"/>
          <w:szCs w:val="24"/>
          <w:shd w:val="clear" w:color="auto" w:fill="FFFFFF"/>
          <w:lang w:eastAsia="pt-BR"/>
        </w:rPr>
        <w:t xml:space="preserve">taxa anualizada de 3,5% de </w:t>
      </w:r>
      <w:r>
        <w:rPr>
          <w:rFonts w:ascii="Times New Roman" w:eastAsia="Times New Roman" w:hAnsi="Times New Roman" w:cs="Times New Roman"/>
          <w:sz w:val="24"/>
          <w:szCs w:val="24"/>
          <w:shd w:val="clear" w:color="auto" w:fill="FFFFFF"/>
          <w:lang w:eastAsia="pt-BR"/>
        </w:rPr>
        <w:lastRenderedPageBreak/>
        <w:t>crescimento do PIB e aumento exponencial na acumulação de reservas internacional</w:t>
      </w:r>
      <w:r>
        <w:rPr>
          <w:rStyle w:val="ncoradanotaderodap"/>
          <w:rFonts w:ascii="Times New Roman" w:eastAsia="Times New Roman" w:hAnsi="Times New Roman" w:cs="Times New Roman"/>
          <w:sz w:val="24"/>
          <w:szCs w:val="24"/>
          <w:shd w:val="clear" w:color="auto" w:fill="FFFFFF"/>
          <w:lang w:eastAsia="pt-BR"/>
        </w:rPr>
        <w:footnoteReference w:id="3"/>
      </w:r>
      <w:r>
        <w:rPr>
          <w:rFonts w:ascii="Times New Roman" w:eastAsia="Times New Roman" w:hAnsi="Times New Roman" w:cs="Times New Roman"/>
          <w:sz w:val="24"/>
          <w:szCs w:val="24"/>
          <w:shd w:val="clear" w:color="auto" w:fill="FFFFFF"/>
          <w:lang w:eastAsia="pt-BR"/>
        </w:rPr>
        <w:t xml:space="preserve">, </w:t>
      </w:r>
      <w:r w:rsidRPr="00EE069F">
        <w:rPr>
          <w:rFonts w:ascii="Times New Roman" w:hAnsi="Times New Roman" w:cs="Times New Roman"/>
          <w:sz w:val="24"/>
          <w:szCs w:val="24"/>
        </w:rPr>
        <w:t xml:space="preserve">permaneceram as fricções de uma obsoleta estrutura industrial. </w:t>
      </w:r>
    </w:p>
    <w:p w:rsidR="002B13B1" w:rsidRPr="0001076B" w:rsidRDefault="002B13B1" w:rsidP="002B13B1">
      <w:pPr>
        <w:spacing w:after="0" w:line="360" w:lineRule="auto"/>
        <w:jc w:val="both"/>
        <w:rPr>
          <w:rFonts w:ascii="Times New Roman" w:hAnsi="Times New Roman" w:cs="Times New Roman"/>
          <w:sz w:val="24"/>
          <w:szCs w:val="24"/>
        </w:rPr>
      </w:pPr>
      <w:r w:rsidRPr="00EE069F">
        <w:rPr>
          <w:rFonts w:ascii="Times New Roman" w:hAnsi="Times New Roman" w:cs="Times New Roman"/>
          <w:sz w:val="24"/>
          <w:szCs w:val="24"/>
        </w:rPr>
        <w:tab/>
        <w:t xml:space="preserve"> De certo modo, esse movimento reflete também o aumento do poder das transnacionais sobre decisões estratégicas do país de quanto, quando e onde investir. Uma submissão do Estado aos interesses do mercado internacional (CANO, 2008). Nestes termos, Maricato (2007, pag.55) sintetiza: “os Estados não foram diminuídos como fez crer o ideário neoliberal, mas se adaptaram às exigências das grandes corporações e do capital financeiro”. O Estado refém das condições macroeconômicas e d</w:t>
      </w:r>
      <w:r>
        <w:rPr>
          <w:rFonts w:ascii="Times New Roman" w:hAnsi="Times New Roman" w:cs="Times New Roman"/>
          <w:sz w:val="24"/>
          <w:szCs w:val="24"/>
        </w:rPr>
        <w:t>a</w:t>
      </w:r>
      <w:r w:rsidRPr="00EE069F">
        <w:rPr>
          <w:rFonts w:ascii="Times New Roman" w:hAnsi="Times New Roman" w:cs="Times New Roman"/>
          <w:sz w:val="24"/>
          <w:szCs w:val="24"/>
        </w:rPr>
        <w:t xml:space="preserve"> passividade tributária e fiscal para atração ao capital externo</w:t>
      </w:r>
      <w:r>
        <w:rPr>
          <w:rFonts w:ascii="Times New Roman" w:hAnsi="Times New Roman" w:cs="Times New Roman"/>
          <w:sz w:val="24"/>
          <w:szCs w:val="24"/>
        </w:rPr>
        <w:t xml:space="preserve"> (GOULARTI, 2020).</w:t>
      </w:r>
    </w:p>
    <w:p w:rsidR="002B13B1" w:rsidRPr="00EE069F" w:rsidRDefault="002B13B1" w:rsidP="002B13B1">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O desenho desse</w:t>
      </w:r>
      <w:r w:rsidRPr="00EE069F">
        <w:rPr>
          <w:rFonts w:ascii="Times New Roman" w:hAnsi="Times New Roman" w:cs="Times New Roman"/>
          <w:color w:val="000000" w:themeColor="text1"/>
          <w:sz w:val="24"/>
          <w:szCs w:val="24"/>
        </w:rPr>
        <w:t xml:space="preserve"> quadro macroeconômico se expressa também sobre a articulação produtiva regional brasileira</w:t>
      </w:r>
      <w:r w:rsidRPr="00EE069F">
        <w:rPr>
          <w:rFonts w:ascii="Times New Roman" w:hAnsi="Times New Roman" w:cs="Times New Roman"/>
          <w:b/>
          <w:sz w:val="24"/>
          <w:szCs w:val="24"/>
        </w:rPr>
        <w:t xml:space="preserve">. </w:t>
      </w:r>
      <w:r w:rsidRPr="00AC1B46">
        <w:rPr>
          <w:rFonts w:ascii="Times New Roman" w:hAnsi="Times New Roman" w:cs="Times New Roman"/>
          <w:sz w:val="24"/>
          <w:szCs w:val="24"/>
        </w:rPr>
        <w:t xml:space="preserve">Segundo os dados do </w:t>
      </w:r>
      <w:r w:rsidRPr="00EE069F">
        <w:rPr>
          <w:rFonts w:ascii="Times New Roman" w:hAnsi="Times New Roman" w:cs="Times New Roman"/>
          <w:sz w:val="24"/>
          <w:szCs w:val="24"/>
        </w:rPr>
        <w:t xml:space="preserve">Sistema de Contas Regionais do IBGE, </w:t>
      </w:r>
      <w:r>
        <w:rPr>
          <w:rFonts w:ascii="Times New Roman" w:hAnsi="Times New Roman" w:cs="Times New Roman"/>
          <w:sz w:val="24"/>
          <w:szCs w:val="24"/>
        </w:rPr>
        <w:t xml:space="preserve">entre 2002 e 2018, último ano divulgado da pesquisa, </w:t>
      </w:r>
      <w:r w:rsidRPr="00EE069F">
        <w:rPr>
          <w:rFonts w:ascii="Times New Roman" w:hAnsi="Times New Roman" w:cs="Times New Roman"/>
          <w:sz w:val="24"/>
          <w:szCs w:val="24"/>
        </w:rPr>
        <w:t xml:space="preserve">o Norte </w:t>
      </w:r>
      <w:r>
        <w:rPr>
          <w:rFonts w:ascii="Times New Roman" w:hAnsi="Times New Roman" w:cs="Times New Roman"/>
          <w:sz w:val="24"/>
          <w:szCs w:val="24"/>
        </w:rPr>
        <w:t xml:space="preserve">cresceu </w:t>
      </w:r>
      <w:r w:rsidRPr="00EE069F">
        <w:rPr>
          <w:rFonts w:ascii="Times New Roman" w:hAnsi="Times New Roman" w:cs="Times New Roman"/>
          <w:sz w:val="24"/>
          <w:szCs w:val="24"/>
        </w:rPr>
        <w:t xml:space="preserve">3,41%a. a, devido a produção extrativa mineral e agropecuária, Centro-Oeste 3,27% a.a </w:t>
      </w:r>
      <w:r w:rsidR="006F0285" w:rsidRPr="00EE069F">
        <w:rPr>
          <w:rFonts w:ascii="Times New Roman" w:hAnsi="Times New Roman" w:cs="Times New Roman"/>
          <w:sz w:val="24"/>
          <w:szCs w:val="24"/>
        </w:rPr>
        <w:t>alavancado pela</w:t>
      </w:r>
      <w:r w:rsidRPr="00EE069F">
        <w:rPr>
          <w:rFonts w:ascii="Times New Roman" w:hAnsi="Times New Roman" w:cs="Times New Roman"/>
          <w:sz w:val="24"/>
          <w:szCs w:val="24"/>
        </w:rPr>
        <w:t xml:space="preserve"> atividade agropecuária e o Nordeste 2,94% a.a</w:t>
      </w:r>
      <w:r w:rsidR="006F0285">
        <w:rPr>
          <w:rFonts w:ascii="Times New Roman" w:hAnsi="Times New Roman" w:cs="Times New Roman"/>
          <w:sz w:val="24"/>
          <w:szCs w:val="24"/>
        </w:rPr>
        <w:t xml:space="preserve"> </w:t>
      </w:r>
      <w:r w:rsidRPr="00EE069F">
        <w:rPr>
          <w:rFonts w:ascii="Times New Roman" w:hAnsi="Times New Roman" w:cs="Times New Roman"/>
          <w:sz w:val="24"/>
          <w:szCs w:val="24"/>
        </w:rPr>
        <w:t xml:space="preserve">beneficiado também pela atividade agropecuária e </w:t>
      </w:r>
      <w:r>
        <w:rPr>
          <w:rFonts w:ascii="Times New Roman" w:hAnsi="Times New Roman" w:cs="Times New Roman"/>
          <w:sz w:val="24"/>
          <w:szCs w:val="24"/>
        </w:rPr>
        <w:t>pelo</w:t>
      </w:r>
      <w:r w:rsidRPr="00EE069F">
        <w:rPr>
          <w:rFonts w:ascii="Times New Roman" w:hAnsi="Times New Roman" w:cs="Times New Roman"/>
          <w:sz w:val="24"/>
          <w:szCs w:val="24"/>
        </w:rPr>
        <w:t xml:space="preserve"> elevado ciclo de consumo e valorização da renda</w:t>
      </w:r>
      <w:r>
        <w:rPr>
          <w:rFonts w:ascii="Times New Roman" w:hAnsi="Times New Roman" w:cs="Times New Roman"/>
          <w:sz w:val="24"/>
          <w:szCs w:val="24"/>
        </w:rPr>
        <w:t xml:space="preserve"> no período. Ou sejas, </w:t>
      </w:r>
      <w:r w:rsidRPr="00EE069F">
        <w:rPr>
          <w:rFonts w:ascii="Times New Roman" w:hAnsi="Times New Roman" w:cs="Times New Roman"/>
          <w:sz w:val="24"/>
          <w:szCs w:val="24"/>
        </w:rPr>
        <w:t>as regiões periféricas</w:t>
      </w:r>
      <w:r>
        <w:rPr>
          <w:rFonts w:ascii="Times New Roman" w:hAnsi="Times New Roman" w:cs="Times New Roman"/>
          <w:sz w:val="24"/>
          <w:szCs w:val="24"/>
        </w:rPr>
        <w:t xml:space="preserve"> tiveram os maiores crescimentos, acima do Sul </w:t>
      </w:r>
      <w:r w:rsidRPr="00EE069F">
        <w:rPr>
          <w:rFonts w:ascii="Times New Roman" w:hAnsi="Times New Roman" w:cs="Times New Roman"/>
          <w:sz w:val="24"/>
          <w:szCs w:val="24"/>
        </w:rPr>
        <w:t>(2,68%) e Sudeste (1,86%).</w:t>
      </w:r>
    </w:p>
    <w:p w:rsidR="002B13B1" w:rsidRPr="00EE069F" w:rsidRDefault="002B13B1" w:rsidP="002B13B1">
      <w:pPr>
        <w:spacing w:after="0" w:line="360" w:lineRule="auto"/>
        <w:jc w:val="both"/>
        <w:rPr>
          <w:rFonts w:ascii="Times New Roman" w:hAnsi="Times New Roman" w:cs="Times New Roman"/>
          <w:sz w:val="24"/>
          <w:szCs w:val="24"/>
        </w:rPr>
      </w:pPr>
      <w:r w:rsidRPr="00EE069F">
        <w:rPr>
          <w:rFonts w:ascii="Times New Roman" w:hAnsi="Times New Roman" w:cs="Times New Roman"/>
          <w:sz w:val="24"/>
          <w:szCs w:val="24"/>
        </w:rPr>
        <w:tab/>
      </w:r>
      <w:r>
        <w:rPr>
          <w:rFonts w:ascii="Times New Roman" w:hAnsi="Times New Roman" w:cs="Times New Roman"/>
          <w:sz w:val="24"/>
          <w:szCs w:val="24"/>
        </w:rPr>
        <w:t xml:space="preserve">O dinamismo oriundo da base exportadora de commodities ativa o crescimento de novas </w:t>
      </w:r>
      <w:r w:rsidRPr="00EE069F">
        <w:rPr>
          <w:rFonts w:ascii="Times New Roman" w:hAnsi="Times New Roman" w:cs="Times New Roman"/>
          <w:sz w:val="24"/>
          <w:szCs w:val="24"/>
        </w:rPr>
        <w:t xml:space="preserve">localidades geográficas fora do escopo industrial-metropolitano do ciclo de acumulação </w:t>
      </w:r>
      <w:r>
        <w:rPr>
          <w:rFonts w:ascii="Times New Roman" w:hAnsi="Times New Roman" w:cs="Times New Roman"/>
          <w:sz w:val="24"/>
          <w:szCs w:val="24"/>
        </w:rPr>
        <w:t>d</w:t>
      </w:r>
      <w:r w:rsidRPr="00EE069F">
        <w:rPr>
          <w:rFonts w:ascii="Times New Roman" w:hAnsi="Times New Roman" w:cs="Times New Roman"/>
          <w:sz w:val="24"/>
          <w:szCs w:val="24"/>
        </w:rPr>
        <w:t>o período nacional-desenvolvimentista,</w:t>
      </w:r>
      <w:r>
        <w:rPr>
          <w:rFonts w:ascii="Times New Roman" w:hAnsi="Times New Roman" w:cs="Times New Roman"/>
          <w:sz w:val="24"/>
          <w:szCs w:val="24"/>
        </w:rPr>
        <w:t xml:space="preserve"> o que resulta no crescimento dessas áreas não tradicionais e</w:t>
      </w:r>
      <w:r w:rsidRPr="00EE069F">
        <w:rPr>
          <w:rFonts w:ascii="Times New Roman" w:hAnsi="Times New Roman" w:cs="Times New Roman"/>
          <w:sz w:val="24"/>
          <w:szCs w:val="24"/>
        </w:rPr>
        <w:t xml:space="preserve"> apont</w:t>
      </w:r>
      <w:r>
        <w:rPr>
          <w:rFonts w:ascii="Times New Roman" w:hAnsi="Times New Roman" w:cs="Times New Roman"/>
          <w:sz w:val="24"/>
          <w:szCs w:val="24"/>
        </w:rPr>
        <w:t>a</w:t>
      </w:r>
      <w:r w:rsidRPr="00EE069F">
        <w:rPr>
          <w:rFonts w:ascii="Times New Roman" w:hAnsi="Times New Roman" w:cs="Times New Roman"/>
          <w:sz w:val="24"/>
          <w:szCs w:val="24"/>
        </w:rPr>
        <w:t xml:space="preserve"> para uma tendência d</w:t>
      </w:r>
      <w:r>
        <w:rPr>
          <w:rFonts w:ascii="Times New Roman" w:hAnsi="Times New Roman" w:cs="Times New Roman"/>
          <w:sz w:val="24"/>
          <w:szCs w:val="24"/>
        </w:rPr>
        <w:t>a</w:t>
      </w:r>
      <w:r w:rsidRPr="00EE069F">
        <w:rPr>
          <w:rFonts w:ascii="Times New Roman" w:hAnsi="Times New Roman" w:cs="Times New Roman"/>
          <w:sz w:val="24"/>
          <w:szCs w:val="24"/>
        </w:rPr>
        <w:t xml:space="preserve"> desconcentração produtiva e demográfica</w:t>
      </w:r>
      <w:r>
        <w:rPr>
          <w:rFonts w:ascii="Times New Roman" w:hAnsi="Times New Roman" w:cs="Times New Roman"/>
          <w:sz w:val="24"/>
          <w:szCs w:val="24"/>
        </w:rPr>
        <w:t xml:space="preserve"> nacional</w:t>
      </w:r>
      <w:r w:rsidRPr="00EE069F">
        <w:rPr>
          <w:rFonts w:ascii="Times New Roman" w:hAnsi="Times New Roman" w:cs="Times New Roman"/>
          <w:sz w:val="24"/>
          <w:szCs w:val="24"/>
        </w:rPr>
        <w:t>. Em outras palavras, há em voga certa transformação nas bases de acumulação nacional e regional no século XXI, que se materializa em novas determinações regionais e urbanas, novos vetores dinâmicos e novos espaços de realização do capital</w:t>
      </w:r>
      <w:r>
        <w:rPr>
          <w:rFonts w:ascii="Times New Roman" w:hAnsi="Times New Roman" w:cs="Times New Roman"/>
          <w:sz w:val="24"/>
          <w:szCs w:val="24"/>
        </w:rPr>
        <w:t>, expressos pelo crescimento das regiões periféricas.</w:t>
      </w:r>
    </w:p>
    <w:p w:rsidR="002B13B1" w:rsidRPr="00EE069F" w:rsidRDefault="002B13B1" w:rsidP="002B13B1">
      <w:pPr>
        <w:spacing w:after="0" w:line="360" w:lineRule="auto"/>
        <w:ind w:firstLine="708"/>
        <w:jc w:val="both"/>
        <w:rPr>
          <w:rFonts w:ascii="Times New Roman" w:hAnsi="Times New Roman" w:cs="Times New Roman"/>
          <w:sz w:val="24"/>
          <w:szCs w:val="24"/>
        </w:rPr>
      </w:pPr>
      <w:r w:rsidRPr="00EE069F">
        <w:rPr>
          <w:rFonts w:ascii="Times New Roman" w:hAnsi="Times New Roman" w:cs="Times New Roman"/>
          <w:sz w:val="24"/>
          <w:szCs w:val="24"/>
        </w:rPr>
        <w:t xml:space="preserve"> Portanto, temos que os rumos recentes da dinâmica regional e urbana e da articulação produtiva brasileira são formados por múltiplos e complexos vetores, muitos dos quais aparentemente contraditórios. O geógrafo Milton Santos, por exemplo, enxergava um </w:t>
      </w:r>
      <w:r w:rsidRPr="00EE069F">
        <w:rPr>
          <w:rFonts w:ascii="Times New Roman" w:hAnsi="Times New Roman" w:cs="Times New Roman"/>
          <w:sz w:val="24"/>
          <w:szCs w:val="24"/>
        </w:rPr>
        <w:lastRenderedPageBreak/>
        <w:t>movimento de metropolização e desmotropolização da organização socioespacial. Dizia ele: “as maiores cidades continuarão a crescer, enquanto novas grandes cidades surgirão” (SANTOS, 2013, pag.135).</w:t>
      </w:r>
    </w:p>
    <w:p w:rsidR="002B13B1" w:rsidRPr="00EE069F" w:rsidRDefault="002B13B1" w:rsidP="002B13B1">
      <w:pPr>
        <w:spacing w:after="0" w:line="360" w:lineRule="auto"/>
        <w:jc w:val="both"/>
        <w:rPr>
          <w:rFonts w:ascii="Times New Roman" w:hAnsi="Times New Roman" w:cs="Times New Roman"/>
          <w:sz w:val="24"/>
          <w:szCs w:val="24"/>
        </w:rPr>
      </w:pPr>
      <w:r w:rsidRPr="00EE069F">
        <w:rPr>
          <w:rFonts w:ascii="Times New Roman" w:hAnsi="Times New Roman" w:cs="Times New Roman"/>
          <w:sz w:val="24"/>
          <w:szCs w:val="24"/>
        </w:rPr>
        <w:tab/>
        <w:t xml:space="preserve">Pacheco (1996) aponta uma reorientação da articulação produtiva regional brasileira. Com a dinâmica atrelada ao mercado internacional, as regiões passaram a adequar sua produção de acordo com a demanda externa, transformando as estruturas produtivas e reforçando as especializações regionais, gerando “ilhas de produtividade” ao mesmo tempo em que a economia nacional se via estagnada. Ia-se perdendo os marcos de uma economia coesa e unificada para um padrão assimétrico de flutuações econômicas e um mercado regional segmentado, de modo que as diferentes dinâmicas inter e </w:t>
      </w:r>
      <w:r w:rsidR="006F0285" w:rsidRPr="00EE069F">
        <w:rPr>
          <w:rFonts w:ascii="Times New Roman" w:hAnsi="Times New Roman" w:cs="Times New Roman"/>
          <w:sz w:val="24"/>
          <w:szCs w:val="24"/>
        </w:rPr>
        <w:t>intra-regionais</w:t>
      </w:r>
      <w:r w:rsidRPr="00EE069F">
        <w:rPr>
          <w:rFonts w:ascii="Times New Roman" w:hAnsi="Times New Roman" w:cs="Times New Roman"/>
          <w:sz w:val="24"/>
          <w:szCs w:val="24"/>
        </w:rPr>
        <w:t xml:space="preserve"> e as conexões diretas da produção local com o mercado global </w:t>
      </w:r>
      <w:r>
        <w:rPr>
          <w:rFonts w:ascii="Times New Roman" w:hAnsi="Times New Roman" w:cs="Times New Roman"/>
          <w:sz w:val="24"/>
          <w:szCs w:val="24"/>
        </w:rPr>
        <w:t>tensionavam</w:t>
      </w:r>
      <w:r w:rsidRPr="00EE069F">
        <w:rPr>
          <w:rFonts w:ascii="Times New Roman" w:hAnsi="Times New Roman" w:cs="Times New Roman"/>
          <w:sz w:val="24"/>
          <w:szCs w:val="24"/>
        </w:rPr>
        <w:t xml:space="preserve"> o país para um processo de fragmentação dos laços regionais. O resultado era um novo padrão de desintegração nacional entre a segregação dos espaços não competitivos ao mercado internacional e os espaços competitivos articulados “para fora” entregue às  decisões dos </w:t>
      </w:r>
      <w:r w:rsidRPr="00EE069F">
        <w:rPr>
          <w:rFonts w:ascii="Times New Roman" w:hAnsi="Times New Roman" w:cs="Times New Roman"/>
          <w:i/>
          <w:iCs/>
          <w:sz w:val="24"/>
          <w:szCs w:val="24"/>
        </w:rPr>
        <w:t>global players</w:t>
      </w:r>
      <w:r w:rsidRPr="00EE069F">
        <w:rPr>
          <w:rFonts w:ascii="Times New Roman" w:hAnsi="Times New Roman" w:cs="Times New Roman"/>
          <w:sz w:val="24"/>
          <w:szCs w:val="24"/>
        </w:rPr>
        <w:t>.</w:t>
      </w:r>
    </w:p>
    <w:p w:rsidR="002B13B1" w:rsidRPr="009F36BC" w:rsidRDefault="002B13B1" w:rsidP="002B13B1">
      <w:pPr>
        <w:spacing w:after="0" w:line="360" w:lineRule="auto"/>
        <w:jc w:val="both"/>
        <w:rPr>
          <w:rFonts w:ascii="Times New Roman" w:hAnsi="Times New Roman" w:cs="Times New Roman"/>
          <w:color w:val="0D0D0D"/>
          <w:sz w:val="24"/>
          <w:szCs w:val="24"/>
        </w:rPr>
      </w:pPr>
      <w:r w:rsidRPr="00EE069F">
        <w:rPr>
          <w:rFonts w:ascii="Times New Roman" w:hAnsi="Times New Roman" w:cs="Times New Roman"/>
          <w:sz w:val="24"/>
          <w:szCs w:val="24"/>
        </w:rPr>
        <w:tab/>
        <w:t xml:space="preserve">Macedo (2010, 2013, 2015) adere a tese da fragmentação regional e incrementa que este movimento foi devido também a desindustrialização precoce </w:t>
      </w:r>
      <w:r w:rsidR="006F0285" w:rsidRPr="00EE069F">
        <w:rPr>
          <w:rFonts w:ascii="Times New Roman" w:hAnsi="Times New Roman" w:cs="Times New Roman"/>
          <w:sz w:val="24"/>
          <w:szCs w:val="24"/>
        </w:rPr>
        <w:t>especialização</w:t>
      </w:r>
      <w:r w:rsidRPr="00EE069F">
        <w:rPr>
          <w:rFonts w:ascii="Times New Roman" w:hAnsi="Times New Roman" w:cs="Times New Roman"/>
          <w:sz w:val="24"/>
          <w:szCs w:val="24"/>
        </w:rPr>
        <w:t xml:space="preserve"> regressiva da pauta de exportação. Assim, coloca que o ajuste exportador macroeconômico imprimia uma outra forma, função, estrutura e processo ao padrão de organização socioespacial do país, emergindo novas institucionalidades e territorialidades de suporte à inserção externa nacional</w:t>
      </w:r>
      <w:r w:rsidRPr="00EE069F">
        <w:rPr>
          <w:rFonts w:ascii="Times New Roman" w:hAnsi="Times New Roman" w:cs="Times New Roman"/>
          <w:color w:val="0D0D0D"/>
          <w:sz w:val="24"/>
          <w:szCs w:val="24"/>
        </w:rPr>
        <w:t xml:space="preserve">. </w:t>
      </w:r>
    </w:p>
    <w:p w:rsidR="00F72780" w:rsidRDefault="002B13B1" w:rsidP="002B13B1">
      <w:pPr>
        <w:spacing w:after="0" w:line="360" w:lineRule="auto"/>
        <w:ind w:firstLine="708"/>
        <w:jc w:val="both"/>
        <w:rPr>
          <w:rFonts w:ascii="Times New Roman" w:hAnsi="Times New Roman" w:cs="Times New Roman"/>
          <w:sz w:val="24"/>
          <w:szCs w:val="24"/>
        </w:rPr>
      </w:pPr>
      <w:r w:rsidRPr="00EE069F">
        <w:rPr>
          <w:rFonts w:ascii="Times New Roman" w:hAnsi="Times New Roman" w:cs="Times New Roman"/>
          <w:sz w:val="24"/>
          <w:szCs w:val="24"/>
        </w:rPr>
        <w:t>Portanto</w:t>
      </w:r>
      <w:r>
        <w:rPr>
          <w:rFonts w:ascii="Times New Roman" w:hAnsi="Times New Roman" w:cs="Times New Roman"/>
          <w:sz w:val="24"/>
          <w:szCs w:val="24"/>
        </w:rPr>
        <w:t xml:space="preserve">, dentro dessa linha de interpretação, o </w:t>
      </w:r>
      <w:r w:rsidRPr="00EE069F">
        <w:rPr>
          <w:rFonts w:ascii="Times New Roman" w:hAnsi="Times New Roman" w:cs="Times New Roman"/>
          <w:sz w:val="24"/>
          <w:szCs w:val="24"/>
        </w:rPr>
        <w:t>que se coloca como desafio na atual quadra histórica são o acirramento d</w:t>
      </w:r>
      <w:r>
        <w:rPr>
          <w:rFonts w:ascii="Times New Roman" w:hAnsi="Times New Roman" w:cs="Times New Roman"/>
          <w:sz w:val="24"/>
          <w:szCs w:val="24"/>
        </w:rPr>
        <w:t>as</w:t>
      </w:r>
      <w:r w:rsidRPr="00EE069F">
        <w:rPr>
          <w:rFonts w:ascii="Times New Roman" w:hAnsi="Times New Roman" w:cs="Times New Roman"/>
          <w:sz w:val="24"/>
          <w:szCs w:val="24"/>
        </w:rPr>
        <w:t xml:space="preserve"> tendências fragmentadoras </w:t>
      </w:r>
      <w:r w:rsidRPr="00EE069F">
        <w:rPr>
          <w:rFonts w:ascii="Times New Roman" w:eastAsia="Times New Roman" w:hAnsi="Times New Roman" w:cs="Times New Roman"/>
          <w:sz w:val="24"/>
          <w:szCs w:val="24"/>
          <w:lang w:eastAsia="pt-BR"/>
        </w:rPr>
        <w:t>pela perda de densidade do tecido produtivo industrial e redefinição das articulações inter</w:t>
      </w:r>
      <w:r>
        <w:rPr>
          <w:rFonts w:ascii="Times New Roman" w:eastAsia="Times New Roman" w:hAnsi="Times New Roman" w:cs="Times New Roman"/>
          <w:sz w:val="24"/>
          <w:szCs w:val="24"/>
          <w:lang w:eastAsia="pt-BR"/>
        </w:rPr>
        <w:t>-</w:t>
      </w:r>
      <w:r w:rsidRPr="00EE069F">
        <w:rPr>
          <w:rFonts w:ascii="Times New Roman" w:eastAsia="Times New Roman" w:hAnsi="Times New Roman" w:cs="Times New Roman"/>
          <w:sz w:val="24"/>
          <w:szCs w:val="24"/>
          <w:lang w:eastAsia="pt-BR"/>
        </w:rPr>
        <w:t>regional e intersetorial comandadas pelas necessidades do comércio exterior.</w:t>
      </w:r>
      <w:r w:rsidRPr="00EE069F">
        <w:rPr>
          <w:rFonts w:ascii="Times New Roman" w:hAnsi="Times New Roman" w:cs="Times New Roman"/>
          <w:sz w:val="24"/>
          <w:szCs w:val="24"/>
        </w:rPr>
        <w:t xml:space="preserve"> Nesse sentido, </w:t>
      </w:r>
      <w:r>
        <w:rPr>
          <w:rFonts w:ascii="Times New Roman" w:hAnsi="Times New Roman" w:cs="Times New Roman"/>
          <w:sz w:val="24"/>
          <w:szCs w:val="24"/>
        </w:rPr>
        <w:t xml:space="preserve">com foco sobre o Nordeste, em especial a SUDENE, </w:t>
      </w:r>
      <w:r w:rsidRPr="00EE069F">
        <w:rPr>
          <w:rFonts w:ascii="Times New Roman" w:hAnsi="Times New Roman" w:cs="Times New Roman"/>
          <w:sz w:val="24"/>
          <w:szCs w:val="24"/>
        </w:rPr>
        <w:t xml:space="preserve">o próximo tópico busca </w:t>
      </w:r>
      <w:r>
        <w:rPr>
          <w:rFonts w:ascii="Times New Roman" w:hAnsi="Times New Roman" w:cs="Times New Roman"/>
          <w:sz w:val="24"/>
          <w:szCs w:val="24"/>
        </w:rPr>
        <w:t xml:space="preserve">resgatar o protagonismo da instituição pública de caráter regional como coordenadora da transformação estrutural da economia nordestina e apresentar os desafios diante das novas determinações regionais, notadamente a tendência de fragmentação da integração nacional. </w:t>
      </w:r>
    </w:p>
    <w:p w:rsidR="00F72780" w:rsidRDefault="00F72780">
      <w:pPr>
        <w:spacing w:after="0" w:line="240" w:lineRule="auto"/>
        <w:jc w:val="both"/>
        <w:rPr>
          <w:rFonts w:ascii="Times New Roman" w:hAnsi="Times New Roman" w:cs="Times New Roman"/>
          <w:sz w:val="24"/>
          <w:szCs w:val="24"/>
        </w:rPr>
      </w:pPr>
    </w:p>
    <w:p w:rsidR="00F72780" w:rsidRDefault="00F72780">
      <w:pPr>
        <w:spacing w:after="0" w:line="240" w:lineRule="auto"/>
        <w:jc w:val="both"/>
        <w:rPr>
          <w:rFonts w:ascii="Times New Roman" w:hAnsi="Times New Roman" w:cs="Times New Roman"/>
          <w:sz w:val="24"/>
          <w:szCs w:val="24"/>
        </w:rPr>
      </w:pPr>
    </w:p>
    <w:p w:rsidR="00F72780" w:rsidRDefault="00A65F5D">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3 REFERENCIAL </w:t>
      </w:r>
      <w:r>
        <w:rPr>
          <w:rFonts w:ascii="Times New Roman" w:hAnsi="Times New Roman" w:cs="Times New Roman"/>
          <w:b/>
          <w:bCs/>
          <w:sz w:val="24"/>
          <w:szCs w:val="24"/>
        </w:rPr>
        <w:t>TEÓRICO</w:t>
      </w:r>
    </w:p>
    <w:p w:rsidR="006F0285" w:rsidRDefault="006F0285">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3.1 </w:t>
      </w:r>
      <w:r>
        <w:rPr>
          <w:rFonts w:ascii="Times New Roman" w:hAnsi="Times New Roman" w:cs="Times New Roman"/>
          <w:b/>
          <w:bCs/>
          <w:sz w:val="24"/>
          <w:szCs w:val="24"/>
        </w:rPr>
        <w:tab/>
        <w:t>Resgate histórico da SUDENE e os desafios presentes</w:t>
      </w:r>
    </w:p>
    <w:p w:rsidR="006F0285" w:rsidRPr="006F0285" w:rsidRDefault="006F0285" w:rsidP="006F0285">
      <w:pPr>
        <w:autoSpaceDE w:val="0"/>
        <w:autoSpaceDN w:val="0"/>
        <w:adjustRightInd w:val="0"/>
        <w:spacing w:after="0" w:line="360" w:lineRule="auto"/>
        <w:jc w:val="both"/>
        <w:rPr>
          <w:rFonts w:ascii="Times New Roman" w:hAnsi="Times New Roman" w:cs="Times New Roman"/>
          <w:sz w:val="24"/>
          <w:szCs w:val="24"/>
        </w:rPr>
      </w:pPr>
      <w:r w:rsidRPr="006F0285">
        <w:rPr>
          <w:rFonts w:ascii="Times New Roman" w:hAnsi="Times New Roman" w:cs="Times New Roman"/>
          <w:sz w:val="24"/>
          <w:szCs w:val="24"/>
        </w:rPr>
        <w:t xml:space="preserve">A SUDENE foi criada pela Lei nº 3.692 de dezembro de 1959, uma autarquia diretamente ligada à Presidência da República, que objetivava a superação do subdesenvolvimento nordestino, determinado pelas arcaicas estruturas econômicas e sociais, através de um processo autônomo de industrialização regional. Gumeiro (2017) observa que um dos marcos iniciais da SUDENE foi a implementação de uma intervenção planejada que permitiria gerar autonomia política e econômica para a tomadas de decisões da região, desvencilhando da influência do Centro-Sul e renovando as elites locais.  </w:t>
      </w:r>
    </w:p>
    <w:p w:rsidR="006F0285" w:rsidRPr="006F0285" w:rsidRDefault="006F0285" w:rsidP="006F0285">
      <w:pPr>
        <w:autoSpaceDE w:val="0"/>
        <w:autoSpaceDN w:val="0"/>
        <w:adjustRightInd w:val="0"/>
        <w:spacing w:after="0" w:line="360" w:lineRule="auto"/>
        <w:jc w:val="both"/>
        <w:rPr>
          <w:rFonts w:ascii="Times New Roman" w:hAnsi="Times New Roman" w:cs="Times New Roman"/>
          <w:sz w:val="24"/>
          <w:szCs w:val="24"/>
        </w:rPr>
      </w:pPr>
      <w:r w:rsidRPr="006F0285">
        <w:rPr>
          <w:rFonts w:ascii="Times New Roman" w:hAnsi="Times New Roman" w:cs="Times New Roman"/>
          <w:sz w:val="24"/>
          <w:szCs w:val="24"/>
        </w:rPr>
        <w:tab/>
        <w:t>A aglutinação política em torno da SUDENE expressava sua suma importância institucional, palco das principais tomadas de decisão em torno da unidade regional, fora do escopo de uma pauta concentrada nos interesses locais e particularidades de cada estado ou entidade política representativa, de modo que ações individuais eram coagidas pela cooperação entre os formuladores e gestores das políticas públicas (COLOMBO, 2018).</w:t>
      </w:r>
    </w:p>
    <w:p w:rsidR="006F0285" w:rsidRPr="006F0285" w:rsidRDefault="006F0285" w:rsidP="006F0285">
      <w:pPr>
        <w:spacing w:after="0" w:line="360" w:lineRule="auto"/>
        <w:jc w:val="both"/>
        <w:rPr>
          <w:rFonts w:ascii="Times New Roman" w:hAnsi="Times New Roman" w:cs="Times New Roman"/>
          <w:sz w:val="24"/>
          <w:szCs w:val="24"/>
        </w:rPr>
      </w:pPr>
      <w:r w:rsidRPr="006F0285">
        <w:rPr>
          <w:rFonts w:ascii="Times New Roman" w:hAnsi="Times New Roman" w:cs="Times New Roman"/>
          <w:sz w:val="24"/>
          <w:szCs w:val="24"/>
        </w:rPr>
        <w:tab/>
        <w:t>Apesar da proposta inicial da Superintendência ser suprimida pelo golpe militar de 1964, quando a Autarquia mudou sua linha original de atuação, se preocupando mais em integrar o mercado ao capital oligopolista do que apoiar a solução dos problemas socioeconômicos nordestinos, a SUDENE foi a responsável pela transformação estrutural da região através do investimento público regionalizado e a atração do setor privado para o Nordeste em forma de incentivos fiscais e financeiros. O saldo entre 1960 e 1985 foi um crescimento em média de 6,3% a.a da região, e aumento na participação do PIB nacional de 13,2% para 17,1%, passando de US$ 8,6 bilhões para US$ 50 bilhões. Incentivado pela SUDENE, o Nordeste obteve as maiores médias de crescimento do PIB no país durante as décadas de 1960, 1970 e 1980 (ARAUJO, 1997).</w:t>
      </w:r>
    </w:p>
    <w:p w:rsidR="006F0285" w:rsidRPr="006F0285" w:rsidRDefault="006F0285" w:rsidP="006F0285">
      <w:pPr>
        <w:spacing w:after="0" w:line="360" w:lineRule="auto"/>
        <w:jc w:val="both"/>
        <w:rPr>
          <w:rFonts w:ascii="Times New Roman" w:hAnsi="Times New Roman" w:cs="Times New Roman"/>
          <w:color w:val="000000"/>
          <w:sz w:val="24"/>
          <w:szCs w:val="24"/>
        </w:rPr>
      </w:pPr>
      <w:r w:rsidRPr="006F0285">
        <w:rPr>
          <w:rFonts w:ascii="Times New Roman" w:hAnsi="Times New Roman" w:cs="Times New Roman"/>
          <w:sz w:val="24"/>
          <w:szCs w:val="24"/>
        </w:rPr>
        <w:tab/>
        <w:t xml:space="preserve"> O planejamento e </w:t>
      </w:r>
      <w:r w:rsidRPr="006F0285">
        <w:rPr>
          <w:rFonts w:ascii="Times New Roman" w:hAnsi="Times New Roman" w:cs="Times New Roman"/>
          <w:color w:val="000000"/>
          <w:sz w:val="24"/>
          <w:szCs w:val="24"/>
        </w:rPr>
        <w:t>os investimentos induzidos pelo Estado possibilitaram ao Nordeste se industrializar e iniciar a transição de sua estrutura de produção, de produtora de bens de consumo não-duráveis para a de bens intermediários, o que veio a se concretizar somente na década de 1980 (GUIMARÃES NETO, 1989). Desse processo surgia no NE o que Araújo (2000) chama de “nova indústria nordestina.”</w:t>
      </w:r>
      <w:r w:rsidRPr="006F0285">
        <w:rPr>
          <w:rFonts w:ascii="Times New Roman" w:hAnsi="Times New Roman" w:cs="Times New Roman"/>
          <w:sz w:val="24"/>
          <w:szCs w:val="24"/>
        </w:rPr>
        <w:t xml:space="preserve"> Atuação da SUDENE, portanto, promoveu o “ajustamento” da estrutura industrial nordestina ao padrão de acumulação do período da </w:t>
      </w:r>
      <w:r w:rsidRPr="006F0285">
        <w:rPr>
          <w:rFonts w:ascii="Times New Roman" w:hAnsi="Times New Roman" w:cs="Times New Roman"/>
          <w:sz w:val="24"/>
          <w:szCs w:val="24"/>
        </w:rPr>
        <w:lastRenderedPageBreak/>
        <w:t>“industrialização pesada</w:t>
      </w:r>
      <w:r w:rsidRPr="006F0285">
        <w:rPr>
          <w:rStyle w:val="Refdenotaderodap"/>
          <w:rFonts w:ascii="Times New Roman" w:hAnsi="Times New Roman" w:cs="Times New Roman"/>
          <w:sz w:val="24"/>
          <w:szCs w:val="24"/>
        </w:rPr>
        <w:footnoteReference w:id="4"/>
      </w:r>
      <w:r w:rsidRPr="006F0285">
        <w:rPr>
          <w:rFonts w:ascii="Times New Roman" w:hAnsi="Times New Roman" w:cs="Times New Roman"/>
          <w:sz w:val="24"/>
          <w:szCs w:val="24"/>
        </w:rPr>
        <w:t xml:space="preserve">” e consolidou a região como produtora de bens intermediários, fornecedora de insumos industriais e mercado consumidor dos bens de produção do Centro-Sul. O mercado brasileiro como um todo se fortalecia e promovia a integração entre as regiões do país. </w:t>
      </w:r>
    </w:p>
    <w:p w:rsidR="006F0285" w:rsidRPr="006F0285" w:rsidRDefault="006F0285" w:rsidP="006F0285">
      <w:pPr>
        <w:spacing w:after="0" w:line="360" w:lineRule="auto"/>
        <w:jc w:val="both"/>
        <w:rPr>
          <w:rFonts w:ascii="Times New Roman" w:hAnsi="Times New Roman" w:cs="Times New Roman"/>
          <w:sz w:val="24"/>
          <w:szCs w:val="24"/>
        </w:rPr>
      </w:pPr>
      <w:r w:rsidRPr="006F0285">
        <w:rPr>
          <w:rFonts w:ascii="Times New Roman" w:hAnsi="Times New Roman" w:cs="Times New Roman"/>
          <w:sz w:val="24"/>
          <w:szCs w:val="24"/>
        </w:rPr>
        <w:tab/>
        <w:t>Apesar do protagonismo para o desenvolvimento regional, nos anos 1990 a SUDENE foi alvo das políticas de ajuste fiscal e desmonte do planejamento público em função do alinhamento do Estado brasileiro ao programa do Consenso de Washington. Escanteadas pela orientação monetarista e os novos programas do Governo voltados às áreas com melhores infraestrutura econômicas, a SUDENE foi extinta pela Medida Provisória nº 2.146-1, de 4 de maio de 2001, junto com o sistema de incentivos fiscais para o Nordeste (FINOR). Em seu lugar, a MP criou a Agência de Desenvolvimento do Nordeste (ADENE) eos incentivos fiscais foram reformulados para o Fundo de Desenvolvimento do Nordeste (FNDE) ao invés do FINOR.</w:t>
      </w:r>
    </w:p>
    <w:p w:rsidR="006F0285" w:rsidRPr="006F0285" w:rsidRDefault="006F0285" w:rsidP="006F0285">
      <w:pPr>
        <w:spacing w:after="0" w:line="360" w:lineRule="auto"/>
        <w:jc w:val="both"/>
        <w:rPr>
          <w:rFonts w:ascii="Times New Roman" w:hAnsi="Times New Roman" w:cs="Times New Roman"/>
          <w:sz w:val="24"/>
          <w:szCs w:val="24"/>
        </w:rPr>
      </w:pPr>
      <w:r w:rsidRPr="006F0285">
        <w:rPr>
          <w:rFonts w:ascii="Times New Roman" w:hAnsi="Times New Roman" w:cs="Times New Roman"/>
          <w:sz w:val="24"/>
          <w:szCs w:val="24"/>
        </w:rPr>
        <w:tab/>
        <w:t xml:space="preserve">A criação dessas agências ocorreu em um cenário de mudança do Estado, com avanço dos processos de privatização e desnacionalização das empresas públicas por todo o país.Carvalho (2006) ressalta que as agências reguladoras ficaram restritas ao papel de controle, fiscalização, monitoramento e avaliação dos instrumentos de desenvolvimento regional formulados pela iniciativa privada, que passou a exercer tarefas que antes eram executadas e desenhadas pela Superintendência.A autora diz ainda que não havia praticamente nenhuma relação entre as agências reguladoras e as Superintendências de Desenvolvimento Regional. Uderman (2008) acrescenta que as agências não conseguiram aglutinar força política e nem recursos financeiros para exercer intervenção relevante na agenda regional, mesmo dentro de suas reduzidas atribuições.A ADENE era a expressão institucional da função marginal que ocupavam as políticas de desenvolvimento regional nesse novo ciclo de acumulação do capital. </w:t>
      </w:r>
    </w:p>
    <w:p w:rsidR="006F0285" w:rsidRPr="006F0285" w:rsidRDefault="006F0285" w:rsidP="006F0285">
      <w:pPr>
        <w:spacing w:after="0" w:line="360" w:lineRule="auto"/>
        <w:jc w:val="both"/>
        <w:rPr>
          <w:rFonts w:ascii="Times New Roman" w:hAnsi="Times New Roman" w:cs="Times New Roman"/>
          <w:sz w:val="24"/>
          <w:szCs w:val="24"/>
        </w:rPr>
      </w:pPr>
      <w:r w:rsidRPr="006F0285">
        <w:rPr>
          <w:rFonts w:ascii="Times New Roman" w:hAnsi="Times New Roman" w:cs="Times New Roman"/>
          <w:sz w:val="24"/>
          <w:szCs w:val="24"/>
        </w:rPr>
        <w:lastRenderedPageBreak/>
        <w:tab/>
        <w:t>Portugal e Silva (2020) elencam também que foi nesse período de criação das agências reguladoras foram criadas que surgiram novos instrumentos, órgãos e formas para gerenciar atividades que antes eram de responsabilidade direta do Estado, como as organizações não governamentais (ONGs), vinculados a idéia do setor público não estatal, e os órgãos de controle, vide o Tribunal de Contas da União (TCU) e a Controladoria-Geral da União (CGU), criada em 2003.</w:t>
      </w:r>
    </w:p>
    <w:p w:rsidR="006F0285" w:rsidRPr="006F0285" w:rsidRDefault="006F0285" w:rsidP="006F0285">
      <w:pPr>
        <w:spacing w:after="0" w:line="360" w:lineRule="auto"/>
        <w:jc w:val="both"/>
        <w:rPr>
          <w:rFonts w:ascii="Times New Roman" w:hAnsi="Times New Roman" w:cs="Times New Roman"/>
          <w:sz w:val="24"/>
          <w:szCs w:val="24"/>
        </w:rPr>
      </w:pPr>
      <w:r w:rsidRPr="006F0285">
        <w:rPr>
          <w:rFonts w:ascii="Times New Roman" w:hAnsi="Times New Roman" w:cs="Times New Roman"/>
          <w:sz w:val="24"/>
          <w:szCs w:val="24"/>
        </w:rPr>
        <w:tab/>
        <w:t xml:space="preserve">Somente em 2007, através do grupo interministerial de trabalho coordenado pela professora Tânia Bacelar, até então secretaria de políticas de desenvolvimento regional, que a SUDENE foi recriada pela Lei Complementar nº 125, de 3 de janeiro de 2007, integrando o programa nacional “Um Brasil para Todos” do governo federal.  A nova Lei estabelecia que o objetivo da SUDENE era promover o desenvolvimento includente e sustentável e propiciar a integração competitiva da base produtiva regional à economia nacional e internacional. </w:t>
      </w:r>
    </w:p>
    <w:p w:rsidR="006F0285" w:rsidRPr="006F0285" w:rsidRDefault="006F0285" w:rsidP="006F0285">
      <w:pPr>
        <w:spacing w:after="0" w:line="360" w:lineRule="auto"/>
        <w:ind w:firstLine="708"/>
        <w:jc w:val="both"/>
        <w:rPr>
          <w:rFonts w:ascii="Times New Roman" w:hAnsi="Times New Roman" w:cs="Times New Roman"/>
          <w:sz w:val="24"/>
          <w:szCs w:val="24"/>
        </w:rPr>
      </w:pPr>
      <w:r w:rsidRPr="006F0285">
        <w:rPr>
          <w:rFonts w:ascii="Times New Roman" w:hAnsi="Times New Roman" w:cs="Times New Roman"/>
          <w:sz w:val="24"/>
          <w:szCs w:val="24"/>
        </w:rPr>
        <w:t xml:space="preserve">O retorno da SUDENE, porém, emergia em cenário de mudanças na estrutura produtiva, novos arranjos fiscais e macroeconômicos e intensificação dos conflitos financeiros e federativos, com destaque para a guerra fiscal entre estados e municípios. Essa disputa por recursos entre os entes subnacionais se exacerba pela perda de autoridade na condução orçamentária parte desses entes, a despeito da Constituição Federal de 1988 (CF/88) ter se desenhado em prol do maior grau de autonomia ante o executivo federal. Lopreato(2020) coloca que a centralização do orçamento pela instância federal significava o alinhamento por tabela das outras esferas do governo aos programas de ajuste fiscal de orientação monetarista e submissão às métricas do mercado, o que amarrava os entes subnacionais às decisões macroeconômicas de política restritiva e potencializavam as insatisfações, insuficiências e as forças fragmentadoras dos poderes estaduais e municipais em busca de receitas extraordinárias. </w:t>
      </w:r>
    </w:p>
    <w:p w:rsidR="006F0285" w:rsidRPr="006F0285" w:rsidRDefault="006F0285" w:rsidP="006F0285">
      <w:pPr>
        <w:pStyle w:val="Default"/>
        <w:spacing w:line="360" w:lineRule="auto"/>
        <w:jc w:val="both"/>
        <w:rPr>
          <w:rFonts w:ascii="Times New Roman" w:hAnsi="Times New Roman" w:cs="Times New Roman"/>
        </w:rPr>
      </w:pPr>
      <w:r w:rsidRPr="006F0285">
        <w:rPr>
          <w:rFonts w:ascii="Times New Roman" w:hAnsi="Times New Roman" w:cs="Times New Roman"/>
        </w:rPr>
        <w:tab/>
        <w:t xml:space="preserve">Nessa conjuntura conflituosa pela distribuição dos recursos, Araújo (2015) afirma que as entidades regionais ficaram imprensadas entre a União e os estados no novo arranjo federativo. </w:t>
      </w:r>
      <w:r w:rsidRPr="006F0285">
        <w:rPr>
          <w:rFonts w:ascii="Times New Roman" w:hAnsi="Times New Roman" w:cs="Times New Roman"/>
          <w:color w:val="000000" w:themeColor="text1"/>
        </w:rPr>
        <w:t xml:space="preserve">Se antes o </w:t>
      </w:r>
      <w:r w:rsidRPr="006F0285">
        <w:rPr>
          <w:rFonts w:ascii="Times New Roman" w:hAnsi="Times New Roman" w:cs="Times New Roman"/>
        </w:rPr>
        <w:t xml:space="preserve"> governo repassava  recursos para a instituição regional, que posteriormente direcionava para os estados, e esses faziam novas transferências para os municípios dos recursos federais, a CF/88 estabelece uma nova divisão hierárquica, os </w:t>
      </w:r>
      <w:r w:rsidRPr="006F0285">
        <w:rPr>
          <w:rFonts w:ascii="Times New Roman" w:hAnsi="Times New Roman" w:cs="Times New Roman"/>
        </w:rPr>
        <w:lastRenderedPageBreak/>
        <w:t>recursos seguem diretamente para os entes federados (estados e municípios) sem a  necessidade de intermediação financeira das Superintendências de Desenvolvimento Regional, tal como a SUDENE,  que ficam enfraquecidas enquanto seu papel institucional e financeiro.</w:t>
      </w:r>
    </w:p>
    <w:p w:rsidR="006F0285" w:rsidRPr="006F0285" w:rsidRDefault="006F0285" w:rsidP="006F0285">
      <w:pPr>
        <w:pStyle w:val="Default"/>
        <w:spacing w:line="360" w:lineRule="auto"/>
        <w:jc w:val="both"/>
        <w:rPr>
          <w:rFonts w:ascii="Times New Roman" w:hAnsi="Times New Roman" w:cs="Times New Roman"/>
        </w:rPr>
      </w:pPr>
      <w:r w:rsidRPr="006F0285">
        <w:rPr>
          <w:rFonts w:ascii="Times New Roman" w:hAnsi="Times New Roman" w:cs="Times New Roman"/>
        </w:rPr>
        <w:tab/>
      </w:r>
      <w:bookmarkStart w:id="0" w:name="_Hlk107387052"/>
      <w:r w:rsidRPr="006F0285">
        <w:rPr>
          <w:rFonts w:ascii="Times New Roman" w:hAnsi="Times New Roman" w:cs="Times New Roman"/>
        </w:rPr>
        <w:t>Monteiro Neto (2015)</w:t>
      </w:r>
      <w:bookmarkEnd w:id="0"/>
      <w:r w:rsidRPr="006F0285">
        <w:rPr>
          <w:rFonts w:ascii="Times New Roman" w:hAnsi="Times New Roman" w:cs="Times New Roman"/>
        </w:rPr>
        <w:t xml:space="preserve"> conclui que nem o movimento de descentralização federativa foi efetivado, pelas contraproducentes medidas de saneamento das finanças públicas e de estabilização macroeconômica, e muito menos as políticas públicas de orientação regional ganharam notoriedade ou primazia no período, escanteadas diante da </w:t>
      </w:r>
      <w:r w:rsidRPr="006F0285">
        <w:rPr>
          <w:rFonts w:ascii="Times New Roman" w:hAnsi="Times New Roman" w:cs="Times New Roman"/>
          <w:color w:val="000000" w:themeColor="text1"/>
        </w:rPr>
        <w:t xml:space="preserve">concorrência com outras políticas e programas setoriais que tiveram maior relevância, a despeito do fato de que a realidade regional brasileira sofreu modificações, mas que pouco tiveram relação com as ações derivadas da política regional diretamente. </w:t>
      </w:r>
      <w:r w:rsidRPr="006F0285">
        <w:rPr>
          <w:rFonts w:ascii="Times New Roman" w:hAnsi="Times New Roman" w:cs="Times New Roman"/>
        </w:rPr>
        <w:tab/>
      </w:r>
    </w:p>
    <w:p w:rsidR="006F0285" w:rsidRPr="006F0285" w:rsidRDefault="006F0285" w:rsidP="006F0285">
      <w:pPr>
        <w:spacing w:after="0" w:line="360" w:lineRule="auto"/>
        <w:ind w:firstLine="708"/>
        <w:jc w:val="both"/>
        <w:rPr>
          <w:rFonts w:ascii="Times New Roman" w:hAnsi="Times New Roman" w:cs="Times New Roman"/>
          <w:sz w:val="24"/>
          <w:szCs w:val="24"/>
        </w:rPr>
      </w:pPr>
      <w:bookmarkStart w:id="1" w:name="_Hlk102557101"/>
      <w:r w:rsidRPr="006F0285">
        <w:rPr>
          <w:rFonts w:ascii="Times New Roman" w:hAnsi="Times New Roman" w:cs="Times New Roman"/>
          <w:sz w:val="24"/>
          <w:szCs w:val="24"/>
        </w:rPr>
        <w:t>Portanto, se percebe que a SUDENE perdeu papel de protagonismo enquanto instituição síntese de um Nordeste integrado, composto por ações cooperativas dos atores políticos articulados conjuntamente na orientação da pauta regional. Prevaleceu a disputa no âmbito da concorrência, fazendo perder o “nexo de solidariedade” pelos entes subnacionais, junto ao maior grau de descoordenação intergovernamental e um crescente descaso e fragilização da Superintendência</w:t>
      </w:r>
      <w:bookmarkEnd w:id="1"/>
      <w:r w:rsidRPr="006F0285">
        <w:rPr>
          <w:rFonts w:ascii="Times New Roman" w:hAnsi="Times New Roman" w:cs="Times New Roman"/>
          <w:sz w:val="24"/>
          <w:szCs w:val="24"/>
        </w:rPr>
        <w:t xml:space="preserve">, com pouco espaço político, institucional e financeiro para desenvolver os programas, planos e projetos que lhe são inertes. </w:t>
      </w:r>
    </w:p>
    <w:p w:rsidR="00F72780" w:rsidRDefault="00F72780">
      <w:pPr>
        <w:spacing w:after="0" w:line="240" w:lineRule="auto"/>
        <w:ind w:firstLine="708"/>
        <w:jc w:val="both"/>
        <w:rPr>
          <w:rFonts w:ascii="Times New Roman" w:hAnsi="Times New Roman" w:cs="Times New Roman"/>
          <w:sz w:val="24"/>
          <w:szCs w:val="24"/>
        </w:rPr>
      </w:pPr>
    </w:p>
    <w:p w:rsidR="00F72780" w:rsidRDefault="00F72780">
      <w:pPr>
        <w:spacing w:after="0" w:line="240" w:lineRule="auto"/>
        <w:jc w:val="both"/>
        <w:rPr>
          <w:rFonts w:ascii="Times New Roman" w:hAnsi="Times New Roman" w:cs="Times New Roman"/>
          <w:sz w:val="24"/>
          <w:szCs w:val="24"/>
        </w:rPr>
      </w:pPr>
    </w:p>
    <w:p w:rsidR="00F72780" w:rsidRDefault="00A65F5D">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4 RESULTADOS E DISCUSSÕES </w:t>
      </w:r>
    </w:p>
    <w:p w:rsidR="006F0285" w:rsidRDefault="006F0285" w:rsidP="006F0285">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4.1 </w:t>
      </w:r>
      <w:r w:rsidRPr="001C6F2E">
        <w:rPr>
          <w:rFonts w:ascii="Times New Roman" w:hAnsi="Times New Roman" w:cs="Times New Roman"/>
          <w:b/>
          <w:bCs/>
          <w:sz w:val="24"/>
          <w:szCs w:val="24"/>
        </w:rPr>
        <w:t>Desestruturação da SUDENE: Uma análise a partir da formulação estratégica do Conselho Deliberativo</w:t>
      </w:r>
    </w:p>
    <w:p w:rsidR="006F0285" w:rsidRDefault="006F0285" w:rsidP="006F0285">
      <w:pPr>
        <w:spacing w:after="0" w:line="360" w:lineRule="auto"/>
        <w:ind w:firstLine="708"/>
        <w:jc w:val="both"/>
        <w:rPr>
          <w:rFonts w:ascii="Times New Roman" w:hAnsi="Times New Roman" w:cs="Times New Roman"/>
          <w:sz w:val="24"/>
          <w:szCs w:val="24"/>
        </w:rPr>
      </w:pPr>
      <w:r w:rsidRPr="00263809">
        <w:rPr>
          <w:rFonts w:ascii="Times New Roman" w:hAnsi="Times New Roman" w:cs="Times New Roman"/>
          <w:sz w:val="24"/>
          <w:szCs w:val="24"/>
        </w:rPr>
        <w:t xml:space="preserve">O Conselho Deliberativo (Condel) é o principal órgão de articulação institucional </w:t>
      </w:r>
      <w:r>
        <w:rPr>
          <w:rFonts w:ascii="Times New Roman" w:hAnsi="Times New Roman" w:cs="Times New Roman"/>
          <w:sz w:val="24"/>
          <w:szCs w:val="24"/>
        </w:rPr>
        <w:t xml:space="preserve">intergovernamental </w:t>
      </w:r>
      <w:r w:rsidRPr="00263809">
        <w:rPr>
          <w:rFonts w:ascii="Times New Roman" w:hAnsi="Times New Roman" w:cs="Times New Roman"/>
          <w:sz w:val="24"/>
          <w:szCs w:val="24"/>
        </w:rPr>
        <w:t>da SUDENE,</w:t>
      </w:r>
      <w:r>
        <w:rPr>
          <w:rFonts w:ascii="Times New Roman" w:hAnsi="Times New Roman" w:cs="Times New Roman"/>
          <w:sz w:val="24"/>
          <w:szCs w:val="24"/>
        </w:rPr>
        <w:t xml:space="preserve"> quem garante a autonomia política pela </w:t>
      </w:r>
      <w:r w:rsidRPr="00EE069F">
        <w:rPr>
          <w:rFonts w:ascii="Times New Roman" w:hAnsi="Times New Roman" w:cs="Times New Roman"/>
          <w:sz w:val="24"/>
          <w:szCs w:val="24"/>
        </w:rPr>
        <w:t xml:space="preserve">da junção de relevantes atores políticos congregados </w:t>
      </w:r>
      <w:r>
        <w:rPr>
          <w:rFonts w:ascii="Times New Roman" w:hAnsi="Times New Roman" w:cs="Times New Roman"/>
          <w:sz w:val="24"/>
          <w:szCs w:val="24"/>
        </w:rPr>
        <w:t xml:space="preserve">nesse Conselho, </w:t>
      </w:r>
      <w:r w:rsidRPr="00EE069F">
        <w:rPr>
          <w:rFonts w:ascii="Times New Roman" w:hAnsi="Times New Roman" w:cs="Times New Roman"/>
          <w:sz w:val="24"/>
          <w:szCs w:val="24"/>
        </w:rPr>
        <w:t>que funcion</w:t>
      </w:r>
      <w:r>
        <w:rPr>
          <w:rFonts w:ascii="Times New Roman" w:hAnsi="Times New Roman" w:cs="Times New Roman"/>
          <w:sz w:val="24"/>
          <w:szCs w:val="24"/>
        </w:rPr>
        <w:t>a</w:t>
      </w:r>
      <w:r w:rsidRPr="00EE069F">
        <w:rPr>
          <w:rFonts w:ascii="Times New Roman" w:hAnsi="Times New Roman" w:cs="Times New Roman"/>
          <w:sz w:val="24"/>
          <w:szCs w:val="24"/>
        </w:rPr>
        <w:t xml:space="preserve"> como instância deliberativa, onde formulam estratégias, pleiteiam as demandas e atend</w:t>
      </w:r>
      <w:r>
        <w:rPr>
          <w:rFonts w:ascii="Times New Roman" w:hAnsi="Times New Roman" w:cs="Times New Roman"/>
          <w:sz w:val="24"/>
          <w:szCs w:val="24"/>
        </w:rPr>
        <w:t>e</w:t>
      </w:r>
      <w:r w:rsidRPr="00EE069F">
        <w:rPr>
          <w:rFonts w:ascii="Times New Roman" w:hAnsi="Times New Roman" w:cs="Times New Roman"/>
          <w:sz w:val="24"/>
          <w:szCs w:val="24"/>
        </w:rPr>
        <w:t>m os</w:t>
      </w:r>
      <w:r>
        <w:rPr>
          <w:rFonts w:ascii="Times New Roman" w:hAnsi="Times New Roman" w:cs="Times New Roman"/>
          <w:sz w:val="24"/>
          <w:szCs w:val="24"/>
        </w:rPr>
        <w:t xml:space="preserve"> divergentes</w:t>
      </w:r>
      <w:r w:rsidRPr="00EE069F">
        <w:rPr>
          <w:rFonts w:ascii="Times New Roman" w:hAnsi="Times New Roman" w:cs="Times New Roman"/>
          <w:sz w:val="24"/>
          <w:szCs w:val="24"/>
        </w:rPr>
        <w:t xml:space="preserve"> interesses da região em comum acordo entre </w:t>
      </w:r>
      <w:r>
        <w:rPr>
          <w:rFonts w:ascii="Times New Roman" w:hAnsi="Times New Roman" w:cs="Times New Roman"/>
          <w:sz w:val="24"/>
          <w:szCs w:val="24"/>
        </w:rPr>
        <w:t>seus componentes</w:t>
      </w:r>
      <w:r w:rsidRPr="00EE069F">
        <w:rPr>
          <w:rFonts w:ascii="Times New Roman" w:hAnsi="Times New Roman" w:cs="Times New Roman"/>
          <w:sz w:val="24"/>
          <w:szCs w:val="24"/>
        </w:rPr>
        <w:t>.</w:t>
      </w:r>
      <w:r>
        <w:rPr>
          <w:rFonts w:ascii="Times New Roman" w:hAnsi="Times New Roman" w:cs="Times New Roman"/>
          <w:sz w:val="24"/>
          <w:szCs w:val="24"/>
        </w:rPr>
        <w:t xml:space="preserve"> O CONDEL tem formação heterogênea, proposital para </w:t>
      </w:r>
      <w:r w:rsidRPr="00EE069F">
        <w:rPr>
          <w:rFonts w:ascii="Times New Roman" w:hAnsi="Times New Roman" w:cs="Times New Roman"/>
          <w:sz w:val="24"/>
          <w:szCs w:val="24"/>
        </w:rPr>
        <w:t>produzir formas democráticas de cooperação institucional e intergovernamental.</w:t>
      </w:r>
    </w:p>
    <w:p w:rsidR="006F0285" w:rsidRPr="00263809" w:rsidRDefault="006F0285" w:rsidP="006F0285">
      <w:pPr>
        <w:spacing w:after="0" w:line="360" w:lineRule="auto"/>
        <w:jc w:val="both"/>
        <w:rPr>
          <w:rFonts w:ascii="Times New Roman" w:hAnsi="Times New Roman" w:cs="Times New Roman"/>
          <w:sz w:val="24"/>
          <w:szCs w:val="24"/>
        </w:rPr>
      </w:pPr>
      <w:r w:rsidRPr="00263809">
        <w:rPr>
          <w:rFonts w:ascii="Times New Roman" w:hAnsi="Times New Roman" w:cs="Times New Roman"/>
          <w:sz w:val="24"/>
          <w:szCs w:val="24"/>
        </w:rPr>
        <w:lastRenderedPageBreak/>
        <w:tab/>
        <w:t xml:space="preserve">De acordo com o decreto nº 8.276 de 27 de junho de 2014, que aprovou a estrutura regimental </w:t>
      </w:r>
      <w:r>
        <w:rPr>
          <w:rFonts w:ascii="Times New Roman" w:hAnsi="Times New Roman" w:cs="Times New Roman"/>
          <w:sz w:val="24"/>
          <w:szCs w:val="24"/>
        </w:rPr>
        <w:t xml:space="preserve">da </w:t>
      </w:r>
      <w:r w:rsidRPr="00263809">
        <w:rPr>
          <w:rFonts w:ascii="Times New Roman" w:hAnsi="Times New Roman" w:cs="Times New Roman"/>
          <w:sz w:val="24"/>
          <w:szCs w:val="24"/>
        </w:rPr>
        <w:t>SUDENE, o CONDEL possui 14 objetivos explícitos</w:t>
      </w:r>
      <w:r>
        <w:rPr>
          <w:rFonts w:ascii="Times New Roman" w:hAnsi="Times New Roman" w:cs="Times New Roman"/>
          <w:sz w:val="24"/>
          <w:szCs w:val="24"/>
        </w:rPr>
        <w:t>,</w:t>
      </w:r>
      <w:r w:rsidRPr="00263809">
        <w:rPr>
          <w:rFonts w:ascii="Times New Roman" w:hAnsi="Times New Roman" w:cs="Times New Roman"/>
          <w:sz w:val="24"/>
          <w:szCs w:val="24"/>
        </w:rPr>
        <w:t xml:space="preserve"> contidos no Artº 4</w:t>
      </w:r>
      <w:r>
        <w:rPr>
          <w:rFonts w:ascii="Times New Roman" w:hAnsi="Times New Roman" w:cs="Times New Roman"/>
          <w:sz w:val="24"/>
          <w:szCs w:val="24"/>
        </w:rPr>
        <w:t>,</w:t>
      </w:r>
      <w:r w:rsidRPr="00263809">
        <w:rPr>
          <w:rFonts w:ascii="Times New Roman" w:hAnsi="Times New Roman" w:cs="Times New Roman"/>
          <w:sz w:val="24"/>
          <w:szCs w:val="24"/>
        </w:rPr>
        <w:t xml:space="preserve"> entre os quais:  estabelecer as diretrizes de ação para o desenvolvimento da área de atuação da SUDENE; acompanhar e avaliar a execução do plano e dos programas regionais do Nordeste; </w:t>
      </w:r>
      <w:r>
        <w:rPr>
          <w:rFonts w:ascii="Times New Roman" w:hAnsi="Times New Roman" w:cs="Times New Roman"/>
          <w:sz w:val="24"/>
          <w:szCs w:val="24"/>
        </w:rPr>
        <w:t>definir</w:t>
      </w:r>
      <w:r w:rsidRPr="00263809">
        <w:rPr>
          <w:rFonts w:ascii="Times New Roman" w:hAnsi="Times New Roman" w:cs="Times New Roman"/>
          <w:sz w:val="24"/>
          <w:szCs w:val="24"/>
        </w:rPr>
        <w:t xml:space="preserve"> os critérios técnicos e científicos para a delimitação do semi-árido; aprovar anualmente</w:t>
      </w:r>
      <w:r>
        <w:rPr>
          <w:rFonts w:ascii="Times New Roman" w:hAnsi="Times New Roman" w:cs="Times New Roman"/>
          <w:sz w:val="24"/>
          <w:szCs w:val="24"/>
        </w:rPr>
        <w:t xml:space="preserve"> o</w:t>
      </w:r>
      <w:r w:rsidRPr="00263809">
        <w:rPr>
          <w:rFonts w:ascii="Times New Roman" w:hAnsi="Times New Roman" w:cs="Times New Roman"/>
          <w:sz w:val="24"/>
          <w:szCs w:val="24"/>
        </w:rPr>
        <w:t xml:space="preserve"> relatório com a avaliação dos programas e ações do Governo federal n</w:t>
      </w:r>
      <w:r>
        <w:rPr>
          <w:rFonts w:ascii="Times New Roman" w:hAnsi="Times New Roman" w:cs="Times New Roman"/>
          <w:sz w:val="24"/>
          <w:szCs w:val="24"/>
        </w:rPr>
        <w:t>o NE; e</w:t>
      </w:r>
      <w:r w:rsidRPr="00263809">
        <w:rPr>
          <w:rFonts w:ascii="Times New Roman" w:hAnsi="Times New Roman" w:cs="Times New Roman"/>
          <w:sz w:val="24"/>
          <w:szCs w:val="24"/>
        </w:rPr>
        <w:t xml:space="preserve">  propor as prioridades e os critérios de aplicação dos recursos dos fundos de desenvolvimento e dos fundos setoriais. </w:t>
      </w:r>
      <w:r>
        <w:rPr>
          <w:rFonts w:ascii="Times New Roman" w:hAnsi="Times New Roman" w:cs="Times New Roman"/>
          <w:sz w:val="24"/>
          <w:szCs w:val="24"/>
        </w:rPr>
        <w:t xml:space="preserve"> Ou seja, </w:t>
      </w:r>
      <w:r w:rsidRPr="00263809">
        <w:rPr>
          <w:rFonts w:ascii="Times New Roman" w:hAnsi="Times New Roman" w:cs="Times New Roman"/>
          <w:sz w:val="24"/>
          <w:szCs w:val="24"/>
        </w:rPr>
        <w:t>cabe ao CONDEL o papel d</w:t>
      </w:r>
      <w:r>
        <w:rPr>
          <w:rFonts w:ascii="Times New Roman" w:hAnsi="Times New Roman" w:cs="Times New Roman"/>
          <w:sz w:val="24"/>
          <w:szCs w:val="24"/>
        </w:rPr>
        <w:t>e articulação,</w:t>
      </w:r>
      <w:r w:rsidRPr="00263809">
        <w:rPr>
          <w:rFonts w:ascii="Times New Roman" w:hAnsi="Times New Roman" w:cs="Times New Roman"/>
          <w:sz w:val="24"/>
          <w:szCs w:val="24"/>
        </w:rPr>
        <w:t xml:space="preserve"> implementação, orientação, acompanhamento e avaliação das medidas voltadas ao desenvolvimento regional</w:t>
      </w:r>
      <w:r>
        <w:rPr>
          <w:rFonts w:ascii="Times New Roman" w:hAnsi="Times New Roman" w:cs="Times New Roman"/>
          <w:sz w:val="24"/>
          <w:szCs w:val="24"/>
        </w:rPr>
        <w:t xml:space="preserve"> do NE.</w:t>
      </w:r>
    </w:p>
    <w:p w:rsidR="006F0285" w:rsidRPr="00263809" w:rsidRDefault="006F0285" w:rsidP="006F0285">
      <w:pPr>
        <w:spacing w:after="0" w:line="360" w:lineRule="auto"/>
        <w:jc w:val="both"/>
        <w:rPr>
          <w:rFonts w:ascii="Times New Roman" w:hAnsi="Times New Roman" w:cs="Times New Roman"/>
          <w:sz w:val="24"/>
          <w:szCs w:val="24"/>
        </w:rPr>
      </w:pPr>
      <w:r w:rsidRPr="00263809">
        <w:rPr>
          <w:rFonts w:ascii="Times New Roman" w:hAnsi="Times New Roman" w:cs="Times New Roman"/>
          <w:sz w:val="24"/>
          <w:szCs w:val="24"/>
        </w:rPr>
        <w:tab/>
      </w:r>
      <w:r>
        <w:rPr>
          <w:rFonts w:ascii="Times New Roman" w:hAnsi="Times New Roman" w:cs="Times New Roman"/>
          <w:sz w:val="24"/>
          <w:szCs w:val="24"/>
        </w:rPr>
        <w:t>Atualmente o</w:t>
      </w:r>
      <w:r w:rsidRPr="00263809">
        <w:rPr>
          <w:rFonts w:ascii="Times New Roman" w:hAnsi="Times New Roman" w:cs="Times New Roman"/>
          <w:sz w:val="24"/>
          <w:szCs w:val="24"/>
        </w:rPr>
        <w:t xml:space="preserve"> C</w:t>
      </w:r>
      <w:r>
        <w:rPr>
          <w:rFonts w:ascii="Times New Roman" w:hAnsi="Times New Roman" w:cs="Times New Roman"/>
          <w:sz w:val="24"/>
          <w:szCs w:val="24"/>
        </w:rPr>
        <w:t>ONDEL</w:t>
      </w:r>
      <w:r w:rsidRPr="00263809">
        <w:rPr>
          <w:rFonts w:ascii="Times New Roman" w:hAnsi="Times New Roman" w:cs="Times New Roman"/>
          <w:sz w:val="24"/>
          <w:szCs w:val="24"/>
        </w:rPr>
        <w:t xml:space="preserve"> é composto pelos governadores dos estados da área de atuação da S</w:t>
      </w:r>
      <w:r>
        <w:rPr>
          <w:rFonts w:ascii="Times New Roman" w:hAnsi="Times New Roman" w:cs="Times New Roman"/>
          <w:sz w:val="24"/>
          <w:szCs w:val="24"/>
        </w:rPr>
        <w:t>UDENE;</w:t>
      </w:r>
      <w:r w:rsidRPr="00263809">
        <w:rPr>
          <w:rFonts w:ascii="Times New Roman" w:hAnsi="Times New Roman" w:cs="Times New Roman"/>
          <w:sz w:val="24"/>
          <w:szCs w:val="24"/>
        </w:rPr>
        <w:t xml:space="preserve"> dos ministros do M</w:t>
      </w:r>
      <w:r>
        <w:rPr>
          <w:rFonts w:ascii="Times New Roman" w:hAnsi="Times New Roman" w:cs="Times New Roman"/>
          <w:sz w:val="24"/>
          <w:szCs w:val="24"/>
        </w:rPr>
        <w:t>inistério do Desenvolvimento Regional (M</w:t>
      </w:r>
      <w:r w:rsidRPr="00263809">
        <w:rPr>
          <w:rFonts w:ascii="Times New Roman" w:hAnsi="Times New Roman" w:cs="Times New Roman"/>
          <w:sz w:val="24"/>
          <w:szCs w:val="24"/>
        </w:rPr>
        <w:t>DR</w:t>
      </w:r>
      <w:r>
        <w:rPr>
          <w:rFonts w:ascii="Times New Roman" w:hAnsi="Times New Roman" w:cs="Times New Roman"/>
          <w:sz w:val="24"/>
          <w:szCs w:val="24"/>
        </w:rPr>
        <w:t>)</w:t>
      </w:r>
      <w:r w:rsidRPr="00263809">
        <w:rPr>
          <w:rFonts w:ascii="Times New Roman" w:hAnsi="Times New Roman" w:cs="Times New Roman"/>
          <w:sz w:val="24"/>
          <w:szCs w:val="24"/>
        </w:rPr>
        <w:t xml:space="preserve">  e do Ministério da Economia (ME) e por seis outros ministérios setoriais com presença rotativa escolhidos de acordo com a pauta </w:t>
      </w:r>
      <w:r>
        <w:rPr>
          <w:rFonts w:ascii="Times New Roman" w:hAnsi="Times New Roman" w:cs="Times New Roman"/>
          <w:sz w:val="24"/>
          <w:szCs w:val="24"/>
        </w:rPr>
        <w:t>d</w:t>
      </w:r>
      <w:r w:rsidRPr="00263809">
        <w:rPr>
          <w:rFonts w:ascii="Times New Roman" w:hAnsi="Times New Roman" w:cs="Times New Roman"/>
          <w:sz w:val="24"/>
          <w:szCs w:val="24"/>
        </w:rPr>
        <w:t>a reunião; pelo Superintendente da SUDENE e presidente do BNB; por três prefeitos de municípios de estados diferentes do Nordeste, sendo escolhidos pelo poder executivo; além de três representantes d</w:t>
      </w:r>
      <w:r>
        <w:rPr>
          <w:rFonts w:ascii="Times New Roman" w:hAnsi="Times New Roman" w:cs="Times New Roman"/>
          <w:sz w:val="24"/>
          <w:szCs w:val="24"/>
        </w:rPr>
        <w:t xml:space="preserve">a classe empresarial </w:t>
      </w:r>
      <w:r w:rsidRPr="00263809">
        <w:rPr>
          <w:rFonts w:ascii="Times New Roman" w:hAnsi="Times New Roman" w:cs="Times New Roman"/>
          <w:sz w:val="24"/>
          <w:szCs w:val="24"/>
        </w:rPr>
        <w:t>de diferentes estados</w:t>
      </w:r>
      <w:r>
        <w:rPr>
          <w:rFonts w:ascii="Times New Roman" w:hAnsi="Times New Roman" w:cs="Times New Roman"/>
          <w:sz w:val="24"/>
          <w:szCs w:val="24"/>
        </w:rPr>
        <w:t>;</w:t>
      </w:r>
      <w:r w:rsidRPr="00263809">
        <w:rPr>
          <w:rFonts w:ascii="Times New Roman" w:hAnsi="Times New Roman" w:cs="Times New Roman"/>
          <w:sz w:val="24"/>
          <w:szCs w:val="24"/>
        </w:rPr>
        <w:t xml:space="preserve"> e três representantes da classe trabalhadora também de diferentes estados</w:t>
      </w:r>
      <w:r>
        <w:rPr>
          <w:rFonts w:ascii="Times New Roman" w:hAnsi="Times New Roman" w:cs="Times New Roman"/>
          <w:sz w:val="24"/>
          <w:szCs w:val="24"/>
        </w:rPr>
        <w:t>.</w:t>
      </w:r>
    </w:p>
    <w:p w:rsidR="006F0285" w:rsidRDefault="006F0285" w:rsidP="006F0285">
      <w:pPr>
        <w:spacing w:after="0" w:line="360" w:lineRule="auto"/>
        <w:jc w:val="both"/>
        <w:rPr>
          <w:rFonts w:ascii="Times New Roman" w:hAnsi="Times New Roman" w:cs="Times New Roman"/>
          <w:sz w:val="24"/>
          <w:szCs w:val="24"/>
        </w:rPr>
      </w:pPr>
      <w:r w:rsidRPr="00263809">
        <w:rPr>
          <w:rFonts w:ascii="Times New Roman" w:hAnsi="Times New Roman" w:cs="Times New Roman"/>
          <w:sz w:val="24"/>
          <w:szCs w:val="24"/>
        </w:rPr>
        <w:tab/>
        <w:t>Vale registrar q</w:t>
      </w:r>
      <w:r>
        <w:rPr>
          <w:rFonts w:ascii="Times New Roman" w:hAnsi="Times New Roman" w:cs="Times New Roman"/>
          <w:sz w:val="24"/>
          <w:szCs w:val="24"/>
        </w:rPr>
        <w:t xml:space="preserve">ue </w:t>
      </w:r>
      <w:r w:rsidRPr="00263809">
        <w:rPr>
          <w:rFonts w:ascii="Times New Roman" w:hAnsi="Times New Roman" w:cs="Times New Roman"/>
          <w:sz w:val="24"/>
          <w:szCs w:val="24"/>
        </w:rPr>
        <w:t>conforme  a reestruturação da administração pública federal implementada pela </w:t>
      </w:r>
      <w:hyperlink r:id="rId9" w:history="1">
        <w:r w:rsidRPr="00263809">
          <w:rPr>
            <w:rFonts w:ascii="Times New Roman" w:hAnsi="Times New Roman" w:cs="Times New Roman"/>
            <w:sz w:val="24"/>
            <w:szCs w:val="24"/>
          </w:rPr>
          <w:t>Medida Provisória nº 870, de 01 de janeiro de 2019</w:t>
        </w:r>
      </w:hyperlink>
      <w:r w:rsidRPr="00263809">
        <w:rPr>
          <w:rFonts w:ascii="Times New Roman" w:hAnsi="Times New Roman" w:cs="Times New Roman"/>
          <w:sz w:val="24"/>
          <w:szCs w:val="24"/>
        </w:rPr>
        <w:t>, diferente</w:t>
      </w:r>
      <w:r>
        <w:rPr>
          <w:rFonts w:ascii="Times New Roman" w:hAnsi="Times New Roman" w:cs="Times New Roman"/>
          <w:sz w:val="24"/>
          <w:szCs w:val="24"/>
        </w:rPr>
        <w:t>mente</w:t>
      </w:r>
      <w:r w:rsidRPr="00263809">
        <w:rPr>
          <w:rFonts w:ascii="Times New Roman" w:hAnsi="Times New Roman" w:cs="Times New Roman"/>
          <w:sz w:val="24"/>
          <w:szCs w:val="24"/>
        </w:rPr>
        <w:t xml:space="preserve"> do que ocorria </w:t>
      </w:r>
      <w:r>
        <w:rPr>
          <w:rFonts w:ascii="Times New Roman" w:hAnsi="Times New Roman" w:cs="Times New Roman"/>
          <w:sz w:val="24"/>
          <w:szCs w:val="24"/>
        </w:rPr>
        <w:t xml:space="preserve">no passado, atualmente </w:t>
      </w:r>
      <w:r w:rsidRPr="00263809">
        <w:rPr>
          <w:rFonts w:ascii="Times New Roman" w:hAnsi="Times New Roman" w:cs="Times New Roman"/>
          <w:sz w:val="24"/>
          <w:szCs w:val="24"/>
        </w:rPr>
        <w:t>quem preside o Conselho são o Ministro do Desenvolvimento Regional e o Ministro da Economia, e não mais o Superintendente da SUDENE</w:t>
      </w:r>
      <w:r>
        <w:rPr>
          <w:rFonts w:ascii="Times New Roman" w:hAnsi="Times New Roman" w:cs="Times New Roman"/>
          <w:sz w:val="24"/>
          <w:szCs w:val="24"/>
        </w:rPr>
        <w:t xml:space="preserve">.  Essa mudança legal na ocupação do cargo de presidência para os ministérios de Estado </w:t>
      </w:r>
      <w:r w:rsidRPr="00263809">
        <w:rPr>
          <w:rFonts w:ascii="Times New Roman" w:hAnsi="Times New Roman" w:cs="Times New Roman"/>
          <w:sz w:val="24"/>
          <w:szCs w:val="24"/>
        </w:rPr>
        <w:t>aponta para uma menor autonomia das instâncias deliberativas estaduais</w:t>
      </w:r>
      <w:r>
        <w:rPr>
          <w:rFonts w:ascii="Times New Roman" w:hAnsi="Times New Roman" w:cs="Times New Roman"/>
          <w:sz w:val="24"/>
          <w:szCs w:val="24"/>
        </w:rPr>
        <w:t>, o que modifica a correlação de forças políticas dentro da SUDENE, mais amarradas às decisões do executivo federal.</w:t>
      </w:r>
    </w:p>
    <w:p w:rsidR="006F0285" w:rsidRDefault="006F0285" w:rsidP="006F028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Nesse sentido, adicionamos </w:t>
      </w:r>
      <w:r w:rsidRPr="00B66CA2">
        <w:rPr>
          <w:rFonts w:ascii="Times New Roman" w:hAnsi="Times New Roman" w:cs="Times New Roman"/>
          <w:sz w:val="24"/>
          <w:szCs w:val="24"/>
        </w:rPr>
        <w:t>que as propostas de orçamento da SUDENE são encaminhadas ao MDR, cabendo a esse órgão o papel de aprovação ou não do orçamento. Isto é, a amplitude e o raio da ação financeira da</w:t>
      </w:r>
      <w:r>
        <w:rPr>
          <w:rFonts w:ascii="Times New Roman" w:hAnsi="Times New Roman" w:cs="Times New Roman"/>
          <w:sz w:val="24"/>
          <w:szCs w:val="24"/>
        </w:rPr>
        <w:t xml:space="preserve"> Superintendência</w:t>
      </w:r>
      <w:r w:rsidRPr="00B66CA2">
        <w:rPr>
          <w:rFonts w:ascii="Times New Roman" w:hAnsi="Times New Roman" w:cs="Times New Roman"/>
          <w:sz w:val="24"/>
          <w:szCs w:val="24"/>
        </w:rPr>
        <w:t xml:space="preserve"> ficam limitad</w:t>
      </w:r>
      <w:r>
        <w:rPr>
          <w:rFonts w:ascii="Times New Roman" w:hAnsi="Times New Roman" w:cs="Times New Roman"/>
          <w:sz w:val="24"/>
          <w:szCs w:val="24"/>
        </w:rPr>
        <w:t>a a</w:t>
      </w:r>
      <w:r w:rsidRPr="00B66CA2">
        <w:rPr>
          <w:rFonts w:ascii="Times New Roman" w:hAnsi="Times New Roman" w:cs="Times New Roman"/>
          <w:sz w:val="24"/>
          <w:szCs w:val="24"/>
        </w:rPr>
        <w:t xml:space="preserve"> outra instância nada associad</w:t>
      </w:r>
      <w:r>
        <w:rPr>
          <w:rFonts w:ascii="Times New Roman" w:hAnsi="Times New Roman" w:cs="Times New Roman"/>
          <w:sz w:val="24"/>
          <w:szCs w:val="24"/>
        </w:rPr>
        <w:t>a</w:t>
      </w:r>
      <w:r w:rsidRPr="00B66CA2">
        <w:rPr>
          <w:rFonts w:ascii="Times New Roman" w:hAnsi="Times New Roman" w:cs="Times New Roman"/>
          <w:sz w:val="24"/>
          <w:szCs w:val="24"/>
        </w:rPr>
        <w:t xml:space="preserve"> com as diretrizes, prioridades ou estratégias de atuação </w:t>
      </w:r>
      <w:r>
        <w:rPr>
          <w:rFonts w:ascii="Times New Roman" w:hAnsi="Times New Roman" w:cs="Times New Roman"/>
          <w:sz w:val="24"/>
          <w:szCs w:val="24"/>
        </w:rPr>
        <w:t>regional</w:t>
      </w:r>
      <w:r w:rsidRPr="00B66CA2">
        <w:rPr>
          <w:rFonts w:ascii="Times New Roman" w:hAnsi="Times New Roman" w:cs="Times New Roman"/>
          <w:sz w:val="24"/>
          <w:szCs w:val="24"/>
        </w:rPr>
        <w:t>,</w:t>
      </w:r>
      <w:r>
        <w:rPr>
          <w:rFonts w:ascii="Times New Roman" w:hAnsi="Times New Roman" w:cs="Times New Roman"/>
          <w:sz w:val="24"/>
          <w:szCs w:val="24"/>
        </w:rPr>
        <w:t xml:space="preserve"> sem </w:t>
      </w:r>
      <w:r w:rsidRPr="00B66CA2">
        <w:rPr>
          <w:rFonts w:ascii="Times New Roman" w:hAnsi="Times New Roman" w:cs="Times New Roman"/>
          <w:sz w:val="24"/>
          <w:szCs w:val="24"/>
        </w:rPr>
        <w:t xml:space="preserve">expertise </w:t>
      </w:r>
      <w:r w:rsidRPr="00B66CA2">
        <w:rPr>
          <w:rFonts w:ascii="Times New Roman" w:hAnsi="Times New Roman" w:cs="Times New Roman"/>
          <w:sz w:val="24"/>
          <w:szCs w:val="24"/>
        </w:rPr>
        <w:lastRenderedPageBreak/>
        <w:t xml:space="preserve">na </w:t>
      </w:r>
      <w:r>
        <w:rPr>
          <w:rFonts w:ascii="Times New Roman" w:hAnsi="Times New Roman" w:cs="Times New Roman"/>
          <w:sz w:val="24"/>
          <w:szCs w:val="24"/>
        </w:rPr>
        <w:t>área</w:t>
      </w:r>
      <w:r w:rsidRPr="00B66CA2">
        <w:rPr>
          <w:rFonts w:ascii="Times New Roman" w:hAnsi="Times New Roman" w:cs="Times New Roman"/>
          <w:sz w:val="24"/>
          <w:szCs w:val="24"/>
        </w:rPr>
        <w:t>, porém pautando e limitando as ações</w:t>
      </w:r>
      <w:r>
        <w:rPr>
          <w:rFonts w:ascii="Times New Roman" w:hAnsi="Times New Roman" w:cs="Times New Roman"/>
          <w:sz w:val="24"/>
          <w:szCs w:val="24"/>
        </w:rPr>
        <w:t xml:space="preserve"> da principal instituição</w:t>
      </w:r>
      <w:r w:rsidRPr="00B66CA2">
        <w:rPr>
          <w:rFonts w:ascii="Times New Roman" w:hAnsi="Times New Roman" w:cs="Times New Roman"/>
          <w:sz w:val="24"/>
          <w:szCs w:val="24"/>
        </w:rPr>
        <w:t>, evidenciando tamanha heteronomia da Superintendência.</w:t>
      </w:r>
    </w:p>
    <w:p w:rsidR="006F0285" w:rsidRDefault="006F0285" w:rsidP="006F028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Outro dado importante é que hoje </w:t>
      </w:r>
      <w:r w:rsidRPr="00263809">
        <w:rPr>
          <w:rFonts w:ascii="Times New Roman" w:hAnsi="Times New Roman" w:cs="Times New Roman"/>
          <w:sz w:val="24"/>
          <w:szCs w:val="24"/>
        </w:rPr>
        <w:t>as reuniões do C</w:t>
      </w:r>
      <w:r>
        <w:rPr>
          <w:rFonts w:ascii="Times New Roman" w:hAnsi="Times New Roman" w:cs="Times New Roman"/>
          <w:sz w:val="24"/>
          <w:szCs w:val="24"/>
        </w:rPr>
        <w:t xml:space="preserve">ONDEL </w:t>
      </w:r>
      <w:r w:rsidRPr="00263809">
        <w:rPr>
          <w:rFonts w:ascii="Times New Roman" w:hAnsi="Times New Roman" w:cs="Times New Roman"/>
          <w:sz w:val="24"/>
          <w:szCs w:val="24"/>
        </w:rPr>
        <w:t>são menos freqüentes</w:t>
      </w:r>
      <w:r>
        <w:rPr>
          <w:rFonts w:ascii="Times New Roman" w:hAnsi="Times New Roman" w:cs="Times New Roman"/>
          <w:sz w:val="24"/>
          <w:szCs w:val="24"/>
        </w:rPr>
        <w:t xml:space="preserve">. Se no início os encontros eram quinzenais ou mensais, atualmente são semestrais. </w:t>
      </w:r>
      <w:r w:rsidRPr="00263809">
        <w:rPr>
          <w:rFonts w:ascii="Times New Roman" w:hAnsi="Times New Roman" w:cs="Times New Roman"/>
          <w:sz w:val="24"/>
          <w:szCs w:val="24"/>
        </w:rPr>
        <w:t xml:space="preserve">Vale ressaltar que </w:t>
      </w:r>
      <w:r>
        <w:rPr>
          <w:rFonts w:ascii="Times New Roman" w:hAnsi="Times New Roman" w:cs="Times New Roman"/>
          <w:sz w:val="24"/>
          <w:szCs w:val="24"/>
        </w:rPr>
        <w:t xml:space="preserve">após a refundação da SUDENE em 2007 a </w:t>
      </w:r>
      <w:r w:rsidRPr="00263809">
        <w:rPr>
          <w:rFonts w:ascii="Times New Roman" w:hAnsi="Times New Roman" w:cs="Times New Roman"/>
          <w:sz w:val="24"/>
          <w:szCs w:val="24"/>
        </w:rPr>
        <w:t>primeira reunião do CONDEL ocorreu soment</w:t>
      </w:r>
      <w:r>
        <w:rPr>
          <w:rFonts w:ascii="Times New Roman" w:hAnsi="Times New Roman" w:cs="Times New Roman"/>
          <w:sz w:val="24"/>
          <w:szCs w:val="24"/>
        </w:rPr>
        <w:t>e</w:t>
      </w:r>
      <w:r w:rsidRPr="00263809">
        <w:rPr>
          <w:rFonts w:ascii="Times New Roman" w:hAnsi="Times New Roman" w:cs="Times New Roman"/>
          <w:sz w:val="24"/>
          <w:szCs w:val="24"/>
        </w:rPr>
        <w:t xml:space="preserve"> em 2008</w:t>
      </w:r>
      <w:r>
        <w:rPr>
          <w:rFonts w:ascii="Times New Roman" w:hAnsi="Times New Roman" w:cs="Times New Roman"/>
          <w:sz w:val="24"/>
          <w:szCs w:val="24"/>
        </w:rPr>
        <w:t xml:space="preserve">, </w:t>
      </w:r>
      <w:r w:rsidRPr="00263809">
        <w:rPr>
          <w:rFonts w:ascii="Times New Roman" w:hAnsi="Times New Roman" w:cs="Times New Roman"/>
          <w:sz w:val="24"/>
          <w:szCs w:val="24"/>
        </w:rPr>
        <w:t xml:space="preserve">um ano </w:t>
      </w:r>
      <w:r>
        <w:rPr>
          <w:rFonts w:ascii="Times New Roman" w:hAnsi="Times New Roman" w:cs="Times New Roman"/>
          <w:sz w:val="24"/>
          <w:szCs w:val="24"/>
        </w:rPr>
        <w:t xml:space="preserve">depois da volta </w:t>
      </w:r>
      <w:r w:rsidRPr="00263809">
        <w:rPr>
          <w:rFonts w:ascii="Times New Roman" w:hAnsi="Times New Roman" w:cs="Times New Roman"/>
          <w:sz w:val="24"/>
          <w:szCs w:val="24"/>
        </w:rPr>
        <w:t xml:space="preserve">da </w:t>
      </w:r>
      <w:r>
        <w:rPr>
          <w:rFonts w:ascii="Times New Roman" w:hAnsi="Times New Roman" w:cs="Times New Roman"/>
          <w:sz w:val="24"/>
          <w:szCs w:val="24"/>
        </w:rPr>
        <w:t>autarquia</w:t>
      </w:r>
      <w:r w:rsidRPr="00263809">
        <w:rPr>
          <w:rFonts w:ascii="Times New Roman" w:hAnsi="Times New Roman" w:cs="Times New Roman"/>
          <w:sz w:val="24"/>
          <w:szCs w:val="24"/>
        </w:rPr>
        <w:t>, o que aponta para uma parca significância resolutiva do Conselho Deliberativo.</w:t>
      </w:r>
    </w:p>
    <w:p w:rsidR="006F0285" w:rsidRPr="00263809" w:rsidRDefault="006F0285" w:rsidP="006F028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Além das reuniões menos freqüentes, o CONDEL sofre também com o </w:t>
      </w:r>
      <w:r w:rsidRPr="00263809">
        <w:rPr>
          <w:rFonts w:ascii="Times New Roman" w:hAnsi="Times New Roman" w:cs="Times New Roman"/>
          <w:sz w:val="24"/>
          <w:szCs w:val="24"/>
        </w:rPr>
        <w:t>baixo quórum de governadores, ministros, ou outros atores políticos de maior peso institucional.</w:t>
      </w:r>
      <w:r>
        <w:rPr>
          <w:rFonts w:ascii="Times New Roman" w:hAnsi="Times New Roman" w:cs="Times New Roman"/>
          <w:sz w:val="24"/>
          <w:szCs w:val="24"/>
        </w:rPr>
        <w:t xml:space="preserve">A freqüência média </w:t>
      </w:r>
      <w:r w:rsidRPr="00263809">
        <w:rPr>
          <w:rFonts w:ascii="Times New Roman" w:hAnsi="Times New Roman" w:cs="Times New Roman"/>
          <w:sz w:val="24"/>
          <w:szCs w:val="24"/>
        </w:rPr>
        <w:t xml:space="preserve">de participação dos governadores </w:t>
      </w:r>
      <w:r>
        <w:rPr>
          <w:rFonts w:ascii="Times New Roman" w:hAnsi="Times New Roman" w:cs="Times New Roman"/>
          <w:sz w:val="24"/>
          <w:szCs w:val="24"/>
        </w:rPr>
        <w:t xml:space="preserve">nordestinos </w:t>
      </w:r>
      <w:r w:rsidRPr="00263809">
        <w:rPr>
          <w:rFonts w:ascii="Times New Roman" w:hAnsi="Times New Roman" w:cs="Times New Roman"/>
          <w:sz w:val="24"/>
          <w:szCs w:val="24"/>
        </w:rPr>
        <w:t>nos encontros do Conselho</w:t>
      </w:r>
      <w:r>
        <w:rPr>
          <w:rFonts w:ascii="Times New Roman" w:hAnsi="Times New Roman" w:cs="Times New Roman"/>
          <w:sz w:val="24"/>
          <w:szCs w:val="24"/>
        </w:rPr>
        <w:t xml:space="preserve"> foi </w:t>
      </w:r>
      <w:r w:rsidRPr="00263809">
        <w:rPr>
          <w:rFonts w:ascii="Times New Roman" w:hAnsi="Times New Roman" w:cs="Times New Roman"/>
          <w:sz w:val="24"/>
          <w:szCs w:val="24"/>
        </w:rPr>
        <w:t>de 35% entre 2008 e 2021.</w:t>
      </w:r>
      <w:r w:rsidRPr="00307602">
        <w:rPr>
          <w:rFonts w:ascii="Times New Roman" w:hAnsi="Times New Roman" w:cs="Times New Roman"/>
          <w:sz w:val="24"/>
          <w:szCs w:val="24"/>
        </w:rPr>
        <w:t>A pouca relevância do CONDEL na agenda política das lideranças estaduais se expressa de maneira mais fidedigna em 2016, quando mesmo após dois anos paralisada a 19ª</w:t>
      </w:r>
      <w:r>
        <w:rPr>
          <w:rFonts w:ascii="Times New Roman" w:hAnsi="Times New Roman" w:cs="Times New Roman"/>
          <w:sz w:val="24"/>
          <w:szCs w:val="24"/>
        </w:rPr>
        <w:t xml:space="preserve"> </w:t>
      </w:r>
      <w:r w:rsidRPr="00307602">
        <w:rPr>
          <w:rFonts w:ascii="Times New Roman" w:hAnsi="Times New Roman" w:cs="Times New Roman"/>
          <w:sz w:val="24"/>
          <w:szCs w:val="24"/>
        </w:rPr>
        <w:t>reunião, que marcou a volta do Conselho, não contou com a presença de nenhum governador. Ressaltamos que entre 2014 e 2015 não houve encontros, sem justificativa aparente para ess</w:t>
      </w:r>
      <w:r>
        <w:rPr>
          <w:rFonts w:ascii="Times New Roman" w:hAnsi="Times New Roman" w:cs="Times New Roman"/>
          <w:sz w:val="24"/>
          <w:szCs w:val="24"/>
        </w:rPr>
        <w:t>a interrupção</w:t>
      </w:r>
      <w:r w:rsidRPr="00307602">
        <w:rPr>
          <w:rFonts w:ascii="Times New Roman" w:hAnsi="Times New Roman" w:cs="Times New Roman"/>
          <w:sz w:val="24"/>
          <w:szCs w:val="24"/>
        </w:rPr>
        <w:t xml:space="preserve"> que não o próprio papel secundário da temática</w:t>
      </w:r>
      <w:r w:rsidRPr="00263809">
        <w:rPr>
          <w:rFonts w:ascii="Times New Roman" w:hAnsi="Times New Roman" w:cs="Times New Roman"/>
          <w:sz w:val="24"/>
          <w:szCs w:val="24"/>
        </w:rPr>
        <w:t xml:space="preserve"> regional na agenda política e a crescente função periférica dos órgãos regionais</w:t>
      </w:r>
      <w:r>
        <w:rPr>
          <w:rFonts w:ascii="Times New Roman" w:hAnsi="Times New Roman" w:cs="Times New Roman"/>
          <w:sz w:val="24"/>
          <w:szCs w:val="24"/>
        </w:rPr>
        <w:t>.</w:t>
      </w:r>
    </w:p>
    <w:p w:rsidR="00F72780" w:rsidRDefault="006F0285" w:rsidP="006F0285">
      <w:pPr>
        <w:spacing w:after="0" w:line="360" w:lineRule="auto"/>
        <w:jc w:val="both"/>
        <w:rPr>
          <w:rFonts w:ascii="Times New Roman" w:hAnsi="Times New Roman" w:cs="Times New Roman"/>
          <w:b/>
          <w:bCs/>
          <w:sz w:val="24"/>
          <w:szCs w:val="24"/>
        </w:rPr>
      </w:pPr>
      <w:r w:rsidRPr="00263809">
        <w:rPr>
          <w:rFonts w:ascii="Times New Roman" w:hAnsi="Times New Roman" w:cs="Times New Roman"/>
          <w:sz w:val="24"/>
          <w:szCs w:val="24"/>
        </w:rPr>
        <w:tab/>
      </w:r>
      <w:r>
        <w:rPr>
          <w:rFonts w:ascii="Times New Roman" w:hAnsi="Times New Roman" w:cs="Times New Roman"/>
          <w:sz w:val="24"/>
          <w:szCs w:val="24"/>
        </w:rPr>
        <w:t>D</w:t>
      </w:r>
      <w:r w:rsidRPr="00263809">
        <w:rPr>
          <w:rFonts w:ascii="Times New Roman" w:hAnsi="Times New Roman" w:cs="Times New Roman"/>
          <w:sz w:val="24"/>
          <w:szCs w:val="24"/>
        </w:rPr>
        <w:t xml:space="preserve">e 2008 a 2021, entre os estados com maior freqüência nas reuniões se destacam a Paraíba (41%), Ceará (48%) e Pernambuco (56%). Ainda assim, apenas esse último participou de mais da metade dos encontros. </w:t>
      </w:r>
      <w:r>
        <w:rPr>
          <w:rFonts w:ascii="Times New Roman" w:hAnsi="Times New Roman" w:cs="Times New Roman"/>
          <w:sz w:val="24"/>
          <w:szCs w:val="24"/>
        </w:rPr>
        <w:t xml:space="preserve">Essa periodicidade tem uma clivagem temporal bem delimitada, antes e depois da paralisação por dois anos do CONDEL. Vejamos, </w:t>
      </w:r>
      <w:r w:rsidRPr="00263809">
        <w:rPr>
          <w:rFonts w:ascii="Times New Roman" w:hAnsi="Times New Roman" w:cs="Times New Roman"/>
          <w:sz w:val="24"/>
          <w:szCs w:val="24"/>
        </w:rPr>
        <w:t xml:space="preserve">pré-2013 os três estados </w:t>
      </w:r>
      <w:r>
        <w:rPr>
          <w:rFonts w:ascii="Times New Roman" w:hAnsi="Times New Roman" w:cs="Times New Roman"/>
          <w:sz w:val="24"/>
          <w:szCs w:val="24"/>
        </w:rPr>
        <w:t xml:space="preserve">tiveram regularidade acima de </w:t>
      </w:r>
      <w:r w:rsidRPr="00263809">
        <w:rPr>
          <w:rFonts w:ascii="Times New Roman" w:hAnsi="Times New Roman" w:cs="Times New Roman"/>
          <w:sz w:val="24"/>
          <w:szCs w:val="24"/>
        </w:rPr>
        <w:t xml:space="preserve">50%. A Paraíba com 59%, o Ceará com 65% e Pernambuco com 71%. Porém, o quadro se inverte no momento seguinte (2016-2021), Pernambuco declina sua regularidade para 44% e a Paraíba e o Ceará frequentaram somente 22% dos encontros. O </w:t>
      </w:r>
      <w:r w:rsidRPr="001652DE">
        <w:rPr>
          <w:rFonts w:ascii="Times New Roman" w:hAnsi="Times New Roman" w:cs="Times New Roman"/>
          <w:b/>
          <w:bCs/>
          <w:sz w:val="24"/>
          <w:szCs w:val="24"/>
        </w:rPr>
        <w:t>gráfico 1</w:t>
      </w:r>
      <w:r w:rsidRPr="00263809">
        <w:rPr>
          <w:rFonts w:ascii="Times New Roman" w:hAnsi="Times New Roman" w:cs="Times New Roman"/>
          <w:sz w:val="24"/>
          <w:szCs w:val="24"/>
        </w:rPr>
        <w:t xml:space="preserve"> deixa de modo mais elucidativo a frequência dos governadores nas reuniões do CONDEL.</w:t>
      </w:r>
    </w:p>
    <w:p w:rsidR="006F0285" w:rsidRDefault="006F0285">
      <w:pPr>
        <w:spacing w:after="0" w:line="240" w:lineRule="auto"/>
        <w:jc w:val="both"/>
        <w:rPr>
          <w:rFonts w:ascii="Times New Roman" w:hAnsi="Times New Roman" w:cs="Times New Roman"/>
          <w:b/>
          <w:bCs/>
          <w:sz w:val="24"/>
          <w:szCs w:val="24"/>
        </w:rPr>
      </w:pPr>
    </w:p>
    <w:p w:rsidR="006F0285" w:rsidRDefault="006F0285">
      <w:pPr>
        <w:spacing w:after="0" w:line="240" w:lineRule="auto"/>
        <w:jc w:val="both"/>
        <w:rPr>
          <w:rFonts w:ascii="Times New Roman" w:hAnsi="Times New Roman" w:cs="Times New Roman"/>
          <w:b/>
          <w:bCs/>
          <w:sz w:val="24"/>
          <w:szCs w:val="24"/>
        </w:rPr>
      </w:pPr>
    </w:p>
    <w:p w:rsidR="00F72780" w:rsidRDefault="00F72780" w:rsidP="006F0285">
      <w:pPr>
        <w:spacing w:after="0" w:line="240" w:lineRule="auto"/>
        <w:jc w:val="both"/>
        <w:rPr>
          <w:rFonts w:ascii="Times New Roman" w:hAnsi="Times New Roman" w:cs="Times New Roman"/>
          <w:sz w:val="24"/>
          <w:szCs w:val="24"/>
        </w:rPr>
      </w:pPr>
    </w:p>
    <w:p w:rsidR="006F0285" w:rsidRPr="00365285" w:rsidRDefault="006F0285" w:rsidP="006F0285">
      <w:pPr>
        <w:rPr>
          <w:rFonts w:ascii="Times New Roman" w:hAnsi="Times New Roman" w:cs="Times New Roman"/>
          <w:sz w:val="24"/>
          <w:szCs w:val="24"/>
        </w:rPr>
      </w:pPr>
      <w:r w:rsidRPr="00BC7DE0">
        <w:rPr>
          <w:rFonts w:ascii="Times New Roman" w:hAnsi="Times New Roman" w:cs="Times New Roman"/>
          <w:b/>
          <w:bCs/>
          <w:noProof/>
          <w:sz w:val="24"/>
          <w:szCs w:val="24"/>
          <w:lang w:eastAsia="pt-BR"/>
        </w:rPr>
        <w:lastRenderedPageBreak/>
        <w:drawing>
          <wp:anchor distT="0" distB="0" distL="114300" distR="114300" simplePos="0" relativeHeight="251661312" behindDoc="1" locked="0" layoutInCell="1" allowOverlap="1">
            <wp:simplePos x="0" y="0"/>
            <wp:positionH relativeFrom="column">
              <wp:posOffset>-937260</wp:posOffset>
            </wp:positionH>
            <wp:positionV relativeFrom="paragraph">
              <wp:posOffset>220345</wp:posOffset>
            </wp:positionV>
            <wp:extent cx="7172325" cy="3524250"/>
            <wp:effectExtent l="0" t="0" r="9525" b="0"/>
            <wp:wrapTight wrapText="bothSides">
              <wp:wrapPolygon edited="0">
                <wp:start x="0" y="0"/>
                <wp:lineTo x="0" y="21483"/>
                <wp:lineTo x="21571" y="21483"/>
                <wp:lineTo x="21571" y="0"/>
                <wp:lineTo x="0" y="0"/>
              </wp:wrapPolygon>
            </wp:wrapTight>
            <wp:docPr id="1" name="Gráfico 5">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98C4E432-04C0-3E3F-C85B-1B78B589C34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sidRPr="00BC7DE0">
        <w:rPr>
          <w:rFonts w:ascii="Times New Roman" w:hAnsi="Times New Roman" w:cs="Times New Roman"/>
          <w:b/>
          <w:bCs/>
          <w:sz w:val="24"/>
          <w:szCs w:val="24"/>
        </w:rPr>
        <w:t>Gráfico1- CONDEL: Participação (%) dos governadores nas reuniões (2008-2021).</w:t>
      </w:r>
    </w:p>
    <w:p w:rsidR="006F0285" w:rsidRDefault="006F0285" w:rsidP="006F0285">
      <w:pPr>
        <w:rPr>
          <w:rFonts w:ascii="Times New Roman" w:hAnsi="Times New Roman" w:cs="Times New Roman"/>
        </w:rPr>
      </w:pPr>
      <w:r w:rsidRPr="00BC7DE0">
        <w:rPr>
          <w:rFonts w:ascii="Times New Roman" w:hAnsi="Times New Roman" w:cs="Times New Roman"/>
          <w:sz w:val="20"/>
          <w:szCs w:val="20"/>
        </w:rPr>
        <w:t>Fonte: CONDEL/SUDENE. Elaboração própria.</w:t>
      </w:r>
    </w:p>
    <w:p w:rsidR="00F72780" w:rsidRDefault="00F72780">
      <w:pPr>
        <w:spacing w:after="0" w:line="360" w:lineRule="auto"/>
        <w:jc w:val="both"/>
        <w:rPr>
          <w:rFonts w:ascii="Times New Roman" w:hAnsi="Times New Roman" w:cs="Times New Roman"/>
          <w:sz w:val="24"/>
          <w:szCs w:val="24"/>
        </w:rPr>
      </w:pPr>
    </w:p>
    <w:p w:rsidR="006F0285" w:rsidRPr="00B66CA2" w:rsidRDefault="006F0285" w:rsidP="006F028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B66CA2">
        <w:rPr>
          <w:rFonts w:ascii="Times New Roman" w:hAnsi="Times New Roman" w:cs="Times New Roman"/>
          <w:sz w:val="24"/>
          <w:szCs w:val="24"/>
        </w:rPr>
        <w:t xml:space="preserve">O que se depreende dos dados coletados acima são a sinalização da postura de certo descaso dos governadores da região para com as reuniões do CONDEL. A constante abstenção dos mandatários estaduais fragiliza o peso institucional do Conselho Deliberativo, importante espaço de discussões e tomada de decisões ao desenvolvimento do NE.  </w:t>
      </w:r>
      <w:r>
        <w:rPr>
          <w:rFonts w:ascii="Times New Roman" w:hAnsi="Times New Roman" w:cs="Times New Roman"/>
          <w:sz w:val="24"/>
          <w:szCs w:val="24"/>
        </w:rPr>
        <w:t xml:space="preserve">Essa </w:t>
      </w:r>
      <w:r w:rsidRPr="00B66CA2">
        <w:rPr>
          <w:rFonts w:ascii="Times New Roman" w:hAnsi="Times New Roman" w:cs="Times New Roman"/>
          <w:sz w:val="24"/>
          <w:szCs w:val="24"/>
        </w:rPr>
        <w:t>baixa participação dos governadores, segundo relata Henrique Tinoco</w:t>
      </w:r>
      <w:r>
        <w:rPr>
          <w:rFonts w:ascii="Times New Roman" w:hAnsi="Times New Roman" w:cs="Times New Roman"/>
          <w:sz w:val="24"/>
          <w:szCs w:val="24"/>
        </w:rPr>
        <w:t>,</w:t>
      </w:r>
      <w:r w:rsidRPr="00B66CA2">
        <w:rPr>
          <w:rFonts w:ascii="Times New Roman" w:hAnsi="Times New Roman" w:cs="Times New Roman"/>
          <w:sz w:val="24"/>
          <w:szCs w:val="24"/>
        </w:rPr>
        <w:t xml:space="preserve"> parte da percepção por parte dos governadores que eles não se sentiam participes do processo de construção da programação do FNE</w:t>
      </w:r>
      <w:r>
        <w:rPr>
          <w:rFonts w:ascii="Times New Roman" w:hAnsi="Times New Roman" w:cs="Times New Roman"/>
          <w:sz w:val="24"/>
          <w:szCs w:val="24"/>
        </w:rPr>
        <w:t xml:space="preserve"> e da SUDENE</w:t>
      </w:r>
      <w:r w:rsidRPr="00B66CA2">
        <w:rPr>
          <w:rFonts w:ascii="Times New Roman" w:hAnsi="Times New Roman" w:cs="Times New Roman"/>
          <w:sz w:val="24"/>
          <w:szCs w:val="24"/>
        </w:rPr>
        <w:t xml:space="preserve">. Assim, </w:t>
      </w:r>
      <w:r>
        <w:rPr>
          <w:rFonts w:ascii="Times New Roman" w:hAnsi="Times New Roman" w:cs="Times New Roman"/>
          <w:sz w:val="24"/>
          <w:szCs w:val="24"/>
        </w:rPr>
        <w:t>ele</w:t>
      </w:r>
      <w:r w:rsidRPr="00B66CA2">
        <w:rPr>
          <w:rFonts w:ascii="Times New Roman" w:hAnsi="Times New Roman" w:cs="Times New Roman"/>
          <w:sz w:val="24"/>
          <w:szCs w:val="24"/>
        </w:rPr>
        <w:t xml:space="preserve"> afirma: "acabamos ficando e</w:t>
      </w:r>
      <w:r>
        <w:rPr>
          <w:rFonts w:ascii="Times New Roman" w:hAnsi="Times New Roman" w:cs="Times New Roman"/>
          <w:sz w:val="24"/>
          <w:szCs w:val="24"/>
        </w:rPr>
        <w:t>m</w:t>
      </w:r>
      <w:r w:rsidRPr="00B66CA2">
        <w:rPr>
          <w:rFonts w:ascii="Times New Roman" w:hAnsi="Times New Roman" w:cs="Times New Roman"/>
          <w:sz w:val="24"/>
          <w:szCs w:val="24"/>
        </w:rPr>
        <w:t xml:space="preserve"> loop, onde os governadores disseram que não iam para o C</w:t>
      </w:r>
      <w:r>
        <w:rPr>
          <w:rFonts w:ascii="Times New Roman" w:hAnsi="Times New Roman" w:cs="Times New Roman"/>
          <w:sz w:val="24"/>
          <w:szCs w:val="24"/>
        </w:rPr>
        <w:t>ONDEL</w:t>
      </w:r>
      <w:r w:rsidRPr="00B66CA2">
        <w:rPr>
          <w:rFonts w:ascii="Times New Roman" w:hAnsi="Times New Roman" w:cs="Times New Roman"/>
          <w:sz w:val="24"/>
          <w:szCs w:val="24"/>
        </w:rPr>
        <w:t xml:space="preserve"> porque já estava tudo definido e por sua vez as coisas acabam não sendo definidas porque os Governadores não vão ao C</w:t>
      </w:r>
      <w:r>
        <w:rPr>
          <w:rFonts w:ascii="Times New Roman" w:hAnsi="Times New Roman" w:cs="Times New Roman"/>
          <w:sz w:val="24"/>
          <w:szCs w:val="24"/>
        </w:rPr>
        <w:t>ONDEL</w:t>
      </w:r>
      <w:r w:rsidRPr="00B66CA2">
        <w:rPr>
          <w:rFonts w:ascii="Times New Roman" w:hAnsi="Times New Roman" w:cs="Times New Roman"/>
          <w:sz w:val="24"/>
          <w:szCs w:val="24"/>
        </w:rPr>
        <w:t>” (</w:t>
      </w:r>
      <w:r>
        <w:rPr>
          <w:rFonts w:ascii="Times New Roman" w:hAnsi="Times New Roman" w:cs="Times New Roman"/>
          <w:sz w:val="24"/>
          <w:szCs w:val="24"/>
        </w:rPr>
        <w:t>SUDENE, 2019, p. 9)</w:t>
      </w:r>
      <w:r>
        <w:rPr>
          <w:rStyle w:val="Refdenotaderodap"/>
          <w:rFonts w:ascii="Times New Roman" w:hAnsi="Times New Roman" w:cs="Times New Roman"/>
          <w:sz w:val="24"/>
          <w:szCs w:val="24"/>
        </w:rPr>
        <w:footnoteReference w:id="5"/>
      </w:r>
      <w:r w:rsidRPr="00B66CA2">
        <w:rPr>
          <w:rFonts w:ascii="Times New Roman" w:hAnsi="Times New Roman" w:cs="Times New Roman"/>
          <w:sz w:val="24"/>
          <w:szCs w:val="24"/>
        </w:rPr>
        <w:t>.</w:t>
      </w:r>
    </w:p>
    <w:p w:rsidR="006F0285" w:rsidRPr="00B66CA2" w:rsidRDefault="006F0285" w:rsidP="006F0285">
      <w:pPr>
        <w:spacing w:after="0" w:line="360" w:lineRule="auto"/>
        <w:jc w:val="both"/>
        <w:rPr>
          <w:rFonts w:ascii="Times New Roman" w:hAnsi="Times New Roman" w:cs="Times New Roman"/>
          <w:sz w:val="24"/>
          <w:szCs w:val="24"/>
        </w:rPr>
      </w:pPr>
      <w:r w:rsidRPr="00B66CA2">
        <w:rPr>
          <w:rFonts w:ascii="Times New Roman" w:hAnsi="Times New Roman" w:cs="Times New Roman"/>
          <w:sz w:val="24"/>
          <w:szCs w:val="24"/>
        </w:rPr>
        <w:lastRenderedPageBreak/>
        <w:tab/>
        <w:t xml:space="preserve">A leitura do então Superintende de Políticas de Desenvolvimento do BNB enfatiza certo conflito na estrutura de governança do CONDEL, o que se adiciona e se complementa ao desarranjo político e institucional </w:t>
      </w:r>
      <w:r>
        <w:rPr>
          <w:rFonts w:ascii="Times New Roman" w:hAnsi="Times New Roman" w:cs="Times New Roman"/>
          <w:sz w:val="24"/>
          <w:szCs w:val="24"/>
        </w:rPr>
        <w:t>fruto da</w:t>
      </w:r>
      <w:r w:rsidRPr="00B66CA2">
        <w:rPr>
          <w:rFonts w:ascii="Times New Roman" w:hAnsi="Times New Roman" w:cs="Times New Roman"/>
          <w:sz w:val="24"/>
          <w:szCs w:val="24"/>
        </w:rPr>
        <w:t xml:space="preserve"> crise estrutural das políticas, instrumentos e instituições de fomento ao desenvolvimento regional diante do cenário de intensificação da guerra fiscal e acirramento do latente processo de fragmentação econômica regional. Carvalho (2006, p.69) </w:t>
      </w:r>
      <w:r>
        <w:rPr>
          <w:rFonts w:ascii="Times New Roman" w:hAnsi="Times New Roman" w:cs="Times New Roman"/>
          <w:sz w:val="24"/>
          <w:szCs w:val="24"/>
        </w:rPr>
        <w:t>já identificava</w:t>
      </w:r>
      <w:r w:rsidRPr="00B66CA2">
        <w:rPr>
          <w:rFonts w:ascii="Times New Roman" w:hAnsi="Times New Roman" w:cs="Times New Roman"/>
          <w:sz w:val="24"/>
          <w:szCs w:val="24"/>
        </w:rPr>
        <w:t xml:space="preserve"> esse movimento em sua tese, ao afirmar de que: </w:t>
      </w:r>
    </w:p>
    <w:p w:rsidR="006F0285" w:rsidRDefault="006F0285" w:rsidP="006F0285">
      <w:pPr>
        <w:spacing w:after="0" w:line="240" w:lineRule="auto"/>
        <w:ind w:left="2268"/>
        <w:jc w:val="both"/>
        <w:rPr>
          <w:rFonts w:ascii="Times New Roman" w:hAnsi="Times New Roman" w:cs="Times New Roman"/>
          <w:sz w:val="20"/>
          <w:szCs w:val="20"/>
        </w:rPr>
      </w:pPr>
      <w:r w:rsidRPr="00365285">
        <w:rPr>
          <w:rFonts w:ascii="Times New Roman" w:hAnsi="Times New Roman" w:cs="Times New Roman"/>
          <w:sz w:val="20"/>
          <w:szCs w:val="20"/>
        </w:rPr>
        <w:t>“(...) os governadores da região “abandonaram” a idéia de se pensar o Nordeste em seu conjunto, e entraram na fase do “cada um por si” e do “salve-se quem puder. Essa mudança de postura, por sua vez, fez com que grande parte dos governadores, deixassem, paulatinamente, de comparecer às reuniões do Conselho Deliberativo.</w:t>
      </w:r>
    </w:p>
    <w:p w:rsidR="006F0285" w:rsidRDefault="006F0285" w:rsidP="006F0285">
      <w:pPr>
        <w:spacing w:after="0" w:line="360" w:lineRule="auto"/>
        <w:jc w:val="both"/>
        <w:rPr>
          <w:rFonts w:ascii="Times New Roman" w:hAnsi="Times New Roman" w:cs="Times New Roman"/>
          <w:sz w:val="24"/>
          <w:szCs w:val="24"/>
        </w:rPr>
      </w:pPr>
    </w:p>
    <w:p w:rsidR="006F0285" w:rsidRDefault="006F0285" w:rsidP="006F028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Em outro plano, o </w:t>
      </w:r>
      <w:r w:rsidRPr="00CD60E3">
        <w:rPr>
          <w:rFonts w:ascii="Times New Roman" w:hAnsi="Times New Roman" w:cs="Times New Roman"/>
          <w:b/>
          <w:bCs/>
          <w:sz w:val="24"/>
          <w:szCs w:val="24"/>
        </w:rPr>
        <w:t>gráfico 2</w:t>
      </w:r>
      <w:r w:rsidRPr="00CD60E3">
        <w:rPr>
          <w:rFonts w:ascii="Times New Roman" w:hAnsi="Times New Roman" w:cs="Times New Roman"/>
          <w:sz w:val="24"/>
          <w:szCs w:val="24"/>
        </w:rPr>
        <w:t xml:space="preserve"> apresenta as cidade se locais das últimas 27 reuniões do CONDEL em que as atas foram publicadas. </w:t>
      </w:r>
      <w:r>
        <w:rPr>
          <w:rFonts w:ascii="Times New Roman" w:hAnsi="Times New Roman" w:cs="Times New Roman"/>
          <w:sz w:val="24"/>
          <w:szCs w:val="24"/>
        </w:rPr>
        <w:t xml:space="preserve">Aqui enfatizamos que mais um aspecto de desestruturação da SUDENE corresponde a degradação de sua infraestrutura física. </w:t>
      </w:r>
    </w:p>
    <w:p w:rsidR="006F0285" w:rsidRDefault="006F0285" w:rsidP="006F028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No período após sua volta, Recife foi a cidade que </w:t>
      </w:r>
      <w:r w:rsidRPr="00B66CA2">
        <w:rPr>
          <w:rFonts w:ascii="Times New Roman" w:hAnsi="Times New Roman" w:cs="Times New Roman"/>
          <w:sz w:val="24"/>
          <w:szCs w:val="24"/>
        </w:rPr>
        <w:t>recebeu o maior número de encontros</w:t>
      </w:r>
      <w:r>
        <w:rPr>
          <w:rFonts w:ascii="Times New Roman" w:hAnsi="Times New Roman" w:cs="Times New Roman"/>
          <w:sz w:val="24"/>
          <w:szCs w:val="24"/>
        </w:rPr>
        <w:t xml:space="preserve"> do CONDEL</w:t>
      </w:r>
      <w:r w:rsidRPr="00B66CA2">
        <w:rPr>
          <w:rFonts w:ascii="Times New Roman" w:hAnsi="Times New Roman" w:cs="Times New Roman"/>
          <w:sz w:val="24"/>
          <w:szCs w:val="24"/>
        </w:rPr>
        <w:t>, sediando 11 reuniões ao todo.</w:t>
      </w:r>
      <w:r>
        <w:rPr>
          <w:rFonts w:ascii="Times New Roman" w:hAnsi="Times New Roman" w:cs="Times New Roman"/>
          <w:sz w:val="24"/>
          <w:szCs w:val="24"/>
        </w:rPr>
        <w:t xml:space="preserve"> A capital pernambucana foi seguida de </w:t>
      </w:r>
      <w:r w:rsidRPr="00B66CA2">
        <w:rPr>
          <w:rFonts w:ascii="Times New Roman" w:hAnsi="Times New Roman" w:cs="Times New Roman"/>
          <w:sz w:val="24"/>
          <w:szCs w:val="24"/>
        </w:rPr>
        <w:t>Fortaleza com 14,8</w:t>
      </w:r>
      <w:r>
        <w:rPr>
          <w:rFonts w:ascii="Times New Roman" w:hAnsi="Times New Roman" w:cs="Times New Roman"/>
          <w:sz w:val="24"/>
          <w:szCs w:val="24"/>
        </w:rPr>
        <w:t>%, n</w:t>
      </w:r>
      <w:r w:rsidRPr="00B66CA2">
        <w:rPr>
          <w:rFonts w:ascii="Times New Roman" w:hAnsi="Times New Roman" w:cs="Times New Roman"/>
          <w:sz w:val="24"/>
          <w:szCs w:val="24"/>
        </w:rPr>
        <w:t>ão por acaso as duas cidades são as sedes dos principais instrumentos administrativos</w:t>
      </w:r>
      <w:r>
        <w:rPr>
          <w:rFonts w:ascii="Times New Roman" w:hAnsi="Times New Roman" w:cs="Times New Roman"/>
          <w:sz w:val="24"/>
          <w:szCs w:val="24"/>
        </w:rPr>
        <w:t xml:space="preserve">, financeiros e institucionais da política regional, </w:t>
      </w:r>
      <w:r w:rsidRPr="00B66CA2">
        <w:rPr>
          <w:rFonts w:ascii="Times New Roman" w:hAnsi="Times New Roman" w:cs="Times New Roman"/>
          <w:sz w:val="24"/>
          <w:szCs w:val="24"/>
        </w:rPr>
        <w:t xml:space="preserve">a SUDENE em Recife e o Banco do Nordeste em Fortaleza. Chama atenção </w:t>
      </w:r>
      <w:r>
        <w:rPr>
          <w:rFonts w:ascii="Times New Roman" w:hAnsi="Times New Roman" w:cs="Times New Roman"/>
          <w:sz w:val="24"/>
          <w:szCs w:val="24"/>
        </w:rPr>
        <w:t xml:space="preserve">também que </w:t>
      </w:r>
      <w:r w:rsidRPr="00B66CA2">
        <w:rPr>
          <w:rFonts w:ascii="Times New Roman" w:hAnsi="Times New Roman" w:cs="Times New Roman"/>
          <w:sz w:val="24"/>
          <w:szCs w:val="24"/>
        </w:rPr>
        <w:t>Brasília (DF)</w:t>
      </w:r>
      <w:r>
        <w:rPr>
          <w:rFonts w:ascii="Times New Roman" w:hAnsi="Times New Roman" w:cs="Times New Roman"/>
          <w:sz w:val="24"/>
          <w:szCs w:val="24"/>
        </w:rPr>
        <w:t xml:space="preserve"> foi a terceira principal cidade a sediar os encontros</w:t>
      </w:r>
      <w:r w:rsidRPr="00B66CA2">
        <w:rPr>
          <w:rFonts w:ascii="Times New Roman" w:hAnsi="Times New Roman" w:cs="Times New Roman"/>
          <w:sz w:val="24"/>
          <w:szCs w:val="24"/>
        </w:rPr>
        <w:t>. As reuniões em Brasília aconteceram somente após 2016, período coincidente com a maior abstenção por parte dos governadores estaduais ao CONDEL, momento em que o poder federal procurou ocupar o vácuo político deixado pelos entes estaduais, pautando as ações e interferindo com maior grau de influência as tomadas de decisões estratégicas das instituições de caráter regional.</w:t>
      </w:r>
    </w:p>
    <w:p w:rsidR="006F0285" w:rsidRDefault="006F0285" w:rsidP="006F0285">
      <w:pPr>
        <w:spacing w:after="0" w:line="360" w:lineRule="auto"/>
        <w:jc w:val="both"/>
        <w:rPr>
          <w:rFonts w:ascii="Times New Roman" w:hAnsi="Times New Roman" w:cs="Times New Roman"/>
          <w:sz w:val="24"/>
          <w:szCs w:val="24"/>
        </w:rPr>
      </w:pPr>
    </w:p>
    <w:p w:rsidR="006F0285" w:rsidRDefault="006F0285" w:rsidP="006F0285">
      <w:pPr>
        <w:spacing w:after="0" w:line="360" w:lineRule="auto"/>
        <w:jc w:val="both"/>
        <w:rPr>
          <w:rFonts w:ascii="Times New Roman" w:hAnsi="Times New Roman" w:cs="Times New Roman"/>
          <w:sz w:val="24"/>
          <w:szCs w:val="24"/>
        </w:rPr>
      </w:pPr>
    </w:p>
    <w:p w:rsidR="006F0285" w:rsidRDefault="006F0285" w:rsidP="006F0285">
      <w:pPr>
        <w:spacing w:after="0" w:line="360" w:lineRule="auto"/>
        <w:jc w:val="both"/>
        <w:rPr>
          <w:rFonts w:ascii="Times New Roman" w:hAnsi="Times New Roman" w:cs="Times New Roman"/>
          <w:sz w:val="24"/>
          <w:szCs w:val="24"/>
        </w:rPr>
      </w:pPr>
    </w:p>
    <w:p w:rsidR="006F0285" w:rsidRDefault="006F0285" w:rsidP="006F0285">
      <w:pPr>
        <w:spacing w:after="0" w:line="360" w:lineRule="auto"/>
        <w:jc w:val="both"/>
        <w:rPr>
          <w:rFonts w:ascii="Times New Roman" w:hAnsi="Times New Roman" w:cs="Times New Roman"/>
          <w:sz w:val="24"/>
          <w:szCs w:val="24"/>
        </w:rPr>
      </w:pPr>
    </w:p>
    <w:p w:rsidR="006F0285" w:rsidRDefault="006F0285" w:rsidP="006F0285">
      <w:pPr>
        <w:spacing w:after="0" w:line="360" w:lineRule="auto"/>
        <w:jc w:val="both"/>
        <w:rPr>
          <w:rFonts w:ascii="Times New Roman" w:hAnsi="Times New Roman" w:cs="Times New Roman"/>
          <w:sz w:val="24"/>
          <w:szCs w:val="24"/>
        </w:rPr>
      </w:pPr>
    </w:p>
    <w:p w:rsidR="006F0285" w:rsidRDefault="006F0285" w:rsidP="006F0285">
      <w:pPr>
        <w:spacing w:after="0" w:line="360" w:lineRule="auto"/>
        <w:jc w:val="both"/>
        <w:rPr>
          <w:rFonts w:ascii="Times New Roman" w:hAnsi="Times New Roman" w:cs="Times New Roman"/>
          <w:sz w:val="24"/>
          <w:szCs w:val="24"/>
        </w:rPr>
      </w:pPr>
    </w:p>
    <w:p w:rsidR="006F0285" w:rsidRDefault="006F0285" w:rsidP="006F0285">
      <w:pPr>
        <w:spacing w:after="0" w:line="360" w:lineRule="auto"/>
        <w:jc w:val="both"/>
        <w:rPr>
          <w:rFonts w:ascii="Times New Roman" w:hAnsi="Times New Roman" w:cs="Times New Roman"/>
          <w:sz w:val="24"/>
          <w:szCs w:val="24"/>
        </w:rPr>
      </w:pPr>
    </w:p>
    <w:p w:rsidR="006F0285" w:rsidRDefault="006F0285" w:rsidP="006F0285">
      <w:pPr>
        <w:tabs>
          <w:tab w:val="left" w:pos="2280"/>
        </w:tabs>
        <w:spacing w:after="0" w:line="240" w:lineRule="auto"/>
        <w:jc w:val="both"/>
      </w:pPr>
      <w:r w:rsidRPr="00267F05">
        <w:rPr>
          <w:rFonts w:ascii="Times New Roman" w:hAnsi="Times New Roman" w:cs="Times New Roman"/>
          <w:b/>
          <w:bCs/>
          <w:sz w:val="24"/>
          <w:szCs w:val="24"/>
        </w:rPr>
        <w:lastRenderedPageBreak/>
        <w:t>Gráfico 2- Local e número das reuniões do CONDEL (2018-2021)</w:t>
      </w:r>
      <w:r w:rsidRPr="00B66CA2">
        <w:rPr>
          <w:rFonts w:ascii="Times New Roman" w:hAnsi="Times New Roman" w:cs="Times New Roman"/>
          <w:sz w:val="20"/>
          <w:szCs w:val="20"/>
        </w:rPr>
        <w:t>.</w:t>
      </w:r>
      <w:r>
        <w:rPr>
          <w:noProof/>
          <w:lang w:eastAsia="pt-BR"/>
        </w:rPr>
        <w:drawing>
          <wp:anchor distT="0" distB="0" distL="114300" distR="114300" simplePos="0" relativeHeight="251665408" behindDoc="0" locked="0" layoutInCell="1" allowOverlap="1">
            <wp:simplePos x="0" y="0"/>
            <wp:positionH relativeFrom="page">
              <wp:posOffset>19050</wp:posOffset>
            </wp:positionH>
            <wp:positionV relativeFrom="paragraph">
              <wp:posOffset>339090</wp:posOffset>
            </wp:positionV>
            <wp:extent cx="7467600" cy="4067175"/>
            <wp:effectExtent l="19050" t="0" r="19050" b="0"/>
            <wp:wrapSquare wrapText="bothSides"/>
            <wp:docPr id="3" name="Gráfico 6">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6721A883-E87B-920D-718C-EC77D0CC87C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rsidR="006F0285" w:rsidRDefault="006F0285" w:rsidP="006F0285">
      <w:pPr>
        <w:spacing w:after="0" w:line="240" w:lineRule="auto"/>
        <w:jc w:val="both"/>
        <w:rPr>
          <w:rFonts w:ascii="Times New Roman" w:hAnsi="Times New Roman" w:cs="Times New Roman"/>
          <w:sz w:val="20"/>
          <w:szCs w:val="20"/>
        </w:rPr>
      </w:pPr>
    </w:p>
    <w:p w:rsidR="006F0285" w:rsidRPr="00B66CA2" w:rsidRDefault="006F0285" w:rsidP="006F0285">
      <w:pPr>
        <w:spacing w:after="0" w:line="240" w:lineRule="auto"/>
        <w:jc w:val="both"/>
        <w:rPr>
          <w:rFonts w:ascii="Times New Roman" w:hAnsi="Times New Roman" w:cs="Times New Roman"/>
          <w:sz w:val="20"/>
          <w:szCs w:val="20"/>
        </w:rPr>
      </w:pPr>
      <w:r w:rsidRPr="00B66CA2">
        <w:rPr>
          <w:rFonts w:ascii="Times New Roman" w:hAnsi="Times New Roman" w:cs="Times New Roman"/>
          <w:sz w:val="20"/>
          <w:szCs w:val="20"/>
        </w:rPr>
        <w:t>Fonte: CONDEL/SUDENE. Elaboração própria</w:t>
      </w:r>
    </w:p>
    <w:p w:rsidR="006F0285" w:rsidRDefault="006F0285" w:rsidP="006F0285">
      <w:pPr>
        <w:jc w:val="both"/>
        <w:rPr>
          <w:rFonts w:ascii="Times New Roman" w:hAnsi="Times New Roman" w:cs="Times New Roman"/>
          <w:sz w:val="20"/>
          <w:szCs w:val="20"/>
        </w:rPr>
      </w:pPr>
      <w:r w:rsidRPr="00B66CA2">
        <w:rPr>
          <w:rFonts w:ascii="Times New Roman" w:hAnsi="Times New Roman" w:cs="Times New Roman"/>
          <w:sz w:val="20"/>
          <w:szCs w:val="20"/>
        </w:rPr>
        <w:t>Nota*: Foi publicado que a 28ª reunião foi realizada em Recife(PE), porém não foi disponibilizado o local do evento</w:t>
      </w:r>
      <w:r>
        <w:rPr>
          <w:rFonts w:ascii="Times New Roman" w:hAnsi="Times New Roman" w:cs="Times New Roman"/>
          <w:sz w:val="20"/>
          <w:szCs w:val="20"/>
        </w:rPr>
        <w:t>.</w:t>
      </w:r>
    </w:p>
    <w:p w:rsidR="006F0285" w:rsidRDefault="006F0285" w:rsidP="006F028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B66CA2">
        <w:rPr>
          <w:rFonts w:ascii="Times New Roman" w:hAnsi="Times New Roman" w:cs="Times New Roman"/>
          <w:sz w:val="24"/>
          <w:szCs w:val="24"/>
        </w:rPr>
        <w:t>Em relação ao</w:t>
      </w:r>
      <w:r>
        <w:rPr>
          <w:rFonts w:ascii="Times New Roman" w:hAnsi="Times New Roman" w:cs="Times New Roman"/>
          <w:sz w:val="24"/>
          <w:szCs w:val="24"/>
        </w:rPr>
        <w:t>s</w:t>
      </w:r>
      <w:r w:rsidRPr="00B66CA2">
        <w:rPr>
          <w:rFonts w:ascii="Times New Roman" w:hAnsi="Times New Roman" w:cs="Times New Roman"/>
          <w:sz w:val="24"/>
          <w:szCs w:val="24"/>
        </w:rPr>
        <w:t xml:space="preserve"> loca</w:t>
      </w:r>
      <w:r>
        <w:rPr>
          <w:rFonts w:ascii="Times New Roman" w:hAnsi="Times New Roman" w:cs="Times New Roman"/>
          <w:sz w:val="24"/>
          <w:szCs w:val="24"/>
        </w:rPr>
        <w:t>is</w:t>
      </w:r>
      <w:r w:rsidRPr="00B66CA2">
        <w:rPr>
          <w:rFonts w:ascii="Times New Roman" w:hAnsi="Times New Roman" w:cs="Times New Roman"/>
          <w:sz w:val="24"/>
          <w:szCs w:val="24"/>
        </w:rPr>
        <w:t xml:space="preserve"> d</w:t>
      </w:r>
      <w:r>
        <w:rPr>
          <w:rFonts w:ascii="Times New Roman" w:hAnsi="Times New Roman" w:cs="Times New Roman"/>
          <w:sz w:val="24"/>
          <w:szCs w:val="24"/>
        </w:rPr>
        <w:t>e</w:t>
      </w:r>
      <w:r w:rsidRPr="00B66CA2">
        <w:rPr>
          <w:rFonts w:ascii="Times New Roman" w:hAnsi="Times New Roman" w:cs="Times New Roman"/>
          <w:sz w:val="24"/>
          <w:szCs w:val="24"/>
        </w:rPr>
        <w:t xml:space="preserve"> realização das reuniões, são destaques a própria sede física da SUDENE e o instituto Ricardo Brennand como principais espaços de recepções ao</w:t>
      </w:r>
      <w:r>
        <w:rPr>
          <w:rFonts w:ascii="Times New Roman" w:hAnsi="Times New Roman" w:cs="Times New Roman"/>
          <w:sz w:val="24"/>
          <w:szCs w:val="24"/>
        </w:rPr>
        <w:t>s</w:t>
      </w:r>
      <w:r w:rsidRPr="00B66CA2">
        <w:rPr>
          <w:rFonts w:ascii="Times New Roman" w:hAnsi="Times New Roman" w:cs="Times New Roman"/>
          <w:sz w:val="24"/>
          <w:szCs w:val="24"/>
        </w:rPr>
        <w:t xml:space="preserve"> encontro</w:t>
      </w:r>
      <w:r>
        <w:rPr>
          <w:rFonts w:ascii="Times New Roman" w:hAnsi="Times New Roman" w:cs="Times New Roman"/>
          <w:sz w:val="24"/>
          <w:szCs w:val="24"/>
        </w:rPr>
        <w:t>s</w:t>
      </w:r>
      <w:r w:rsidRPr="00B66CA2">
        <w:rPr>
          <w:rFonts w:ascii="Times New Roman" w:hAnsi="Times New Roman" w:cs="Times New Roman"/>
          <w:sz w:val="24"/>
          <w:szCs w:val="24"/>
        </w:rPr>
        <w:t xml:space="preserve">. Tradicionalmente o CONDEL </w:t>
      </w:r>
      <w:r>
        <w:rPr>
          <w:rFonts w:ascii="Times New Roman" w:hAnsi="Times New Roman" w:cs="Times New Roman"/>
          <w:sz w:val="24"/>
          <w:szCs w:val="24"/>
        </w:rPr>
        <w:t xml:space="preserve">se reunia </w:t>
      </w:r>
      <w:r w:rsidRPr="00B66CA2">
        <w:rPr>
          <w:rFonts w:ascii="Times New Roman" w:hAnsi="Times New Roman" w:cs="Times New Roman"/>
          <w:sz w:val="24"/>
          <w:szCs w:val="24"/>
        </w:rPr>
        <w:t xml:space="preserve">no prédio da </w:t>
      </w:r>
      <w:r>
        <w:rPr>
          <w:rFonts w:ascii="Times New Roman" w:hAnsi="Times New Roman" w:cs="Times New Roman"/>
          <w:sz w:val="24"/>
          <w:szCs w:val="24"/>
        </w:rPr>
        <w:t>SUDENE</w:t>
      </w:r>
      <w:r w:rsidRPr="00B66CA2">
        <w:rPr>
          <w:rFonts w:ascii="Times New Roman" w:hAnsi="Times New Roman" w:cs="Times New Roman"/>
          <w:sz w:val="24"/>
          <w:szCs w:val="24"/>
        </w:rPr>
        <w:t>, inaugurado em 1974 com 13 andares e quatro blocos anexos que inclu</w:t>
      </w:r>
      <w:r>
        <w:rPr>
          <w:rFonts w:ascii="Times New Roman" w:hAnsi="Times New Roman" w:cs="Times New Roman"/>
          <w:sz w:val="24"/>
          <w:szCs w:val="24"/>
        </w:rPr>
        <w:t>ía</w:t>
      </w:r>
      <w:r w:rsidRPr="00B66CA2">
        <w:rPr>
          <w:rFonts w:ascii="Times New Roman" w:hAnsi="Times New Roman" w:cs="Times New Roman"/>
          <w:sz w:val="24"/>
          <w:szCs w:val="24"/>
        </w:rPr>
        <w:t xml:space="preserve">m biblioteca, restaurante, conselho deliberativo e serviço médico. Porém, desde 2011 não são mais realizados quaisquer eventos, encontros ou reuniões no local. Conforme relatado pela </w:t>
      </w:r>
      <w:bookmarkStart w:id="3" w:name="_Hlk107644561"/>
      <w:r w:rsidRPr="00B66CA2">
        <w:rPr>
          <w:rFonts w:ascii="Times New Roman" w:hAnsi="Times New Roman" w:cs="Times New Roman"/>
          <w:sz w:val="24"/>
          <w:szCs w:val="24"/>
        </w:rPr>
        <w:t xml:space="preserve">assessoria de comunicação da Universidade Federal de Pernambuco </w:t>
      </w:r>
      <w:bookmarkEnd w:id="3"/>
      <w:r w:rsidRPr="00B66CA2">
        <w:rPr>
          <w:rFonts w:ascii="Times New Roman" w:hAnsi="Times New Roman" w:cs="Times New Roman"/>
          <w:sz w:val="24"/>
          <w:szCs w:val="24"/>
        </w:rPr>
        <w:t>(Ascom/UFPE)</w:t>
      </w:r>
      <w:r>
        <w:rPr>
          <w:rStyle w:val="Refdenotaderodap"/>
          <w:rFonts w:ascii="Times New Roman" w:hAnsi="Times New Roman" w:cs="Times New Roman"/>
          <w:sz w:val="24"/>
          <w:szCs w:val="24"/>
        </w:rPr>
        <w:footnoteReference w:id="6"/>
      </w:r>
      <w:r w:rsidRPr="00B66CA2">
        <w:rPr>
          <w:rFonts w:ascii="Times New Roman" w:hAnsi="Times New Roman" w:cs="Times New Roman"/>
          <w:sz w:val="24"/>
          <w:szCs w:val="24"/>
        </w:rPr>
        <w:t xml:space="preserve">, o prédio está praticamente desocupado </w:t>
      </w:r>
      <w:r>
        <w:rPr>
          <w:rFonts w:ascii="Times New Roman" w:hAnsi="Times New Roman" w:cs="Times New Roman"/>
          <w:sz w:val="24"/>
          <w:szCs w:val="24"/>
        </w:rPr>
        <w:t>diante</w:t>
      </w:r>
      <w:r w:rsidRPr="00B66CA2">
        <w:rPr>
          <w:rFonts w:ascii="Times New Roman" w:hAnsi="Times New Roman" w:cs="Times New Roman"/>
          <w:sz w:val="24"/>
          <w:szCs w:val="24"/>
        </w:rPr>
        <w:t xml:space="preserve"> da degradação do mobiliário e o abandono estrutural. </w:t>
      </w:r>
    </w:p>
    <w:p w:rsidR="006F0285" w:rsidRDefault="006F0285" w:rsidP="006F0285">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Pr="00B66CA2">
        <w:rPr>
          <w:rFonts w:ascii="Times New Roman" w:hAnsi="Times New Roman" w:cs="Times New Roman"/>
          <w:sz w:val="24"/>
          <w:szCs w:val="24"/>
        </w:rPr>
        <w:t xml:space="preserve">Ainda segundo a Ascom/UFPE, em 2017 a universidade </w:t>
      </w:r>
      <w:r>
        <w:rPr>
          <w:rFonts w:ascii="Times New Roman" w:hAnsi="Times New Roman" w:cs="Times New Roman"/>
          <w:sz w:val="24"/>
          <w:szCs w:val="24"/>
        </w:rPr>
        <w:t xml:space="preserve">demonstrou </w:t>
      </w:r>
      <w:r w:rsidRPr="00B66CA2">
        <w:rPr>
          <w:rFonts w:ascii="Times New Roman" w:hAnsi="Times New Roman" w:cs="Times New Roman"/>
          <w:sz w:val="24"/>
          <w:szCs w:val="24"/>
        </w:rPr>
        <w:t>interesse no imóvel</w:t>
      </w:r>
      <w:r>
        <w:rPr>
          <w:rFonts w:ascii="Times New Roman" w:hAnsi="Times New Roman" w:cs="Times New Roman"/>
          <w:sz w:val="24"/>
          <w:szCs w:val="24"/>
        </w:rPr>
        <w:t xml:space="preserve"> ao pleitear um </w:t>
      </w:r>
      <w:r w:rsidRPr="00B66CA2">
        <w:rPr>
          <w:rFonts w:ascii="Times New Roman" w:hAnsi="Times New Roman" w:cs="Times New Roman"/>
          <w:sz w:val="24"/>
          <w:szCs w:val="24"/>
        </w:rPr>
        <w:t xml:space="preserve">acordo firmado em 1967 </w:t>
      </w:r>
      <w:r>
        <w:rPr>
          <w:rFonts w:ascii="Times New Roman" w:hAnsi="Times New Roman" w:cs="Times New Roman"/>
          <w:sz w:val="24"/>
          <w:szCs w:val="24"/>
        </w:rPr>
        <w:t xml:space="preserve">que </w:t>
      </w:r>
      <w:r w:rsidRPr="00B66CA2">
        <w:rPr>
          <w:rFonts w:ascii="Times New Roman" w:hAnsi="Times New Roman" w:cs="Times New Roman"/>
          <w:sz w:val="24"/>
          <w:szCs w:val="24"/>
        </w:rPr>
        <w:t>determinava a reversão do terreno</w:t>
      </w:r>
      <w:r>
        <w:rPr>
          <w:rFonts w:ascii="Times New Roman" w:hAnsi="Times New Roman" w:cs="Times New Roman"/>
          <w:sz w:val="24"/>
          <w:szCs w:val="24"/>
        </w:rPr>
        <w:t xml:space="preserve"> da SUDENE</w:t>
      </w:r>
      <w:r w:rsidRPr="00B66CA2">
        <w:rPr>
          <w:rFonts w:ascii="Times New Roman" w:hAnsi="Times New Roman" w:cs="Times New Roman"/>
          <w:sz w:val="24"/>
          <w:szCs w:val="24"/>
        </w:rPr>
        <w:t xml:space="preserve"> em caso de destinação para finalidade diversa daquela prevista </w:t>
      </w:r>
      <w:r>
        <w:rPr>
          <w:rFonts w:ascii="Times New Roman" w:hAnsi="Times New Roman" w:cs="Times New Roman"/>
          <w:sz w:val="24"/>
          <w:szCs w:val="24"/>
        </w:rPr>
        <w:t>em</w:t>
      </w:r>
      <w:r w:rsidRPr="00B66CA2">
        <w:rPr>
          <w:rFonts w:ascii="Times New Roman" w:hAnsi="Times New Roman" w:cs="Times New Roman"/>
          <w:sz w:val="24"/>
          <w:szCs w:val="24"/>
        </w:rPr>
        <w:t xml:space="preserve"> escritura, que seria o funcionamento </w:t>
      </w:r>
      <w:r>
        <w:rPr>
          <w:rFonts w:ascii="Times New Roman" w:hAnsi="Times New Roman" w:cs="Times New Roman"/>
          <w:sz w:val="24"/>
          <w:szCs w:val="24"/>
        </w:rPr>
        <w:t>como</w:t>
      </w:r>
      <w:r w:rsidRPr="00B66CA2">
        <w:rPr>
          <w:rFonts w:ascii="Times New Roman" w:hAnsi="Times New Roman" w:cs="Times New Roman"/>
          <w:sz w:val="24"/>
          <w:szCs w:val="24"/>
        </w:rPr>
        <w:t xml:space="preserve"> sede da S</w:t>
      </w:r>
      <w:r>
        <w:rPr>
          <w:rFonts w:ascii="Times New Roman" w:hAnsi="Times New Roman" w:cs="Times New Roman"/>
          <w:sz w:val="24"/>
          <w:szCs w:val="24"/>
        </w:rPr>
        <w:t>UDENE</w:t>
      </w:r>
      <w:r w:rsidRPr="00B66CA2">
        <w:rPr>
          <w:rFonts w:ascii="Times New Roman" w:hAnsi="Times New Roman" w:cs="Times New Roman"/>
          <w:sz w:val="24"/>
          <w:szCs w:val="24"/>
        </w:rPr>
        <w:t>. Assim, no mesmo ano foi assinado um documento que promove</w:t>
      </w:r>
      <w:r>
        <w:rPr>
          <w:rFonts w:ascii="Times New Roman" w:hAnsi="Times New Roman" w:cs="Times New Roman"/>
          <w:sz w:val="24"/>
          <w:szCs w:val="24"/>
        </w:rPr>
        <w:t>u</w:t>
      </w:r>
      <w:r w:rsidRPr="00B66CA2">
        <w:rPr>
          <w:rFonts w:ascii="Times New Roman" w:hAnsi="Times New Roman" w:cs="Times New Roman"/>
          <w:sz w:val="24"/>
          <w:szCs w:val="24"/>
        </w:rPr>
        <w:t xml:space="preserve"> a cessão provisória do prédio da S</w:t>
      </w:r>
      <w:r>
        <w:rPr>
          <w:rFonts w:ascii="Times New Roman" w:hAnsi="Times New Roman" w:cs="Times New Roman"/>
          <w:sz w:val="24"/>
          <w:szCs w:val="24"/>
        </w:rPr>
        <w:t>UDENE</w:t>
      </w:r>
      <w:r w:rsidRPr="00B66CA2">
        <w:rPr>
          <w:rFonts w:ascii="Times New Roman" w:hAnsi="Times New Roman" w:cs="Times New Roman"/>
          <w:sz w:val="24"/>
          <w:szCs w:val="24"/>
        </w:rPr>
        <w:t xml:space="preserve"> para a UFPE, passando o prédio a fazer parte do patrimônio </w:t>
      </w:r>
      <w:r>
        <w:rPr>
          <w:rFonts w:ascii="Times New Roman" w:hAnsi="Times New Roman" w:cs="Times New Roman"/>
          <w:sz w:val="24"/>
          <w:szCs w:val="24"/>
        </w:rPr>
        <w:t>da universidade pública federal</w:t>
      </w:r>
      <w:r w:rsidRPr="00B66CA2">
        <w:rPr>
          <w:rFonts w:ascii="Times New Roman" w:hAnsi="Times New Roman" w:cs="Times New Roman"/>
          <w:sz w:val="24"/>
          <w:szCs w:val="24"/>
        </w:rPr>
        <w:t xml:space="preserve">. </w:t>
      </w:r>
      <w:r>
        <w:rPr>
          <w:rFonts w:ascii="Times New Roman" w:hAnsi="Times New Roman" w:cs="Times New Roman"/>
          <w:sz w:val="24"/>
          <w:szCs w:val="24"/>
        </w:rPr>
        <w:t>Ainda assim,</w:t>
      </w:r>
      <w:r w:rsidRPr="00B66CA2">
        <w:rPr>
          <w:rFonts w:ascii="Times New Roman" w:hAnsi="Times New Roman" w:cs="Times New Roman"/>
          <w:sz w:val="24"/>
          <w:szCs w:val="24"/>
        </w:rPr>
        <w:t xml:space="preserve"> o prédio permanece fechado</w:t>
      </w:r>
      <w:r>
        <w:rPr>
          <w:rFonts w:ascii="Times New Roman" w:hAnsi="Times New Roman" w:cs="Times New Roman"/>
          <w:sz w:val="24"/>
          <w:szCs w:val="24"/>
        </w:rPr>
        <w:t xml:space="preserve"> desde então,</w:t>
      </w:r>
      <w:r w:rsidRPr="00B66CA2">
        <w:rPr>
          <w:rFonts w:ascii="Times New Roman" w:hAnsi="Times New Roman" w:cs="Times New Roman"/>
          <w:sz w:val="24"/>
          <w:szCs w:val="24"/>
        </w:rPr>
        <w:t xml:space="preserve"> necessitando de reparos</w:t>
      </w:r>
      <w:r>
        <w:rPr>
          <w:rFonts w:ascii="Times New Roman" w:hAnsi="Times New Roman" w:cs="Times New Roman"/>
          <w:sz w:val="24"/>
          <w:szCs w:val="24"/>
        </w:rPr>
        <w:t>, reformas</w:t>
      </w:r>
      <w:r w:rsidRPr="00B66CA2">
        <w:rPr>
          <w:rFonts w:ascii="Times New Roman" w:hAnsi="Times New Roman" w:cs="Times New Roman"/>
          <w:sz w:val="24"/>
          <w:szCs w:val="24"/>
        </w:rPr>
        <w:t xml:space="preserve"> e manutenção em sua estrutura.</w:t>
      </w:r>
    </w:p>
    <w:p w:rsidR="006F0285" w:rsidRPr="00EE069F" w:rsidRDefault="006F0285" w:rsidP="006F028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As </w:t>
      </w:r>
      <w:r w:rsidRPr="00B66CA2">
        <w:rPr>
          <w:rFonts w:ascii="Times New Roman" w:hAnsi="Times New Roman" w:cs="Times New Roman"/>
          <w:sz w:val="24"/>
          <w:szCs w:val="24"/>
        </w:rPr>
        <w:t xml:space="preserve">degradadas condições do prédio da SUDENE </w:t>
      </w:r>
      <w:r>
        <w:rPr>
          <w:rFonts w:ascii="Times New Roman" w:hAnsi="Times New Roman" w:cs="Times New Roman"/>
          <w:sz w:val="24"/>
          <w:szCs w:val="24"/>
        </w:rPr>
        <w:t>são</w:t>
      </w:r>
      <w:r w:rsidRPr="00B66CA2">
        <w:rPr>
          <w:rFonts w:ascii="Times New Roman" w:hAnsi="Times New Roman" w:cs="Times New Roman"/>
          <w:sz w:val="24"/>
          <w:szCs w:val="24"/>
        </w:rPr>
        <w:t xml:space="preserve"> uma dimensão material sobre o atual descaso para com o CONDEL e a própria Superintendência de Desenvolvimento. Na falta de uma adequada </w:t>
      </w:r>
      <w:r>
        <w:rPr>
          <w:rFonts w:ascii="Times New Roman" w:hAnsi="Times New Roman" w:cs="Times New Roman"/>
          <w:sz w:val="24"/>
          <w:szCs w:val="24"/>
        </w:rPr>
        <w:t>infra</w:t>
      </w:r>
      <w:r w:rsidRPr="00B66CA2">
        <w:rPr>
          <w:rFonts w:ascii="Times New Roman" w:hAnsi="Times New Roman" w:cs="Times New Roman"/>
          <w:sz w:val="24"/>
          <w:szCs w:val="24"/>
        </w:rPr>
        <w:t xml:space="preserve">estrutura para comportar as reuniões, os encontros </w:t>
      </w:r>
      <w:r>
        <w:rPr>
          <w:rFonts w:ascii="Times New Roman" w:hAnsi="Times New Roman" w:cs="Times New Roman"/>
          <w:sz w:val="24"/>
          <w:szCs w:val="24"/>
        </w:rPr>
        <w:t>em</w:t>
      </w:r>
      <w:r w:rsidRPr="00B66CA2">
        <w:rPr>
          <w:rFonts w:ascii="Times New Roman" w:hAnsi="Times New Roman" w:cs="Times New Roman"/>
          <w:sz w:val="24"/>
          <w:szCs w:val="24"/>
        </w:rPr>
        <w:t xml:space="preserve"> Recife acontecem de maneira provisória no Instituto Ricardo Brennand. No mais, prevalecem hotéis e centros de eventos d</w:t>
      </w:r>
      <w:r>
        <w:rPr>
          <w:rFonts w:ascii="Times New Roman" w:hAnsi="Times New Roman" w:cs="Times New Roman"/>
          <w:sz w:val="24"/>
          <w:szCs w:val="24"/>
        </w:rPr>
        <w:t>e</w:t>
      </w:r>
      <w:r w:rsidRPr="00B66CA2">
        <w:rPr>
          <w:rFonts w:ascii="Times New Roman" w:hAnsi="Times New Roman" w:cs="Times New Roman"/>
          <w:sz w:val="24"/>
          <w:szCs w:val="24"/>
        </w:rPr>
        <w:t xml:space="preserve"> diferentes cidades como locais </w:t>
      </w:r>
      <w:r>
        <w:rPr>
          <w:rFonts w:ascii="Times New Roman" w:hAnsi="Times New Roman" w:cs="Times New Roman"/>
          <w:sz w:val="24"/>
          <w:szCs w:val="24"/>
        </w:rPr>
        <w:t>de</w:t>
      </w:r>
      <w:r w:rsidRPr="00B66CA2">
        <w:rPr>
          <w:rFonts w:ascii="Times New Roman" w:hAnsi="Times New Roman" w:cs="Times New Roman"/>
          <w:sz w:val="24"/>
          <w:szCs w:val="24"/>
        </w:rPr>
        <w:t xml:space="preserve"> realização do CONDEL. São pontos comerciais, sem nenhuma relevância histórica ou identidade com as políticas regionais de desenvolvimento</w:t>
      </w:r>
      <w:r>
        <w:rPr>
          <w:rFonts w:ascii="Times New Roman" w:hAnsi="Times New Roman" w:cs="Times New Roman"/>
          <w:sz w:val="24"/>
          <w:szCs w:val="24"/>
        </w:rPr>
        <w:t>. A</w:t>
      </w:r>
      <w:r w:rsidRPr="00B66CA2">
        <w:rPr>
          <w:rFonts w:ascii="Times New Roman" w:hAnsi="Times New Roman" w:cs="Times New Roman"/>
          <w:sz w:val="24"/>
          <w:szCs w:val="24"/>
        </w:rPr>
        <w:t xml:space="preserve"> realização nesses espaços </w:t>
      </w:r>
      <w:r>
        <w:rPr>
          <w:rFonts w:ascii="Times New Roman" w:hAnsi="Times New Roman" w:cs="Times New Roman"/>
          <w:sz w:val="24"/>
          <w:szCs w:val="24"/>
        </w:rPr>
        <w:t xml:space="preserve">até </w:t>
      </w:r>
      <w:r w:rsidRPr="00B66CA2">
        <w:rPr>
          <w:rFonts w:ascii="Times New Roman" w:hAnsi="Times New Roman" w:cs="Times New Roman"/>
          <w:sz w:val="24"/>
          <w:szCs w:val="24"/>
        </w:rPr>
        <w:t xml:space="preserve">cumpre a narrativa de maior diversidade territorial na operação do Conselho Deliberativo, mas não disfarça e clara evidencia de desmonte, também no plano das condições materiais, da Superintendência de Desenvolvimento e consigo o CONDEL. </w:t>
      </w:r>
    </w:p>
    <w:p w:rsidR="006F0285" w:rsidRPr="00B66CA2" w:rsidRDefault="006F0285" w:rsidP="006F028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Com base no  exercício similar de Lopes, Macedo e Monteiro Neto (2021), em que apresentam o processos de corrosão dos fundos constitucionais de financiamento pela abertura legal- através de PLs e PECs- de novos direcionamentos dos fundos apartados dos objetivos originais, a presente pesquisa, por fim, realizou um esforço de catalogar e categorizar todas as 151 resoluções aprovadas e</w:t>
      </w:r>
      <w:r w:rsidRPr="00B66CA2">
        <w:rPr>
          <w:rFonts w:ascii="Times New Roman" w:hAnsi="Times New Roman" w:cs="Times New Roman"/>
          <w:sz w:val="24"/>
          <w:szCs w:val="24"/>
        </w:rPr>
        <w:t xml:space="preserve"> publicadas em cada </w:t>
      </w:r>
      <w:r>
        <w:rPr>
          <w:rFonts w:ascii="Times New Roman" w:hAnsi="Times New Roman" w:cs="Times New Roman"/>
          <w:sz w:val="24"/>
          <w:szCs w:val="24"/>
        </w:rPr>
        <w:t xml:space="preserve">uma das 28 </w:t>
      </w:r>
      <w:r w:rsidRPr="00B66CA2">
        <w:rPr>
          <w:rFonts w:ascii="Times New Roman" w:hAnsi="Times New Roman" w:cs="Times New Roman"/>
          <w:sz w:val="24"/>
          <w:szCs w:val="24"/>
        </w:rPr>
        <w:t>ata</w:t>
      </w:r>
      <w:r>
        <w:rPr>
          <w:rFonts w:ascii="Times New Roman" w:hAnsi="Times New Roman" w:cs="Times New Roman"/>
          <w:sz w:val="24"/>
          <w:szCs w:val="24"/>
        </w:rPr>
        <w:t>s</w:t>
      </w:r>
      <w:r w:rsidRPr="00B66CA2">
        <w:rPr>
          <w:rFonts w:ascii="Times New Roman" w:hAnsi="Times New Roman" w:cs="Times New Roman"/>
          <w:sz w:val="24"/>
          <w:szCs w:val="24"/>
        </w:rPr>
        <w:t xml:space="preserve"> d</w:t>
      </w:r>
      <w:r>
        <w:rPr>
          <w:rFonts w:ascii="Times New Roman" w:hAnsi="Times New Roman" w:cs="Times New Roman"/>
          <w:sz w:val="24"/>
          <w:szCs w:val="24"/>
        </w:rPr>
        <w:t>e</w:t>
      </w:r>
      <w:r w:rsidRPr="00B66CA2">
        <w:rPr>
          <w:rFonts w:ascii="Times New Roman" w:hAnsi="Times New Roman" w:cs="Times New Roman"/>
          <w:sz w:val="24"/>
          <w:szCs w:val="24"/>
        </w:rPr>
        <w:t xml:space="preserve"> reunião do CONDEL de 2008 até 2021</w:t>
      </w:r>
      <w:r>
        <w:rPr>
          <w:rStyle w:val="Refdenotaderodap"/>
          <w:rFonts w:ascii="Times New Roman" w:hAnsi="Times New Roman" w:cs="Times New Roman"/>
          <w:sz w:val="24"/>
          <w:szCs w:val="24"/>
        </w:rPr>
        <w:footnoteReference w:id="7"/>
      </w:r>
      <w:r w:rsidRPr="00B66CA2">
        <w:rPr>
          <w:rFonts w:ascii="Times New Roman" w:hAnsi="Times New Roman" w:cs="Times New Roman"/>
          <w:sz w:val="24"/>
          <w:szCs w:val="24"/>
        </w:rPr>
        <w:t>.</w:t>
      </w:r>
    </w:p>
    <w:p w:rsidR="006F0285" w:rsidRDefault="006F0285" w:rsidP="006F0285">
      <w:pPr>
        <w:spacing w:after="0" w:line="360" w:lineRule="auto"/>
        <w:jc w:val="both"/>
        <w:rPr>
          <w:rFonts w:ascii="Times New Roman" w:hAnsi="Times New Roman" w:cs="Times New Roman"/>
          <w:sz w:val="24"/>
          <w:szCs w:val="24"/>
        </w:rPr>
      </w:pPr>
      <w:r w:rsidRPr="00B66CA2">
        <w:rPr>
          <w:rFonts w:ascii="Times New Roman" w:hAnsi="Times New Roman" w:cs="Times New Roman"/>
          <w:sz w:val="24"/>
          <w:szCs w:val="24"/>
        </w:rPr>
        <w:tab/>
        <w:t xml:space="preserve">A </w:t>
      </w:r>
      <w:r w:rsidRPr="00397D04">
        <w:rPr>
          <w:rFonts w:ascii="Times New Roman" w:hAnsi="Times New Roman" w:cs="Times New Roman"/>
          <w:b/>
          <w:bCs/>
          <w:sz w:val="24"/>
          <w:szCs w:val="24"/>
        </w:rPr>
        <w:t>figura 1</w:t>
      </w:r>
      <w:r w:rsidRPr="00B66CA2">
        <w:rPr>
          <w:rFonts w:ascii="Times New Roman" w:hAnsi="Times New Roman" w:cs="Times New Roman"/>
          <w:sz w:val="24"/>
          <w:szCs w:val="24"/>
        </w:rPr>
        <w:t xml:space="preserve"> apresenta o fluxograma por tema </w:t>
      </w:r>
      <w:r>
        <w:rPr>
          <w:rFonts w:ascii="Times New Roman" w:hAnsi="Times New Roman" w:cs="Times New Roman"/>
          <w:sz w:val="24"/>
          <w:szCs w:val="24"/>
        </w:rPr>
        <w:t xml:space="preserve">e quantidade </w:t>
      </w:r>
      <w:r w:rsidRPr="00B66CA2">
        <w:rPr>
          <w:rFonts w:ascii="Times New Roman" w:hAnsi="Times New Roman" w:cs="Times New Roman"/>
          <w:sz w:val="24"/>
          <w:szCs w:val="24"/>
        </w:rPr>
        <w:t>d</w:t>
      </w:r>
      <w:r>
        <w:rPr>
          <w:rFonts w:ascii="Times New Roman" w:hAnsi="Times New Roman" w:cs="Times New Roman"/>
          <w:sz w:val="24"/>
          <w:szCs w:val="24"/>
        </w:rPr>
        <w:t>e</w:t>
      </w:r>
      <w:r w:rsidRPr="00B66CA2">
        <w:rPr>
          <w:rFonts w:ascii="Times New Roman" w:hAnsi="Times New Roman" w:cs="Times New Roman"/>
          <w:sz w:val="24"/>
          <w:szCs w:val="24"/>
        </w:rPr>
        <w:t xml:space="preserve"> resoluções. </w:t>
      </w:r>
      <w:r>
        <w:rPr>
          <w:rFonts w:ascii="Times New Roman" w:hAnsi="Times New Roman" w:cs="Times New Roman"/>
          <w:sz w:val="24"/>
          <w:szCs w:val="24"/>
        </w:rPr>
        <w:t xml:space="preserve">A classificação das resoluções busca </w:t>
      </w:r>
      <w:r w:rsidRPr="00B66CA2">
        <w:rPr>
          <w:rFonts w:ascii="Times New Roman" w:hAnsi="Times New Roman" w:cs="Times New Roman"/>
          <w:sz w:val="24"/>
          <w:szCs w:val="24"/>
        </w:rPr>
        <w:t>identificar a lógica</w:t>
      </w:r>
      <w:r>
        <w:rPr>
          <w:rFonts w:ascii="Times New Roman" w:hAnsi="Times New Roman" w:cs="Times New Roman"/>
          <w:sz w:val="24"/>
          <w:szCs w:val="24"/>
        </w:rPr>
        <w:t xml:space="preserve"> estratégica do Conselho, </w:t>
      </w:r>
      <w:r w:rsidRPr="00B66CA2">
        <w:rPr>
          <w:rFonts w:ascii="Times New Roman" w:hAnsi="Times New Roman" w:cs="Times New Roman"/>
          <w:sz w:val="24"/>
          <w:szCs w:val="24"/>
        </w:rPr>
        <w:t>apontando para que temática ou área de atuação mais se direciona</w:t>
      </w:r>
      <w:r>
        <w:rPr>
          <w:rFonts w:ascii="Times New Roman" w:hAnsi="Times New Roman" w:cs="Times New Roman"/>
          <w:sz w:val="24"/>
          <w:szCs w:val="24"/>
        </w:rPr>
        <w:t xml:space="preserve"> suas ações, onde podemos captar </w:t>
      </w:r>
      <w:r w:rsidRPr="00B66CA2">
        <w:rPr>
          <w:rFonts w:ascii="Times New Roman" w:hAnsi="Times New Roman" w:cs="Times New Roman"/>
          <w:sz w:val="24"/>
          <w:szCs w:val="24"/>
        </w:rPr>
        <w:t xml:space="preserve">os </w:t>
      </w:r>
      <w:r w:rsidRPr="00B66CA2">
        <w:rPr>
          <w:rFonts w:ascii="Times New Roman" w:hAnsi="Times New Roman" w:cs="Times New Roman"/>
          <w:sz w:val="24"/>
          <w:szCs w:val="24"/>
        </w:rPr>
        <w:lastRenderedPageBreak/>
        <w:t>caminho</w:t>
      </w:r>
      <w:r>
        <w:rPr>
          <w:rFonts w:ascii="Times New Roman" w:hAnsi="Times New Roman" w:cs="Times New Roman"/>
          <w:sz w:val="24"/>
          <w:szCs w:val="24"/>
        </w:rPr>
        <w:t>s,</w:t>
      </w:r>
      <w:r w:rsidRPr="00B66CA2">
        <w:rPr>
          <w:rFonts w:ascii="Times New Roman" w:hAnsi="Times New Roman" w:cs="Times New Roman"/>
          <w:sz w:val="24"/>
          <w:szCs w:val="24"/>
        </w:rPr>
        <w:t xml:space="preserve"> rumos de atuação e prioridades no que se refere </w:t>
      </w:r>
      <w:r>
        <w:rPr>
          <w:rFonts w:ascii="Times New Roman" w:hAnsi="Times New Roman" w:cs="Times New Roman"/>
          <w:sz w:val="24"/>
          <w:szCs w:val="24"/>
        </w:rPr>
        <w:t xml:space="preserve">à agendado </w:t>
      </w:r>
      <w:r w:rsidRPr="00B66CA2">
        <w:rPr>
          <w:rFonts w:ascii="Times New Roman" w:hAnsi="Times New Roman" w:cs="Times New Roman"/>
          <w:sz w:val="24"/>
          <w:szCs w:val="24"/>
        </w:rPr>
        <w:t xml:space="preserve">desenvolvimento regional. Ademais, a construção das categorias auxilia na identificação de algumas lacunas sobre o CONDEL e </w:t>
      </w:r>
      <w:r>
        <w:rPr>
          <w:rFonts w:ascii="Times New Roman" w:hAnsi="Times New Roman" w:cs="Times New Roman"/>
          <w:sz w:val="24"/>
          <w:szCs w:val="24"/>
        </w:rPr>
        <w:t xml:space="preserve">também ajuda a melhorar </w:t>
      </w:r>
      <w:r w:rsidRPr="00B66CA2">
        <w:rPr>
          <w:rFonts w:ascii="Times New Roman" w:hAnsi="Times New Roman" w:cs="Times New Roman"/>
          <w:sz w:val="24"/>
          <w:szCs w:val="24"/>
        </w:rPr>
        <w:t xml:space="preserve">os instrumentos de governança institucionais para a SUDENE. </w:t>
      </w:r>
    </w:p>
    <w:p w:rsidR="006F0285" w:rsidRPr="00B66CA2" w:rsidRDefault="006F0285" w:rsidP="006F0285">
      <w:pPr>
        <w:spacing w:line="360" w:lineRule="auto"/>
        <w:jc w:val="both"/>
        <w:rPr>
          <w:rFonts w:ascii="Times New Roman" w:hAnsi="Times New Roman" w:cs="Times New Roman"/>
          <w:sz w:val="20"/>
          <w:szCs w:val="20"/>
        </w:rPr>
      </w:pPr>
      <w:r w:rsidRPr="00B66CA2">
        <w:rPr>
          <w:rFonts w:ascii="Times New Roman" w:hAnsi="Times New Roman" w:cs="Times New Roman"/>
          <w:sz w:val="24"/>
          <w:szCs w:val="24"/>
        </w:rPr>
        <w:tab/>
        <w:t>Entre</w:t>
      </w:r>
      <w:r>
        <w:rPr>
          <w:rFonts w:ascii="Times New Roman" w:hAnsi="Times New Roman" w:cs="Times New Roman"/>
          <w:sz w:val="24"/>
          <w:szCs w:val="24"/>
        </w:rPr>
        <w:t xml:space="preserve"> as r</w:t>
      </w:r>
      <w:r w:rsidRPr="00B66CA2">
        <w:rPr>
          <w:rFonts w:ascii="Times New Roman" w:hAnsi="Times New Roman" w:cs="Times New Roman"/>
          <w:sz w:val="24"/>
          <w:szCs w:val="24"/>
        </w:rPr>
        <w:t>esoluções analisadas, identificamos</w:t>
      </w:r>
      <w:r>
        <w:rPr>
          <w:rFonts w:ascii="Times New Roman" w:hAnsi="Times New Roman" w:cs="Times New Roman"/>
          <w:sz w:val="24"/>
          <w:szCs w:val="24"/>
        </w:rPr>
        <w:t xml:space="preserve"> cinco</w:t>
      </w:r>
      <w:r w:rsidRPr="00B66CA2">
        <w:rPr>
          <w:rFonts w:ascii="Times New Roman" w:hAnsi="Times New Roman" w:cs="Times New Roman"/>
          <w:sz w:val="24"/>
          <w:szCs w:val="24"/>
        </w:rPr>
        <w:t xml:space="preserve"> grandes eixos, classificados como:  ampliação das linhas de crédito, concessão de dívidas e novas funções (a); abrangência territorial(b); ação emergencial (c); comitês auxiliares, instrumentos de governança, leis e planos  paralelos  ao FNE (d); e estrutura normativa, financeira e administrativa (e). No fluxograma abaixo, cada uma dessas classificações é seguida por um numeral que corresponde com o número de resoluções </w:t>
      </w:r>
      <w:r>
        <w:rPr>
          <w:rFonts w:ascii="Times New Roman" w:hAnsi="Times New Roman" w:cs="Times New Roman"/>
          <w:sz w:val="24"/>
          <w:szCs w:val="24"/>
        </w:rPr>
        <w:t>de cada eixo</w:t>
      </w:r>
      <w:r w:rsidRPr="00B66CA2">
        <w:rPr>
          <w:rFonts w:ascii="Times New Roman" w:hAnsi="Times New Roman" w:cs="Times New Roman"/>
          <w:sz w:val="24"/>
          <w:szCs w:val="24"/>
        </w:rPr>
        <w:t xml:space="preserve">. Por exemplo, o eixo “c” da ação emergencial é seguido pelo número 11 (ver abaixo: c-11), o que </w:t>
      </w:r>
      <w:r>
        <w:rPr>
          <w:rFonts w:ascii="Times New Roman" w:hAnsi="Times New Roman" w:cs="Times New Roman"/>
          <w:sz w:val="24"/>
          <w:szCs w:val="24"/>
        </w:rPr>
        <w:t xml:space="preserve">significa </w:t>
      </w:r>
      <w:r w:rsidRPr="00B66CA2">
        <w:rPr>
          <w:rFonts w:ascii="Times New Roman" w:hAnsi="Times New Roman" w:cs="Times New Roman"/>
          <w:sz w:val="24"/>
          <w:szCs w:val="24"/>
        </w:rPr>
        <w:t xml:space="preserve">que 11 resoluções são inclusas </w:t>
      </w:r>
      <w:r>
        <w:rPr>
          <w:rFonts w:ascii="Times New Roman" w:hAnsi="Times New Roman" w:cs="Times New Roman"/>
          <w:sz w:val="24"/>
          <w:szCs w:val="24"/>
        </w:rPr>
        <w:t xml:space="preserve">nesse eixo da </w:t>
      </w:r>
      <w:r w:rsidRPr="00B66CA2">
        <w:rPr>
          <w:rFonts w:ascii="Times New Roman" w:hAnsi="Times New Roman" w:cs="Times New Roman"/>
          <w:sz w:val="24"/>
          <w:szCs w:val="24"/>
        </w:rPr>
        <w:t>ação emergencial.</w:t>
      </w:r>
    </w:p>
    <w:p w:rsidR="006F0285" w:rsidRPr="00E75AE6" w:rsidRDefault="006F0285" w:rsidP="006F0285">
      <w:pPr>
        <w:rPr>
          <w:rFonts w:ascii="Times New Roman" w:hAnsi="Times New Roman" w:cs="Times New Roman"/>
          <w:sz w:val="20"/>
          <w:szCs w:val="20"/>
        </w:rPr>
      </w:pPr>
      <w:r>
        <w:rPr>
          <w:rFonts w:ascii="Times New Roman" w:hAnsi="Times New Roman" w:cs="Times New Roman"/>
          <w:b/>
          <w:bCs/>
          <w:noProof/>
          <w:sz w:val="24"/>
          <w:szCs w:val="24"/>
          <w:lang w:eastAsia="pt-BR"/>
        </w:rPr>
        <w:lastRenderedPageBreak/>
        <w:drawing>
          <wp:anchor distT="0" distB="0" distL="114300" distR="114300" simplePos="0" relativeHeight="251667456" behindDoc="0" locked="0" layoutInCell="1" allowOverlap="1">
            <wp:simplePos x="0" y="0"/>
            <wp:positionH relativeFrom="margin">
              <wp:posOffset>-481965</wp:posOffset>
            </wp:positionH>
            <wp:positionV relativeFrom="paragraph">
              <wp:posOffset>328295</wp:posOffset>
            </wp:positionV>
            <wp:extent cx="6604000" cy="6186170"/>
            <wp:effectExtent l="0" t="0" r="0" b="0"/>
            <wp:wrapSquare wrapText="bothSides"/>
            <wp:docPr id="4" name="Diagrama 4">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E3ABE8CE-A5C7-02D8-67FE-B070013725FF}"/>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anchor>
        </w:drawing>
      </w:r>
      <w:r w:rsidRPr="000A78C8">
        <w:rPr>
          <w:rFonts w:ascii="Times New Roman" w:hAnsi="Times New Roman" w:cs="Times New Roman"/>
          <w:b/>
          <w:bCs/>
          <w:sz w:val="24"/>
          <w:szCs w:val="24"/>
        </w:rPr>
        <w:t xml:space="preserve">Figura </w:t>
      </w:r>
      <w:r>
        <w:rPr>
          <w:rFonts w:ascii="Times New Roman" w:hAnsi="Times New Roman" w:cs="Times New Roman"/>
          <w:b/>
          <w:bCs/>
          <w:sz w:val="24"/>
          <w:szCs w:val="24"/>
        </w:rPr>
        <w:t>1</w:t>
      </w:r>
      <w:r w:rsidRPr="000A78C8">
        <w:rPr>
          <w:rFonts w:ascii="Times New Roman" w:hAnsi="Times New Roman" w:cs="Times New Roman"/>
          <w:b/>
          <w:bCs/>
          <w:sz w:val="24"/>
          <w:szCs w:val="24"/>
        </w:rPr>
        <w:t>- Fluxograma das Categorias de Resoluções por Tema (2008-2021).</w:t>
      </w:r>
      <w:r w:rsidRPr="006F0285">
        <w:rPr>
          <w:rFonts w:ascii="Times New Roman" w:hAnsi="Times New Roman" w:cs="Times New Roman"/>
          <w:sz w:val="20"/>
          <w:szCs w:val="20"/>
        </w:rPr>
        <w:t xml:space="preserve"> </w:t>
      </w:r>
      <w:r>
        <w:rPr>
          <w:rFonts w:ascii="Times New Roman" w:hAnsi="Times New Roman" w:cs="Times New Roman"/>
          <w:sz w:val="20"/>
          <w:szCs w:val="20"/>
        </w:rPr>
        <w:t xml:space="preserve">                         </w:t>
      </w:r>
      <w:r w:rsidRPr="000A78C8">
        <w:rPr>
          <w:rFonts w:ascii="Times New Roman" w:hAnsi="Times New Roman" w:cs="Times New Roman"/>
          <w:sz w:val="20"/>
          <w:szCs w:val="20"/>
        </w:rPr>
        <w:t>Fonte: CONDEL/SUDENE. Elaboração própria.</w:t>
      </w:r>
    </w:p>
    <w:p w:rsidR="006F0285" w:rsidRDefault="006F0285" w:rsidP="006F0285">
      <w:pPr>
        <w:spacing w:after="0" w:line="360" w:lineRule="auto"/>
        <w:jc w:val="both"/>
        <w:rPr>
          <w:rFonts w:ascii="Times New Roman" w:hAnsi="Times New Roman" w:cs="Times New Roman"/>
          <w:sz w:val="24"/>
          <w:szCs w:val="24"/>
        </w:rPr>
      </w:pPr>
    </w:p>
    <w:p w:rsidR="006F0285" w:rsidRDefault="006F0285" w:rsidP="006F028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B66CA2">
        <w:rPr>
          <w:rFonts w:ascii="Times New Roman" w:hAnsi="Times New Roman" w:cs="Times New Roman"/>
          <w:sz w:val="24"/>
          <w:szCs w:val="24"/>
        </w:rPr>
        <w:t xml:space="preserve">O eixo “e”categorizado como da estrutura normativa, financeira e administrativa, recebe o maior número de resoluções, 96 ao total. Isso significa que </w:t>
      </w:r>
      <w:r>
        <w:rPr>
          <w:rFonts w:ascii="Times New Roman" w:hAnsi="Times New Roman" w:cs="Times New Roman"/>
          <w:sz w:val="24"/>
          <w:szCs w:val="24"/>
        </w:rPr>
        <w:t xml:space="preserve">64% das resoluções do </w:t>
      </w:r>
      <w:r>
        <w:rPr>
          <w:rFonts w:ascii="Times New Roman" w:hAnsi="Times New Roman" w:cs="Times New Roman"/>
          <w:sz w:val="24"/>
          <w:szCs w:val="24"/>
        </w:rPr>
        <w:lastRenderedPageBreak/>
        <w:t xml:space="preserve">CONDEL </w:t>
      </w:r>
      <w:r w:rsidRPr="00B66CA2">
        <w:rPr>
          <w:rFonts w:ascii="Times New Roman" w:hAnsi="Times New Roman" w:cs="Times New Roman"/>
          <w:sz w:val="24"/>
          <w:szCs w:val="24"/>
        </w:rPr>
        <w:t>corresponde</w:t>
      </w:r>
      <w:r>
        <w:rPr>
          <w:rFonts w:ascii="Times New Roman" w:hAnsi="Times New Roman" w:cs="Times New Roman"/>
          <w:sz w:val="24"/>
          <w:szCs w:val="24"/>
        </w:rPr>
        <w:t>ram</w:t>
      </w:r>
      <w:r w:rsidRPr="00B66CA2">
        <w:rPr>
          <w:rFonts w:ascii="Times New Roman" w:hAnsi="Times New Roman" w:cs="Times New Roman"/>
          <w:sz w:val="24"/>
          <w:szCs w:val="24"/>
        </w:rPr>
        <w:t xml:space="preserve"> a decisões sobre sua estrutura </w:t>
      </w:r>
      <w:r>
        <w:rPr>
          <w:rFonts w:ascii="Times New Roman" w:hAnsi="Times New Roman" w:cs="Times New Roman"/>
          <w:sz w:val="24"/>
          <w:szCs w:val="24"/>
        </w:rPr>
        <w:t xml:space="preserve">interna de funcionamento, associadas com medidas </w:t>
      </w:r>
      <w:r w:rsidRPr="00B66CA2">
        <w:rPr>
          <w:rFonts w:ascii="Times New Roman" w:hAnsi="Times New Roman" w:cs="Times New Roman"/>
          <w:sz w:val="24"/>
          <w:szCs w:val="24"/>
        </w:rPr>
        <w:t>burocráticas para melhor organização, memória institucional e efetividade</w:t>
      </w:r>
      <w:r>
        <w:rPr>
          <w:rFonts w:ascii="Times New Roman" w:hAnsi="Times New Roman" w:cs="Times New Roman"/>
          <w:sz w:val="24"/>
          <w:szCs w:val="24"/>
        </w:rPr>
        <w:t xml:space="preserve"> do CONDEL</w:t>
      </w:r>
      <w:r w:rsidRPr="00B66CA2">
        <w:rPr>
          <w:rFonts w:ascii="Times New Roman" w:hAnsi="Times New Roman" w:cs="Times New Roman"/>
          <w:sz w:val="24"/>
          <w:szCs w:val="24"/>
        </w:rPr>
        <w:t xml:space="preserve"> Se por um lado tais resoluções são </w:t>
      </w:r>
      <w:r>
        <w:rPr>
          <w:rFonts w:ascii="Times New Roman" w:hAnsi="Times New Roman" w:cs="Times New Roman"/>
          <w:sz w:val="24"/>
          <w:szCs w:val="24"/>
        </w:rPr>
        <w:t xml:space="preserve">aplicadas para melhorias dos instrumentos de governança da SUDENE, </w:t>
      </w:r>
      <w:r w:rsidRPr="00B66CA2">
        <w:rPr>
          <w:rFonts w:ascii="Times New Roman" w:hAnsi="Times New Roman" w:cs="Times New Roman"/>
          <w:sz w:val="24"/>
          <w:szCs w:val="24"/>
        </w:rPr>
        <w:t>importantes para colocar novamente o Conselho Deliberativo em ação,  por outro, o acúmulo de resoluções direcionadas para essa finalidade constatam a pouca abertura do CONDEL para assuntos externos, fora  do seu arcabouço normativ</w:t>
      </w:r>
      <w:r>
        <w:rPr>
          <w:rFonts w:ascii="Times New Roman" w:hAnsi="Times New Roman" w:cs="Times New Roman"/>
          <w:sz w:val="24"/>
          <w:szCs w:val="24"/>
        </w:rPr>
        <w:t>o</w:t>
      </w:r>
      <w:r w:rsidRPr="00B66CA2">
        <w:rPr>
          <w:rFonts w:ascii="Times New Roman" w:hAnsi="Times New Roman" w:cs="Times New Roman"/>
          <w:sz w:val="24"/>
          <w:szCs w:val="24"/>
        </w:rPr>
        <w:t>, com uma ação mais “para dentro”</w:t>
      </w:r>
      <w:r>
        <w:rPr>
          <w:rFonts w:ascii="Times New Roman" w:hAnsi="Times New Roman" w:cs="Times New Roman"/>
          <w:sz w:val="24"/>
          <w:szCs w:val="24"/>
        </w:rPr>
        <w:t>, limitadora enquanto papel de coordenação e transformação da dinâmica econômica regional, e mais alinhada às demandas do mercado</w:t>
      </w:r>
      <w:r w:rsidRPr="00B66CA2">
        <w:rPr>
          <w:rFonts w:ascii="Times New Roman" w:hAnsi="Times New Roman" w:cs="Times New Roman"/>
          <w:sz w:val="24"/>
          <w:szCs w:val="24"/>
        </w:rPr>
        <w:t>.</w:t>
      </w:r>
    </w:p>
    <w:p w:rsidR="006F0285" w:rsidRDefault="006F0285" w:rsidP="006F028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No limite se demonstra uma SUDENE quase que atônita frente aos desafios da tendência de fragmentação da articulação regional, que demandam esforços políticos, financeiros e institucionais para restabelecer o protagonismo da Superintendência como coordenadora do planejamento público regional.</w:t>
      </w:r>
      <w:r w:rsidRPr="00EE069F">
        <w:rPr>
          <w:rFonts w:ascii="Times New Roman" w:hAnsi="Times New Roman" w:cs="Times New Roman"/>
          <w:sz w:val="24"/>
          <w:szCs w:val="24"/>
        </w:rPr>
        <w:t>Na 25ª reunião, Mário de Paula Gordilho,</w:t>
      </w:r>
      <w:r>
        <w:rPr>
          <w:rFonts w:ascii="Times New Roman" w:hAnsi="Times New Roman" w:cs="Times New Roman"/>
          <w:sz w:val="24"/>
          <w:szCs w:val="24"/>
        </w:rPr>
        <w:t xml:space="preserve"> Superintendente da SUDNE naquela ocasião,</w:t>
      </w:r>
      <w:r w:rsidRPr="00EE069F">
        <w:rPr>
          <w:rFonts w:ascii="Times New Roman" w:hAnsi="Times New Roman" w:cs="Times New Roman"/>
          <w:sz w:val="24"/>
          <w:szCs w:val="24"/>
        </w:rPr>
        <w:t xml:space="preserve"> deixou registrado em ata</w:t>
      </w:r>
      <w:r>
        <w:rPr>
          <w:rStyle w:val="Refdenotaderodap"/>
          <w:rFonts w:ascii="Times New Roman" w:hAnsi="Times New Roman" w:cs="Times New Roman"/>
          <w:sz w:val="24"/>
          <w:szCs w:val="24"/>
        </w:rPr>
        <w:footnoteReference w:id="8"/>
      </w:r>
      <w:r w:rsidRPr="00EE069F">
        <w:rPr>
          <w:rFonts w:ascii="Times New Roman" w:hAnsi="Times New Roman" w:cs="Times New Roman"/>
          <w:sz w:val="24"/>
          <w:szCs w:val="24"/>
        </w:rPr>
        <w:t xml:space="preserve"> a necessidade de: “colocar a SUDENE no seu lugar institucional, isto é, ser protagonista das ações governamentais do Nordeste, buscando a harmonização dos entes federados na sua atuação em benefício do </w:t>
      </w:r>
      <w:r>
        <w:rPr>
          <w:rFonts w:ascii="Times New Roman" w:hAnsi="Times New Roman" w:cs="Times New Roman"/>
          <w:sz w:val="24"/>
          <w:szCs w:val="24"/>
        </w:rPr>
        <w:t>p</w:t>
      </w:r>
      <w:r w:rsidRPr="00EE069F">
        <w:rPr>
          <w:rFonts w:ascii="Times New Roman" w:hAnsi="Times New Roman" w:cs="Times New Roman"/>
          <w:sz w:val="24"/>
          <w:szCs w:val="24"/>
        </w:rPr>
        <w:t xml:space="preserve">ovo </w:t>
      </w:r>
      <w:r>
        <w:rPr>
          <w:rFonts w:ascii="Times New Roman" w:hAnsi="Times New Roman" w:cs="Times New Roman"/>
          <w:sz w:val="24"/>
          <w:szCs w:val="24"/>
        </w:rPr>
        <w:t>n</w:t>
      </w:r>
      <w:r w:rsidRPr="00EE069F">
        <w:rPr>
          <w:rFonts w:ascii="Times New Roman" w:hAnsi="Times New Roman" w:cs="Times New Roman"/>
          <w:sz w:val="24"/>
          <w:szCs w:val="24"/>
        </w:rPr>
        <w:t>ordestino</w:t>
      </w:r>
      <w:r>
        <w:rPr>
          <w:rFonts w:ascii="Times New Roman" w:hAnsi="Times New Roman" w:cs="Times New Roman"/>
          <w:sz w:val="24"/>
          <w:szCs w:val="24"/>
        </w:rPr>
        <w:t>” (SUDENE, 2019, p.5)</w:t>
      </w:r>
      <w:r w:rsidRPr="00EE069F">
        <w:rPr>
          <w:rFonts w:ascii="Times New Roman" w:hAnsi="Times New Roman" w:cs="Times New Roman"/>
          <w:sz w:val="24"/>
          <w:szCs w:val="24"/>
        </w:rPr>
        <w:t>. Reconhece</w:t>
      </w:r>
      <w:r>
        <w:rPr>
          <w:rFonts w:ascii="Times New Roman" w:hAnsi="Times New Roman" w:cs="Times New Roman"/>
          <w:sz w:val="24"/>
          <w:szCs w:val="24"/>
        </w:rPr>
        <w:t>, portanto,</w:t>
      </w:r>
      <w:r w:rsidRPr="00EE069F">
        <w:rPr>
          <w:rFonts w:ascii="Times New Roman" w:hAnsi="Times New Roman" w:cs="Times New Roman"/>
          <w:sz w:val="24"/>
          <w:szCs w:val="24"/>
        </w:rPr>
        <w:t>o presente desgaste da</w:t>
      </w:r>
      <w:r>
        <w:rPr>
          <w:rFonts w:ascii="Times New Roman" w:hAnsi="Times New Roman" w:cs="Times New Roman"/>
          <w:sz w:val="24"/>
          <w:szCs w:val="24"/>
        </w:rPr>
        <w:t xml:space="preserve"> </w:t>
      </w:r>
      <w:r w:rsidRPr="00EE069F">
        <w:rPr>
          <w:rFonts w:ascii="Times New Roman" w:hAnsi="Times New Roman" w:cs="Times New Roman"/>
          <w:sz w:val="24"/>
          <w:szCs w:val="24"/>
        </w:rPr>
        <w:t>Autarquia e a necessidade de uma ampla articulação para seu resgate</w:t>
      </w:r>
      <w:r>
        <w:rPr>
          <w:rFonts w:ascii="Times New Roman" w:hAnsi="Times New Roman" w:cs="Times New Roman"/>
          <w:sz w:val="24"/>
          <w:szCs w:val="24"/>
        </w:rPr>
        <w:t>.</w:t>
      </w:r>
    </w:p>
    <w:p w:rsidR="006F0285" w:rsidRPr="006F0285" w:rsidRDefault="006F0285" w:rsidP="006F0285">
      <w:pPr>
        <w:pStyle w:val="PargrafodaLista"/>
        <w:numPr>
          <w:ilvl w:val="0"/>
          <w:numId w:val="3"/>
        </w:numPr>
        <w:rPr>
          <w:rFonts w:ascii="Times New Roman" w:hAnsi="Times New Roman" w:cs="Times New Roman"/>
          <w:b/>
          <w:bCs/>
          <w:sz w:val="24"/>
          <w:szCs w:val="24"/>
        </w:rPr>
      </w:pPr>
      <w:r w:rsidRPr="006F0285">
        <w:rPr>
          <w:rFonts w:ascii="Times New Roman" w:hAnsi="Times New Roman" w:cs="Times New Roman"/>
          <w:b/>
          <w:bCs/>
          <w:sz w:val="24"/>
          <w:szCs w:val="24"/>
        </w:rPr>
        <w:t>Conclusões</w:t>
      </w:r>
    </w:p>
    <w:p w:rsidR="006F0285" w:rsidRDefault="006F0285" w:rsidP="006F028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w:t>
      </w:r>
      <w:r>
        <w:rPr>
          <w:rFonts w:ascii="Times New Roman" w:eastAsia="Times New Roman" w:hAnsi="Times New Roman" w:cs="Times New Roman"/>
          <w:sz w:val="24"/>
          <w:szCs w:val="24"/>
          <w:lang w:eastAsia="pt-BR"/>
        </w:rPr>
        <w:t xml:space="preserve"> manutenção da política macroeconômica guiada pelo “tripé macroeconômico”, reorientou as novas determinações regionais e urbanas no Brasil. </w:t>
      </w:r>
      <w:r>
        <w:rPr>
          <w:rFonts w:ascii="Times New Roman" w:hAnsi="Times New Roman" w:cs="Times New Roman"/>
          <w:sz w:val="24"/>
          <w:szCs w:val="24"/>
        </w:rPr>
        <w:t xml:space="preserve">O comércio exterior passou a vigorar como condutor da agenda econômica nacional, alterando inclusive os rumos da indústria, da organização socioespacial e da integração produtiva. Nesse quadro, se acirram as tendências de fragmentação da articulação regional pela especialização regressiva, desestruturação dos sistemas de produção e de conhecimento regionais e ampliação da competição entre os entes subnacionais por investimentos e financiamentos. Se configura, portanto, regiões mais conectadas aos fluxos comerciais, financeiros e produtivos internacionais; como uma articulação segmentada, passiva ao mercado internacional. </w:t>
      </w:r>
    </w:p>
    <w:p w:rsidR="006F0285" w:rsidRPr="00B66CA2" w:rsidRDefault="006F0285" w:rsidP="006F0285">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Como analisado, atualmente a operação da SUDENE também passa pelo processo de desestruturação, com ações cada vez mais pontuais e voltadas para a estrutura de governança interna da autarquia, pouco influenciando ou direcionando as ações da economia nordestina como acontecia outrora. </w:t>
      </w:r>
      <w:r w:rsidRPr="00B66CA2">
        <w:rPr>
          <w:rFonts w:ascii="Times New Roman" w:hAnsi="Times New Roman" w:cs="Times New Roman"/>
          <w:sz w:val="24"/>
          <w:szCs w:val="24"/>
        </w:rPr>
        <w:t xml:space="preserve">O que se aponta, por fim, é o esvaziamento progressivo da SUDENE, com perda qualitativa de suas atribuições, um desenho institucional mais fragilizado e um papel menos articulador por parte da </w:t>
      </w:r>
      <w:r>
        <w:rPr>
          <w:rFonts w:ascii="Times New Roman" w:hAnsi="Times New Roman" w:cs="Times New Roman"/>
          <w:sz w:val="24"/>
          <w:szCs w:val="24"/>
        </w:rPr>
        <w:t>a</w:t>
      </w:r>
      <w:r w:rsidRPr="00B66CA2">
        <w:rPr>
          <w:rFonts w:ascii="Times New Roman" w:hAnsi="Times New Roman" w:cs="Times New Roman"/>
          <w:sz w:val="24"/>
          <w:szCs w:val="24"/>
        </w:rPr>
        <w:t xml:space="preserve">utarquia e mais submisso ao poder federal, permeada por </w:t>
      </w:r>
      <w:r>
        <w:rPr>
          <w:rFonts w:ascii="Times New Roman" w:hAnsi="Times New Roman" w:cs="Times New Roman"/>
          <w:sz w:val="24"/>
          <w:szCs w:val="24"/>
        </w:rPr>
        <w:t>resoluções e ações de pouco poder aglutinador para coordenar a dinâmica regional.</w:t>
      </w:r>
    </w:p>
    <w:p w:rsidR="006F0285" w:rsidRDefault="006F0285" w:rsidP="006F0285">
      <w:pPr>
        <w:spacing w:after="0" w:line="360" w:lineRule="auto"/>
        <w:jc w:val="both"/>
        <w:rPr>
          <w:rFonts w:ascii="Times New Roman" w:hAnsi="Times New Roman" w:cs="Times New Roman"/>
          <w:sz w:val="24"/>
          <w:szCs w:val="24"/>
        </w:rPr>
      </w:pPr>
      <w:r w:rsidRPr="00B66CA2">
        <w:rPr>
          <w:rFonts w:ascii="Times New Roman" w:hAnsi="Times New Roman" w:cs="Times New Roman"/>
          <w:sz w:val="24"/>
          <w:szCs w:val="24"/>
        </w:rPr>
        <w:tab/>
        <w:t>O enfraquecimento do poder decisório do CONDEL, da SUDENE e dos demais instrumentos voltados ao desenvolvimento regional, como procuramos mostrar , trilham a trajetória conjunta ao vigente processo de fragmentação produtiva regional, cujo um dos reflexos é também de uma descoordenação por parte das instituições públicas, cada vez mais enfraquecidas, esvaziadas</w:t>
      </w:r>
      <w:r>
        <w:rPr>
          <w:rFonts w:ascii="Times New Roman" w:hAnsi="Times New Roman" w:cs="Times New Roman"/>
          <w:sz w:val="24"/>
          <w:szCs w:val="24"/>
        </w:rPr>
        <w:t>, submissas</w:t>
      </w:r>
      <w:r w:rsidRPr="00B66CA2">
        <w:rPr>
          <w:rFonts w:ascii="Times New Roman" w:hAnsi="Times New Roman" w:cs="Times New Roman"/>
          <w:sz w:val="24"/>
          <w:szCs w:val="24"/>
        </w:rPr>
        <w:t xml:space="preserve"> e secundárias ao papel de integração e dinamismo regional</w:t>
      </w:r>
      <w:r>
        <w:rPr>
          <w:rFonts w:ascii="Times New Roman" w:hAnsi="Times New Roman" w:cs="Times New Roman"/>
          <w:sz w:val="24"/>
          <w:szCs w:val="24"/>
        </w:rPr>
        <w:t>. Portanto, entendemos o esvaziamento institucional da SUDENE como um dos demais reflexos da tendência de fragmentação produtiva na vigente quadra histórica.</w:t>
      </w:r>
    </w:p>
    <w:p w:rsidR="006F0285" w:rsidRDefault="006F0285" w:rsidP="006F0285">
      <w:pPr>
        <w:spacing w:after="0" w:line="360" w:lineRule="auto"/>
        <w:jc w:val="both"/>
        <w:rPr>
          <w:rFonts w:ascii="Times New Roman" w:hAnsi="Times New Roman" w:cs="Times New Roman"/>
          <w:sz w:val="24"/>
          <w:szCs w:val="24"/>
        </w:rPr>
      </w:pPr>
    </w:p>
    <w:p w:rsidR="006F0285" w:rsidRDefault="006F0285" w:rsidP="006F0285">
      <w:pPr>
        <w:spacing w:after="0" w:line="360" w:lineRule="auto"/>
        <w:jc w:val="both"/>
        <w:rPr>
          <w:rFonts w:ascii="Times New Roman" w:hAnsi="Times New Roman" w:cs="Times New Roman"/>
          <w:b/>
          <w:bCs/>
          <w:sz w:val="24"/>
          <w:szCs w:val="24"/>
        </w:rPr>
      </w:pPr>
      <w:r w:rsidRPr="00EE069F">
        <w:rPr>
          <w:rFonts w:ascii="Times New Roman" w:hAnsi="Times New Roman" w:cs="Times New Roman"/>
          <w:b/>
          <w:bCs/>
          <w:sz w:val="24"/>
          <w:szCs w:val="24"/>
        </w:rPr>
        <w:t>REFERÊNCIAS</w:t>
      </w:r>
    </w:p>
    <w:p w:rsidR="00933A91" w:rsidRPr="00F60E68" w:rsidRDefault="00933A91" w:rsidP="00933A91">
      <w:pPr>
        <w:spacing w:after="0" w:line="240" w:lineRule="auto"/>
        <w:jc w:val="both"/>
        <w:rPr>
          <w:rFonts w:ascii="Times New Roman" w:hAnsi="Times New Roman" w:cs="Times New Roman"/>
          <w:sz w:val="24"/>
          <w:szCs w:val="24"/>
        </w:rPr>
      </w:pPr>
      <w:r w:rsidRPr="00F60E68">
        <w:rPr>
          <w:rFonts w:ascii="Times New Roman" w:hAnsi="Times New Roman" w:cs="Times New Roman"/>
          <w:sz w:val="24"/>
          <w:szCs w:val="24"/>
          <w:shd w:val="clear" w:color="auto" w:fill="FFFFFF"/>
        </w:rPr>
        <w:t>ARAÚJO, T</w:t>
      </w:r>
      <w:r>
        <w:rPr>
          <w:rFonts w:ascii="Times New Roman" w:hAnsi="Times New Roman" w:cs="Times New Roman"/>
          <w:sz w:val="24"/>
          <w:szCs w:val="24"/>
          <w:shd w:val="clear" w:color="auto" w:fill="FFFFFF"/>
        </w:rPr>
        <w:t>ânia</w:t>
      </w:r>
      <w:r w:rsidRPr="00F60E68">
        <w:rPr>
          <w:rFonts w:ascii="Times New Roman" w:hAnsi="Times New Roman" w:cs="Times New Roman"/>
          <w:sz w:val="24"/>
          <w:szCs w:val="24"/>
          <w:shd w:val="clear" w:color="auto" w:fill="FFFFFF"/>
        </w:rPr>
        <w:t>. B. </w:t>
      </w:r>
      <w:r w:rsidRPr="00F60E68">
        <w:rPr>
          <w:rFonts w:ascii="Times New Roman" w:hAnsi="Times New Roman" w:cs="Times New Roman"/>
          <w:sz w:val="24"/>
          <w:szCs w:val="24"/>
        </w:rPr>
        <w:t xml:space="preserve">Herança de diferenciação e futuro de fragmentação. </w:t>
      </w:r>
      <w:r w:rsidRPr="00F60E68">
        <w:rPr>
          <w:rFonts w:ascii="Times New Roman" w:hAnsi="Times New Roman" w:cs="Times New Roman"/>
          <w:b/>
          <w:bCs/>
          <w:sz w:val="24"/>
          <w:szCs w:val="24"/>
        </w:rPr>
        <w:t>Estudos Avançados</w:t>
      </w:r>
      <w:r w:rsidRPr="00F60E68">
        <w:rPr>
          <w:rFonts w:ascii="Times New Roman" w:hAnsi="Times New Roman" w:cs="Times New Roman"/>
          <w:sz w:val="24"/>
          <w:szCs w:val="24"/>
        </w:rPr>
        <w:t>, v. 11, n. 29, p. 7–36, 1997.</w:t>
      </w:r>
    </w:p>
    <w:p w:rsidR="00933A91" w:rsidRDefault="00933A91" w:rsidP="00933A91">
      <w:pPr>
        <w:spacing w:after="0" w:line="240" w:lineRule="auto"/>
        <w:jc w:val="both"/>
        <w:rPr>
          <w:rFonts w:ascii="Times New Roman" w:hAnsi="Times New Roman" w:cs="Times New Roman"/>
          <w:sz w:val="24"/>
          <w:szCs w:val="24"/>
          <w:shd w:val="clear" w:color="auto" w:fill="FFFFFF"/>
        </w:rPr>
      </w:pPr>
      <w:r w:rsidRPr="00F60E68">
        <w:rPr>
          <w:rFonts w:ascii="Times New Roman" w:hAnsi="Times New Roman" w:cs="Times New Roman"/>
          <w:bCs/>
          <w:sz w:val="24"/>
          <w:szCs w:val="24"/>
        </w:rPr>
        <w:t>_______.</w:t>
      </w:r>
      <w:r w:rsidRPr="00F60E68">
        <w:rPr>
          <w:rFonts w:ascii="Times New Roman" w:hAnsi="Times New Roman" w:cs="Times New Roman"/>
          <w:sz w:val="24"/>
          <w:szCs w:val="24"/>
          <w:shd w:val="clear" w:color="auto" w:fill="FFFFFF"/>
        </w:rPr>
        <w:t>A experiência de planejamento regional no Brasil. In</w:t>
      </w:r>
      <w:r w:rsidRPr="00F60E68">
        <w:rPr>
          <w:rFonts w:ascii="Times New Roman" w:hAnsi="Times New Roman" w:cs="Times New Roman"/>
          <w:b/>
          <w:sz w:val="24"/>
          <w:szCs w:val="24"/>
          <w:shd w:val="clear" w:color="auto" w:fill="FFFFFF"/>
        </w:rPr>
        <w:t>: Ensaios sobre o desenvolvimento brasileiros:</w:t>
      </w:r>
      <w:r w:rsidRPr="00F60E68">
        <w:rPr>
          <w:rFonts w:ascii="Times New Roman" w:hAnsi="Times New Roman" w:cs="Times New Roman"/>
          <w:sz w:val="24"/>
          <w:szCs w:val="24"/>
          <w:shd w:val="clear" w:color="auto" w:fill="FFFFFF"/>
        </w:rPr>
        <w:t xml:space="preserve"> heranças e urgências. pag 17-25. Rio de Janeiro: Revan: Fase, 2000.</w:t>
      </w:r>
    </w:p>
    <w:p w:rsidR="00933A91" w:rsidRDefault="00933A91" w:rsidP="00933A91">
      <w:pPr>
        <w:spacing w:after="0" w:line="240" w:lineRule="auto"/>
        <w:jc w:val="both"/>
        <w:rPr>
          <w:rFonts w:ascii="Times New Roman" w:hAnsi="Times New Roman" w:cs="Times New Roman"/>
          <w:sz w:val="24"/>
          <w:szCs w:val="24"/>
          <w:shd w:val="clear" w:color="auto" w:fill="FFFFFF"/>
        </w:rPr>
      </w:pPr>
    </w:p>
    <w:p w:rsidR="00933A91" w:rsidRDefault="00933A91" w:rsidP="00933A91">
      <w:pPr>
        <w:spacing w:after="0" w:line="240" w:lineRule="auto"/>
        <w:jc w:val="both"/>
        <w:rPr>
          <w:rFonts w:ascii="Times New Roman" w:hAnsi="Times New Roman" w:cs="Times New Roman"/>
          <w:sz w:val="24"/>
          <w:szCs w:val="24"/>
        </w:rPr>
      </w:pPr>
      <w:r w:rsidRPr="00F90F46">
        <w:rPr>
          <w:rFonts w:ascii="Times New Roman" w:hAnsi="Times New Roman" w:cs="Times New Roman"/>
          <w:sz w:val="24"/>
          <w:szCs w:val="24"/>
        </w:rPr>
        <w:t xml:space="preserve">ARAÚJO, Guthiêrre. F. A trajetória da SUDENE, suas (re)invenções, na condução do projeto de desenvolvimento regional. </w:t>
      </w:r>
      <w:r w:rsidRPr="00F4330B">
        <w:rPr>
          <w:rFonts w:ascii="Times New Roman" w:hAnsi="Times New Roman" w:cs="Times New Roman"/>
          <w:b/>
          <w:bCs/>
          <w:sz w:val="24"/>
          <w:szCs w:val="24"/>
        </w:rPr>
        <w:t>Dissertação em geografia</w:t>
      </w:r>
      <w:r w:rsidRPr="00F90F46">
        <w:rPr>
          <w:rFonts w:ascii="Times New Roman" w:hAnsi="Times New Roman" w:cs="Times New Roman"/>
          <w:sz w:val="24"/>
          <w:szCs w:val="24"/>
        </w:rPr>
        <w:t xml:space="preserve">- Núcleo de Pós graduação em geografia da Universidade Federal de Sergipe, Aracajú, SE, 2015. </w:t>
      </w:r>
    </w:p>
    <w:p w:rsidR="00933A91" w:rsidRDefault="00933A91" w:rsidP="00933A91">
      <w:pPr>
        <w:spacing w:after="0" w:line="240" w:lineRule="auto"/>
        <w:jc w:val="both"/>
        <w:rPr>
          <w:rFonts w:ascii="Times New Roman" w:hAnsi="Times New Roman" w:cs="Times New Roman"/>
          <w:sz w:val="24"/>
          <w:szCs w:val="24"/>
          <w:shd w:val="clear" w:color="auto" w:fill="FFFFFF"/>
        </w:rPr>
      </w:pPr>
    </w:p>
    <w:p w:rsidR="00933A91" w:rsidRDefault="00933A91" w:rsidP="00933A91">
      <w:pPr>
        <w:spacing w:after="0" w:line="240" w:lineRule="auto"/>
        <w:jc w:val="both"/>
        <w:rPr>
          <w:rFonts w:ascii="Times New Roman" w:hAnsi="Times New Roman" w:cs="Times New Roman"/>
          <w:sz w:val="24"/>
          <w:szCs w:val="24"/>
        </w:rPr>
      </w:pPr>
      <w:r w:rsidRPr="00F90F46">
        <w:rPr>
          <w:rFonts w:ascii="Times New Roman" w:hAnsi="Times New Roman" w:cs="Times New Roman"/>
          <w:sz w:val="24"/>
          <w:szCs w:val="24"/>
          <w:shd w:val="clear" w:color="auto" w:fill="FFFFFF"/>
        </w:rPr>
        <w:t>A</w:t>
      </w:r>
      <w:r>
        <w:rPr>
          <w:rFonts w:ascii="Times New Roman" w:hAnsi="Times New Roman" w:cs="Times New Roman"/>
          <w:sz w:val="24"/>
          <w:szCs w:val="24"/>
          <w:shd w:val="clear" w:color="auto" w:fill="FFFFFF"/>
        </w:rPr>
        <w:t>SSESSORIA DE COMUNICAÇÃO DA UNIVERSIDADE FEDERAL DE PERNAMBUCO</w:t>
      </w:r>
      <w:r w:rsidRPr="00F90F46">
        <w:rPr>
          <w:rFonts w:ascii="Times New Roman" w:hAnsi="Times New Roman" w:cs="Times New Roman"/>
          <w:sz w:val="24"/>
          <w:szCs w:val="24"/>
          <w:shd w:val="clear" w:color="auto" w:fill="FFFFFF"/>
        </w:rPr>
        <w:t xml:space="preserve"> (ASCOM). Edifício da SUDENE passa a fazer parte do patrimônio da UFPE</w:t>
      </w:r>
      <w:r w:rsidRPr="00F4330B">
        <w:rPr>
          <w:rFonts w:ascii="Times New Roman" w:hAnsi="Times New Roman" w:cs="Times New Roman"/>
          <w:b/>
          <w:bCs/>
          <w:sz w:val="24"/>
          <w:szCs w:val="24"/>
          <w:shd w:val="clear" w:color="auto" w:fill="FFFFFF"/>
        </w:rPr>
        <w:t>. A</w:t>
      </w:r>
      <w:r>
        <w:rPr>
          <w:rFonts w:ascii="Times New Roman" w:hAnsi="Times New Roman" w:cs="Times New Roman"/>
          <w:b/>
          <w:bCs/>
          <w:sz w:val="24"/>
          <w:szCs w:val="24"/>
          <w:shd w:val="clear" w:color="auto" w:fill="FFFFFF"/>
        </w:rPr>
        <w:t>SCOM</w:t>
      </w:r>
      <w:r w:rsidRPr="00F90F46">
        <w:rPr>
          <w:rFonts w:ascii="Times New Roman" w:hAnsi="Times New Roman" w:cs="Times New Roman"/>
          <w:sz w:val="24"/>
          <w:szCs w:val="24"/>
          <w:shd w:val="clear" w:color="auto" w:fill="FFFFFF"/>
        </w:rPr>
        <w:t xml:space="preserve">, Recife/PE, 06  jun, 2017.  Disponível em: </w:t>
      </w:r>
      <w:hyperlink r:id="rId16" w:history="1">
        <w:r w:rsidRPr="00F90F46">
          <w:rPr>
            <w:rFonts w:ascii="Times New Roman" w:hAnsi="Times New Roman" w:cs="Times New Roman"/>
            <w:sz w:val="24"/>
            <w:szCs w:val="24"/>
            <w:shd w:val="clear" w:color="auto" w:fill="FFFFFF"/>
          </w:rPr>
          <w:t>https://www.ufpe.br/area-ii/-/asset_publisher/nGGtSg8FsERw/content/edificio-sudene-passa-a-fazer-parte-do-patrimonio-da-ufpe/40615</w:t>
        </w:r>
      </w:hyperlink>
      <w:r w:rsidRPr="00F90F46">
        <w:rPr>
          <w:rFonts w:ascii="Times New Roman" w:hAnsi="Times New Roman" w:cs="Times New Roman"/>
          <w:sz w:val="24"/>
          <w:szCs w:val="24"/>
          <w:shd w:val="clear" w:color="auto" w:fill="FFFFFF"/>
        </w:rPr>
        <w:t>. Acesso em: 28/06/2022.</w:t>
      </w:r>
    </w:p>
    <w:p w:rsidR="00933A91" w:rsidRDefault="00933A91" w:rsidP="00933A91">
      <w:pPr>
        <w:spacing w:after="0" w:line="240" w:lineRule="auto"/>
        <w:jc w:val="both"/>
        <w:rPr>
          <w:rFonts w:ascii="Times New Roman" w:hAnsi="Times New Roman" w:cs="Times New Roman"/>
          <w:sz w:val="24"/>
          <w:szCs w:val="24"/>
        </w:rPr>
      </w:pPr>
    </w:p>
    <w:p w:rsidR="00933A91" w:rsidRPr="00F60E68" w:rsidRDefault="00933A91" w:rsidP="00933A91">
      <w:pPr>
        <w:pStyle w:val="Default"/>
        <w:jc w:val="both"/>
        <w:rPr>
          <w:rFonts w:ascii="Times New Roman" w:hAnsi="Times New Roman" w:cs="Times New Roman"/>
          <w:bCs/>
        </w:rPr>
      </w:pPr>
      <w:r w:rsidRPr="00F60E68">
        <w:rPr>
          <w:rFonts w:ascii="Times New Roman" w:hAnsi="Times New Roman" w:cs="Times New Roman"/>
          <w:bCs/>
        </w:rPr>
        <w:t xml:space="preserve">BARBOSA FILHO, Nelson. Dez anos de política econômica. In: SADER, Emir. </w:t>
      </w:r>
      <w:r w:rsidRPr="00F60E68">
        <w:rPr>
          <w:rFonts w:ascii="Times New Roman" w:hAnsi="Times New Roman" w:cs="Times New Roman"/>
          <w:b/>
        </w:rPr>
        <w:t>10 anos de governos pós-neoliberais no Brasil</w:t>
      </w:r>
      <w:r w:rsidRPr="00F60E68">
        <w:rPr>
          <w:rFonts w:ascii="Times New Roman" w:hAnsi="Times New Roman" w:cs="Times New Roman"/>
          <w:bCs/>
        </w:rPr>
        <w:t>. São Paulo, SP: Boitempo, 2013.</w:t>
      </w:r>
    </w:p>
    <w:p w:rsidR="00933A91" w:rsidRDefault="00933A91" w:rsidP="00933A91">
      <w:pPr>
        <w:spacing w:after="0" w:line="240" w:lineRule="auto"/>
        <w:jc w:val="both"/>
        <w:rPr>
          <w:rFonts w:ascii="Times New Roman" w:hAnsi="Times New Roman" w:cs="Times New Roman"/>
          <w:sz w:val="24"/>
          <w:szCs w:val="24"/>
          <w:shd w:val="clear" w:color="auto" w:fill="FFFFFF"/>
        </w:rPr>
      </w:pPr>
    </w:p>
    <w:p w:rsidR="00933A91" w:rsidRPr="00F60E68" w:rsidRDefault="00933A91" w:rsidP="00933A91">
      <w:pPr>
        <w:pStyle w:val="PargrafodaLista"/>
        <w:spacing w:after="0" w:line="240" w:lineRule="auto"/>
        <w:ind w:left="0"/>
        <w:jc w:val="both"/>
        <w:rPr>
          <w:rFonts w:ascii="Times New Roman" w:hAnsi="Times New Roman" w:cs="Times New Roman"/>
          <w:sz w:val="24"/>
          <w:szCs w:val="24"/>
          <w:lang w:val="en-US"/>
        </w:rPr>
      </w:pPr>
      <w:r w:rsidRPr="00F60E68">
        <w:rPr>
          <w:rFonts w:ascii="Times New Roman" w:hAnsi="Times New Roman" w:cs="Times New Roman"/>
          <w:sz w:val="24"/>
          <w:szCs w:val="24"/>
          <w:lang w:val="en-US"/>
        </w:rPr>
        <w:lastRenderedPageBreak/>
        <w:t xml:space="preserve">BORGHI, Roberto. A. Z. Growth trajectories In the globalisation era: a macrosectoral analysis of China and Brazil. 229 p. 2015. </w:t>
      </w:r>
      <w:r w:rsidRPr="00F60E68">
        <w:rPr>
          <w:rFonts w:ascii="Times New Roman" w:hAnsi="Times New Roman" w:cs="Times New Roman"/>
          <w:b/>
          <w:bCs/>
          <w:sz w:val="24"/>
          <w:szCs w:val="24"/>
          <w:lang w:val="en-US"/>
        </w:rPr>
        <w:t>Tese (PhD) –(Doctor of Philosophy )-</w:t>
      </w:r>
      <w:r w:rsidRPr="00F60E68">
        <w:rPr>
          <w:rFonts w:ascii="Times New Roman" w:hAnsi="Times New Roman" w:cs="Times New Roman"/>
          <w:sz w:val="24"/>
          <w:szCs w:val="24"/>
          <w:lang w:val="en-US"/>
        </w:rPr>
        <w:t xml:space="preserve"> St Edmund’s College, University of Cambridge, Cambridge, UK, 2015.</w:t>
      </w:r>
    </w:p>
    <w:p w:rsidR="00933A91" w:rsidRPr="00F4330B" w:rsidRDefault="00933A91" w:rsidP="00933A91">
      <w:pPr>
        <w:spacing w:after="0" w:line="240" w:lineRule="auto"/>
        <w:jc w:val="both"/>
        <w:rPr>
          <w:rFonts w:ascii="Times New Roman" w:hAnsi="Times New Roman" w:cs="Times New Roman"/>
          <w:sz w:val="24"/>
          <w:szCs w:val="24"/>
          <w:shd w:val="clear" w:color="auto" w:fill="FFFFFF"/>
        </w:rPr>
      </w:pPr>
    </w:p>
    <w:p w:rsidR="00933A91" w:rsidRPr="00F60E68" w:rsidRDefault="00933A91" w:rsidP="00933A91">
      <w:pPr>
        <w:spacing w:after="0" w:line="240" w:lineRule="auto"/>
        <w:jc w:val="both"/>
        <w:rPr>
          <w:rFonts w:ascii="Times New Roman" w:hAnsi="Times New Roman" w:cs="Times New Roman"/>
          <w:sz w:val="24"/>
          <w:szCs w:val="24"/>
        </w:rPr>
      </w:pPr>
      <w:r w:rsidRPr="00F60E68">
        <w:rPr>
          <w:rFonts w:ascii="Times New Roman" w:hAnsi="Times New Roman" w:cs="Times New Roman"/>
          <w:sz w:val="24"/>
          <w:szCs w:val="24"/>
        </w:rPr>
        <w:t>BRESSER</w:t>
      </w:r>
      <w:r w:rsidRPr="00F60E68">
        <w:rPr>
          <w:rFonts w:ascii="Times New Roman" w:hAnsi="Times New Roman" w:cs="Times New Roman"/>
          <w:sz w:val="24"/>
          <w:szCs w:val="24"/>
        </w:rPr>
        <w:noBreakHyphen/>
        <w:t xml:space="preserve">PEREIRA, Luís. C; NASSIF, André; FEIJÓ, Carmem. A. A reconstrução da indústria brasileira: a conexão entre o regime macroeconômico e a política industrial. </w:t>
      </w:r>
      <w:r w:rsidRPr="00F60E68">
        <w:rPr>
          <w:rFonts w:ascii="Times New Roman" w:hAnsi="Times New Roman" w:cs="Times New Roman"/>
          <w:b/>
          <w:bCs/>
          <w:sz w:val="24"/>
          <w:szCs w:val="24"/>
        </w:rPr>
        <w:t>Revista de Economia Política</w:t>
      </w:r>
      <w:r w:rsidRPr="00F60E68">
        <w:rPr>
          <w:rFonts w:ascii="Times New Roman" w:hAnsi="Times New Roman" w:cs="Times New Roman"/>
          <w:sz w:val="24"/>
          <w:szCs w:val="24"/>
        </w:rPr>
        <w:t>, vol. 36, nº 3 (144), pp. 493-513, julho-setembro, 2016.</w:t>
      </w:r>
    </w:p>
    <w:p w:rsidR="00933A91" w:rsidRDefault="00933A91" w:rsidP="00933A91">
      <w:pPr>
        <w:spacing w:after="0" w:line="240" w:lineRule="auto"/>
      </w:pPr>
    </w:p>
    <w:p w:rsidR="00933A91" w:rsidRPr="00F60E68" w:rsidRDefault="00933A91" w:rsidP="00933A91">
      <w:pPr>
        <w:spacing w:after="0" w:line="240" w:lineRule="auto"/>
        <w:jc w:val="both"/>
        <w:rPr>
          <w:rFonts w:ascii="Times New Roman" w:hAnsi="Times New Roman" w:cs="Times New Roman"/>
          <w:sz w:val="24"/>
          <w:szCs w:val="24"/>
          <w:shd w:val="clear" w:color="auto" w:fill="FFFFFF"/>
        </w:rPr>
      </w:pPr>
      <w:r w:rsidRPr="00F60E68">
        <w:rPr>
          <w:rFonts w:ascii="Times New Roman" w:hAnsi="Times New Roman" w:cs="Times New Roman"/>
          <w:sz w:val="24"/>
          <w:szCs w:val="24"/>
        </w:rPr>
        <w:t>CANO, W.</w:t>
      </w:r>
      <w:r w:rsidRPr="00F60E68">
        <w:rPr>
          <w:rFonts w:ascii="Times New Roman" w:hAnsi="Times New Roman" w:cs="Times New Roman"/>
          <w:b/>
          <w:sz w:val="24"/>
          <w:szCs w:val="24"/>
          <w:shd w:val="clear" w:color="auto" w:fill="FFFFFF"/>
        </w:rPr>
        <w:t>Desconcentração produtiva regional no Brasi</w:t>
      </w:r>
      <w:r w:rsidRPr="00F60E68">
        <w:rPr>
          <w:rFonts w:ascii="Times New Roman" w:hAnsi="Times New Roman" w:cs="Times New Roman"/>
          <w:sz w:val="24"/>
          <w:szCs w:val="24"/>
          <w:shd w:val="clear" w:color="auto" w:fill="FFFFFF"/>
        </w:rPr>
        <w:t>l: 1970-2005. 3 ed. São Paulo,SP:Unesp, 2008.</w:t>
      </w:r>
    </w:p>
    <w:p w:rsidR="00933A91" w:rsidRPr="00F60E68" w:rsidRDefault="00933A91" w:rsidP="00933A91">
      <w:pPr>
        <w:spacing w:after="0" w:line="240" w:lineRule="auto"/>
        <w:jc w:val="both"/>
        <w:rPr>
          <w:rFonts w:ascii="Times New Roman" w:hAnsi="Times New Roman" w:cs="Times New Roman"/>
          <w:sz w:val="24"/>
          <w:szCs w:val="24"/>
        </w:rPr>
      </w:pPr>
      <w:r w:rsidRPr="00F60E68">
        <w:rPr>
          <w:rFonts w:ascii="Times New Roman" w:hAnsi="Times New Roman" w:cs="Times New Roman"/>
          <w:bCs/>
          <w:sz w:val="24"/>
          <w:szCs w:val="24"/>
        </w:rPr>
        <w:t>_______.</w:t>
      </w:r>
      <w:r w:rsidRPr="00F60E68">
        <w:rPr>
          <w:rFonts w:ascii="Times New Roman" w:hAnsi="Times New Roman" w:cs="Times New Roman"/>
          <w:sz w:val="24"/>
          <w:szCs w:val="24"/>
        </w:rPr>
        <w:t>A desindustrialização no Brasil</w:t>
      </w:r>
      <w:r w:rsidRPr="00F60E68">
        <w:rPr>
          <w:rFonts w:ascii="Times New Roman" w:hAnsi="Times New Roman" w:cs="Times New Roman"/>
          <w:b/>
          <w:sz w:val="24"/>
          <w:szCs w:val="24"/>
        </w:rPr>
        <w:t>. Economia e Sociedade</w:t>
      </w:r>
      <w:r w:rsidRPr="00F60E68">
        <w:rPr>
          <w:rFonts w:ascii="Times New Roman" w:hAnsi="Times New Roman" w:cs="Times New Roman"/>
          <w:sz w:val="24"/>
          <w:szCs w:val="24"/>
        </w:rPr>
        <w:t>, Campinas, v. 21, número especial, 2012.</w:t>
      </w:r>
    </w:p>
    <w:p w:rsidR="00933A91" w:rsidRDefault="00933A91" w:rsidP="00933A91">
      <w:pPr>
        <w:spacing w:after="0" w:line="240" w:lineRule="auto"/>
        <w:jc w:val="both"/>
        <w:rPr>
          <w:rFonts w:ascii="Times New Roman" w:hAnsi="Times New Roman" w:cs="Times New Roman"/>
          <w:sz w:val="24"/>
          <w:szCs w:val="24"/>
          <w:shd w:val="clear" w:color="auto" w:fill="FFFFFF"/>
        </w:rPr>
      </w:pPr>
      <w:r w:rsidRPr="00F60E68">
        <w:rPr>
          <w:rFonts w:ascii="Times New Roman" w:hAnsi="Times New Roman" w:cs="Times New Roman"/>
          <w:bCs/>
          <w:sz w:val="24"/>
          <w:szCs w:val="24"/>
        </w:rPr>
        <w:t>_______.</w:t>
      </w:r>
      <w:r w:rsidRPr="00F60E68">
        <w:rPr>
          <w:rFonts w:ascii="Times New Roman" w:hAnsi="Times New Roman" w:cs="Times New Roman"/>
          <w:sz w:val="24"/>
          <w:szCs w:val="24"/>
          <w:shd w:val="clear" w:color="auto" w:fill="FFFFFF"/>
        </w:rPr>
        <w:t xml:space="preserve">(Des)Industrialização e (Sub)Desenvolvimento. </w:t>
      </w:r>
      <w:r w:rsidRPr="00F60E68">
        <w:rPr>
          <w:rFonts w:ascii="Times New Roman" w:hAnsi="Times New Roman" w:cs="Times New Roman"/>
          <w:b/>
          <w:sz w:val="24"/>
          <w:szCs w:val="24"/>
          <w:shd w:val="clear" w:color="auto" w:fill="FFFFFF"/>
        </w:rPr>
        <w:t>Cadernos do Desenvolvimento</w:t>
      </w:r>
      <w:r w:rsidRPr="00F60E68">
        <w:rPr>
          <w:rFonts w:ascii="Times New Roman" w:hAnsi="Times New Roman" w:cs="Times New Roman"/>
          <w:sz w:val="24"/>
          <w:szCs w:val="24"/>
          <w:shd w:val="clear" w:color="auto" w:fill="FFFFFF"/>
        </w:rPr>
        <w:t>, v. 9, n. 15, p. 139-174, jul./dez., 2014.</w:t>
      </w:r>
    </w:p>
    <w:p w:rsidR="00933A91" w:rsidRDefault="00933A91" w:rsidP="00933A91">
      <w:pPr>
        <w:spacing w:after="0" w:line="240" w:lineRule="auto"/>
        <w:jc w:val="both"/>
        <w:rPr>
          <w:rFonts w:ascii="Times New Roman" w:hAnsi="Times New Roman" w:cs="Times New Roman"/>
          <w:sz w:val="24"/>
          <w:szCs w:val="24"/>
          <w:shd w:val="clear" w:color="auto" w:fill="FFFFFF"/>
        </w:rPr>
      </w:pPr>
    </w:p>
    <w:p w:rsidR="00933A91" w:rsidRPr="00F90F46" w:rsidRDefault="00933A91" w:rsidP="00933A91">
      <w:pPr>
        <w:spacing w:after="0" w:line="240" w:lineRule="auto"/>
        <w:jc w:val="both"/>
        <w:rPr>
          <w:rFonts w:ascii="Times New Roman" w:hAnsi="Times New Roman" w:cs="Times New Roman"/>
          <w:color w:val="000000"/>
          <w:sz w:val="24"/>
          <w:szCs w:val="24"/>
          <w:shd w:val="clear" w:color="auto" w:fill="FFFFFF"/>
        </w:rPr>
      </w:pPr>
      <w:r w:rsidRPr="00F90F46">
        <w:rPr>
          <w:rFonts w:ascii="Times New Roman" w:hAnsi="Times New Roman" w:cs="Times New Roman"/>
          <w:color w:val="000000"/>
          <w:sz w:val="24"/>
          <w:szCs w:val="24"/>
          <w:shd w:val="clear" w:color="auto" w:fill="FFFFFF"/>
        </w:rPr>
        <w:t xml:space="preserve">CARVALHO, Fernanda. F.  A Extinção da SUDENE - um marco das transformações na política de desenvolvimento regional no Brasil. </w:t>
      </w:r>
      <w:r w:rsidRPr="00F4330B">
        <w:rPr>
          <w:rFonts w:ascii="Times New Roman" w:hAnsi="Times New Roman" w:cs="Times New Roman"/>
          <w:b/>
          <w:bCs/>
          <w:color w:val="000000"/>
          <w:sz w:val="24"/>
          <w:szCs w:val="24"/>
          <w:shd w:val="clear" w:color="auto" w:fill="FFFFFF"/>
        </w:rPr>
        <w:t>Tese de doutorado em desenvolvimento econômico</w:t>
      </w:r>
      <w:r w:rsidRPr="00F90F46">
        <w:rPr>
          <w:rFonts w:ascii="Times New Roman" w:hAnsi="Times New Roman" w:cs="Times New Roman"/>
          <w:color w:val="000000"/>
          <w:sz w:val="24"/>
          <w:szCs w:val="24"/>
          <w:shd w:val="clear" w:color="auto" w:fill="FFFFFF"/>
        </w:rPr>
        <w:t xml:space="preserve"> – Instituto de Economia, Universidade Estadual de Campinas, Campinas,SP, 2006. </w:t>
      </w:r>
    </w:p>
    <w:p w:rsidR="00933A91" w:rsidRPr="00F90F46" w:rsidRDefault="00933A91" w:rsidP="00933A91">
      <w:pPr>
        <w:spacing w:after="0" w:line="240" w:lineRule="auto"/>
        <w:jc w:val="both"/>
        <w:rPr>
          <w:rFonts w:ascii="Times New Roman" w:hAnsi="Times New Roman" w:cs="Times New Roman"/>
          <w:color w:val="000000"/>
          <w:sz w:val="24"/>
          <w:szCs w:val="24"/>
          <w:shd w:val="clear" w:color="auto" w:fill="FFFFFF"/>
        </w:rPr>
      </w:pPr>
      <w:r w:rsidRPr="00F90F46">
        <w:rPr>
          <w:rFonts w:ascii="Times New Roman" w:hAnsi="Times New Roman" w:cs="Times New Roman"/>
          <w:color w:val="000000"/>
          <w:sz w:val="24"/>
          <w:szCs w:val="24"/>
          <w:shd w:val="clear" w:color="auto" w:fill="FFFFFF"/>
        </w:rPr>
        <w:t> </w:t>
      </w:r>
      <w:r w:rsidRPr="00F60E68">
        <w:rPr>
          <w:rFonts w:ascii="Times New Roman" w:hAnsi="Times New Roman" w:cs="Times New Roman"/>
          <w:bCs/>
          <w:sz w:val="24"/>
          <w:szCs w:val="24"/>
        </w:rPr>
        <w:t>_______.</w:t>
      </w:r>
      <w:r w:rsidRPr="00F90F46">
        <w:rPr>
          <w:rFonts w:ascii="Times New Roman" w:hAnsi="Times New Roman" w:cs="Times New Roman"/>
          <w:color w:val="000000"/>
          <w:sz w:val="24"/>
          <w:szCs w:val="24"/>
          <w:shd w:val="clear" w:color="auto" w:fill="FFFFFF"/>
        </w:rPr>
        <w:t xml:space="preserve">Da esperança à crise - a experiência das políticas regionais no Nordeste. </w:t>
      </w:r>
      <w:r w:rsidRPr="00F4330B">
        <w:rPr>
          <w:rFonts w:ascii="Times New Roman" w:hAnsi="Times New Roman" w:cs="Times New Roman"/>
          <w:b/>
          <w:bCs/>
          <w:color w:val="000000"/>
          <w:sz w:val="24"/>
          <w:szCs w:val="24"/>
          <w:shd w:val="clear" w:color="auto" w:fill="FFFFFF"/>
        </w:rPr>
        <w:t>Dissertação de mestrado em desenvolvimento econômico</w:t>
      </w:r>
      <w:r w:rsidRPr="00F90F46">
        <w:rPr>
          <w:rFonts w:ascii="Times New Roman" w:hAnsi="Times New Roman" w:cs="Times New Roman"/>
          <w:color w:val="000000"/>
          <w:sz w:val="24"/>
          <w:szCs w:val="24"/>
          <w:shd w:val="clear" w:color="auto" w:fill="FFFFFF"/>
        </w:rPr>
        <w:t xml:space="preserve"> – Instituto de Economia, Universidade Estadual de Campinas, Campinas, SP, 2001.</w:t>
      </w:r>
    </w:p>
    <w:p w:rsidR="00933A91" w:rsidRDefault="00933A91" w:rsidP="00933A91">
      <w:pPr>
        <w:spacing w:after="0" w:line="240" w:lineRule="auto"/>
      </w:pPr>
    </w:p>
    <w:p w:rsidR="00933A91" w:rsidRPr="00F90F46" w:rsidRDefault="00933A91" w:rsidP="00933A91">
      <w:pPr>
        <w:spacing w:after="0" w:line="240" w:lineRule="auto"/>
        <w:jc w:val="both"/>
        <w:rPr>
          <w:rFonts w:ascii="Times New Roman" w:hAnsi="Times New Roman" w:cs="Times New Roman"/>
          <w:sz w:val="24"/>
          <w:szCs w:val="24"/>
        </w:rPr>
      </w:pPr>
      <w:r w:rsidRPr="00F90F46">
        <w:rPr>
          <w:rFonts w:ascii="Times New Roman" w:hAnsi="Times New Roman" w:cs="Times New Roman"/>
          <w:sz w:val="24"/>
          <w:szCs w:val="24"/>
        </w:rPr>
        <w:t>COLOMBRO, Lucileia. A. Federalismo brasileiro e desenvolvimento regional: Predominância da economia ou da política no processo decisório?.</w:t>
      </w:r>
      <w:r w:rsidRPr="00F4330B">
        <w:rPr>
          <w:rFonts w:ascii="Times New Roman" w:hAnsi="Times New Roman" w:cs="Times New Roman"/>
          <w:b/>
          <w:bCs/>
          <w:sz w:val="24"/>
          <w:szCs w:val="24"/>
        </w:rPr>
        <w:t>Encontro da associação brasileira de Ciência Política</w:t>
      </w:r>
      <w:r w:rsidRPr="00F90F46">
        <w:rPr>
          <w:rFonts w:ascii="Times New Roman" w:hAnsi="Times New Roman" w:cs="Times New Roman"/>
          <w:sz w:val="24"/>
          <w:szCs w:val="24"/>
        </w:rPr>
        <w:t xml:space="preserve">, 11., 2018. Curitiba,PR, Anais...Curitiba,PR: Universidade Federal do Paraná, 2018.  </w:t>
      </w:r>
    </w:p>
    <w:p w:rsidR="00933A91" w:rsidRDefault="00933A91" w:rsidP="00933A91">
      <w:pPr>
        <w:spacing w:after="0" w:line="240" w:lineRule="auto"/>
        <w:jc w:val="both"/>
        <w:rPr>
          <w:rFonts w:ascii="Times New Roman" w:hAnsi="Times New Roman" w:cs="Times New Roman"/>
          <w:sz w:val="24"/>
          <w:szCs w:val="24"/>
          <w:shd w:val="clear" w:color="auto" w:fill="FFFFFF"/>
        </w:rPr>
      </w:pPr>
    </w:p>
    <w:p w:rsidR="00933A91" w:rsidRPr="00F60E68" w:rsidRDefault="00933A91" w:rsidP="00933A91">
      <w:pPr>
        <w:spacing w:after="0" w:line="240" w:lineRule="auto"/>
        <w:jc w:val="both"/>
        <w:rPr>
          <w:rFonts w:ascii="Times New Roman" w:hAnsi="Times New Roman" w:cs="Times New Roman"/>
          <w:sz w:val="24"/>
          <w:szCs w:val="24"/>
          <w:shd w:val="clear" w:color="auto" w:fill="FFFFFF"/>
        </w:rPr>
      </w:pPr>
      <w:r w:rsidRPr="00F60E68">
        <w:rPr>
          <w:rFonts w:ascii="Times New Roman" w:hAnsi="Times New Roman" w:cs="Times New Roman"/>
          <w:sz w:val="24"/>
          <w:szCs w:val="24"/>
          <w:shd w:val="clear" w:color="auto" w:fill="FFFFFF"/>
        </w:rPr>
        <w:t xml:space="preserve">GOULARTI, Juliano. G. </w:t>
      </w:r>
      <w:r w:rsidRPr="00F60E68">
        <w:rPr>
          <w:rFonts w:ascii="Times New Roman" w:hAnsi="Times New Roman" w:cs="Times New Roman"/>
          <w:b/>
          <w:bCs/>
          <w:sz w:val="24"/>
          <w:szCs w:val="24"/>
          <w:shd w:val="clear" w:color="auto" w:fill="FFFFFF"/>
        </w:rPr>
        <w:t>Política Fiscal e desoneração tributária no Brasil</w:t>
      </w:r>
      <w:r w:rsidRPr="00F60E68">
        <w:rPr>
          <w:rFonts w:ascii="Times New Roman" w:hAnsi="Times New Roman" w:cs="Times New Roman"/>
          <w:sz w:val="24"/>
          <w:szCs w:val="24"/>
          <w:shd w:val="clear" w:color="auto" w:fill="FFFFFF"/>
        </w:rPr>
        <w:t>. 1 ed. Florianópolis e Criciúma, SC: Insular e Editora da UNESC, 2020.</w:t>
      </w:r>
    </w:p>
    <w:p w:rsidR="00933A91" w:rsidRPr="00F60E68" w:rsidRDefault="00933A91" w:rsidP="00933A91">
      <w:pPr>
        <w:spacing w:after="0" w:line="240" w:lineRule="auto"/>
        <w:jc w:val="both"/>
        <w:rPr>
          <w:rFonts w:ascii="Times New Roman" w:hAnsi="Times New Roman" w:cs="Times New Roman"/>
          <w:sz w:val="24"/>
          <w:szCs w:val="24"/>
          <w:shd w:val="clear" w:color="auto" w:fill="FFFFFF"/>
        </w:rPr>
      </w:pPr>
    </w:p>
    <w:p w:rsidR="00933A91" w:rsidRPr="00F60E68" w:rsidRDefault="00933A91" w:rsidP="00933A91">
      <w:pPr>
        <w:spacing w:after="0" w:line="240" w:lineRule="auto"/>
        <w:jc w:val="both"/>
        <w:rPr>
          <w:rFonts w:ascii="Times New Roman" w:hAnsi="Times New Roman" w:cs="Times New Roman"/>
          <w:color w:val="000000"/>
          <w:sz w:val="24"/>
          <w:szCs w:val="24"/>
          <w:shd w:val="clear" w:color="auto" w:fill="FFFFFF"/>
        </w:rPr>
      </w:pPr>
      <w:r w:rsidRPr="00F60E68">
        <w:rPr>
          <w:rFonts w:ascii="Times New Roman" w:hAnsi="Times New Roman" w:cs="Times New Roman"/>
          <w:color w:val="000000"/>
          <w:sz w:val="24"/>
          <w:szCs w:val="24"/>
          <w:shd w:val="clear" w:color="auto" w:fill="FFFFFF"/>
        </w:rPr>
        <w:t xml:space="preserve">GUIMARÃES NETO, Leonardo. </w:t>
      </w:r>
      <w:r w:rsidRPr="00F60E68">
        <w:rPr>
          <w:rFonts w:ascii="Times New Roman" w:hAnsi="Times New Roman" w:cs="Times New Roman"/>
          <w:b/>
          <w:color w:val="000000"/>
          <w:sz w:val="24"/>
          <w:szCs w:val="24"/>
          <w:shd w:val="clear" w:color="auto" w:fill="FFFFFF"/>
        </w:rPr>
        <w:t>Introdução à Formação Econômica do Nordeste</w:t>
      </w:r>
      <w:r w:rsidRPr="00F60E68">
        <w:rPr>
          <w:rFonts w:ascii="Times New Roman" w:hAnsi="Times New Roman" w:cs="Times New Roman"/>
          <w:color w:val="000000"/>
          <w:sz w:val="24"/>
          <w:szCs w:val="24"/>
          <w:shd w:val="clear" w:color="auto" w:fill="FFFFFF"/>
        </w:rPr>
        <w:t>. Recife: Fundação Joaquim Nabuco/ Massangana, 1989.</w:t>
      </w:r>
    </w:p>
    <w:p w:rsidR="00933A91" w:rsidRDefault="00933A91" w:rsidP="00933A91">
      <w:pPr>
        <w:spacing w:after="0" w:line="240" w:lineRule="auto"/>
      </w:pPr>
    </w:p>
    <w:p w:rsidR="00933A91" w:rsidRDefault="00933A91" w:rsidP="00933A91">
      <w:pPr>
        <w:spacing w:after="0" w:line="240" w:lineRule="auto"/>
        <w:jc w:val="both"/>
        <w:rPr>
          <w:rFonts w:ascii="Times New Roman" w:hAnsi="Times New Roman" w:cs="Times New Roman"/>
          <w:sz w:val="24"/>
          <w:szCs w:val="24"/>
        </w:rPr>
      </w:pPr>
      <w:r w:rsidRPr="00F90F46">
        <w:rPr>
          <w:rFonts w:ascii="Times New Roman" w:hAnsi="Times New Roman" w:cs="Times New Roman"/>
          <w:sz w:val="24"/>
          <w:szCs w:val="24"/>
        </w:rPr>
        <w:t xml:space="preserve">GUMIERO, Rafael. G. A trajetória das políticas de desenvolvimento regional do Nordeste: balanço entre a Operação Nordeste e a PNDR. </w:t>
      </w:r>
      <w:r w:rsidRPr="00F4330B">
        <w:rPr>
          <w:rFonts w:ascii="Times New Roman" w:hAnsi="Times New Roman" w:cs="Times New Roman"/>
          <w:b/>
          <w:bCs/>
          <w:sz w:val="24"/>
          <w:szCs w:val="24"/>
        </w:rPr>
        <w:t>Revista Política e Planejamento Regional</w:t>
      </w:r>
      <w:r w:rsidRPr="00F90F46">
        <w:rPr>
          <w:rFonts w:ascii="Times New Roman" w:hAnsi="Times New Roman" w:cs="Times New Roman"/>
          <w:sz w:val="24"/>
          <w:szCs w:val="24"/>
        </w:rPr>
        <w:t>., v. 4, p. 189-210, 2017.</w:t>
      </w:r>
    </w:p>
    <w:p w:rsidR="00933A91" w:rsidRDefault="00933A91" w:rsidP="00933A91">
      <w:pPr>
        <w:spacing w:after="0" w:line="240" w:lineRule="auto"/>
        <w:jc w:val="both"/>
        <w:rPr>
          <w:rFonts w:ascii="Times New Roman" w:hAnsi="Times New Roman" w:cs="Times New Roman"/>
          <w:sz w:val="24"/>
          <w:szCs w:val="24"/>
          <w:shd w:val="clear" w:color="auto" w:fill="FFFFFF"/>
        </w:rPr>
      </w:pPr>
    </w:p>
    <w:p w:rsidR="00933A91" w:rsidRPr="00F60E68" w:rsidRDefault="00933A91" w:rsidP="00933A91">
      <w:pPr>
        <w:spacing w:after="0" w:line="240" w:lineRule="auto"/>
        <w:jc w:val="both"/>
        <w:rPr>
          <w:rFonts w:ascii="Times New Roman" w:hAnsi="Times New Roman" w:cs="Times New Roman"/>
          <w:sz w:val="24"/>
          <w:szCs w:val="24"/>
          <w:shd w:val="clear" w:color="auto" w:fill="FFFFFF"/>
        </w:rPr>
      </w:pPr>
      <w:r w:rsidRPr="00F60E68">
        <w:rPr>
          <w:rFonts w:ascii="Times New Roman" w:hAnsi="Times New Roman" w:cs="Times New Roman"/>
          <w:sz w:val="24"/>
          <w:szCs w:val="24"/>
          <w:shd w:val="clear" w:color="auto" w:fill="FFFFFF"/>
        </w:rPr>
        <w:t xml:space="preserve">INSTITUTO DE PESQUISA ECONÔMICA APLICADA (IPEA). </w:t>
      </w:r>
      <w:r w:rsidRPr="00F60E68">
        <w:rPr>
          <w:rFonts w:ascii="Times New Roman" w:hAnsi="Times New Roman" w:cs="Times New Roman"/>
          <w:b/>
          <w:bCs/>
          <w:sz w:val="24"/>
          <w:szCs w:val="24"/>
          <w:shd w:val="clear" w:color="auto" w:fill="FFFFFF"/>
        </w:rPr>
        <w:t>Desafios da Nação.</w:t>
      </w:r>
      <w:r w:rsidRPr="00F60E68">
        <w:rPr>
          <w:rFonts w:ascii="Times New Roman" w:hAnsi="Times New Roman" w:cs="Times New Roman"/>
          <w:sz w:val="24"/>
          <w:szCs w:val="24"/>
          <w:shd w:val="clear" w:color="auto" w:fill="FFFFFF"/>
        </w:rPr>
        <w:t xml:space="preserve"> Brasília/DF, v 1. 2018. </w:t>
      </w:r>
    </w:p>
    <w:p w:rsidR="00933A91" w:rsidRPr="00F90F46" w:rsidRDefault="00933A91" w:rsidP="00933A91">
      <w:pPr>
        <w:spacing w:after="0" w:line="240" w:lineRule="auto"/>
        <w:jc w:val="both"/>
        <w:rPr>
          <w:rFonts w:ascii="Times New Roman" w:hAnsi="Times New Roman" w:cs="Times New Roman"/>
          <w:sz w:val="24"/>
          <w:szCs w:val="24"/>
        </w:rPr>
      </w:pPr>
    </w:p>
    <w:p w:rsidR="00933A91" w:rsidRPr="00F60E68" w:rsidRDefault="00933A91" w:rsidP="00933A91">
      <w:pPr>
        <w:spacing w:after="0" w:line="240" w:lineRule="auto"/>
        <w:jc w:val="both"/>
        <w:rPr>
          <w:rFonts w:ascii="Times New Roman" w:hAnsi="Times New Roman" w:cs="Times New Roman"/>
          <w:bCs/>
          <w:sz w:val="24"/>
          <w:szCs w:val="24"/>
          <w:lang w:val="en-US"/>
        </w:rPr>
      </w:pPr>
      <w:r w:rsidRPr="00F60E68">
        <w:rPr>
          <w:rFonts w:ascii="Times New Roman" w:hAnsi="Times New Roman" w:cs="Times New Roman"/>
          <w:bCs/>
          <w:sz w:val="24"/>
          <w:szCs w:val="24"/>
        </w:rPr>
        <w:t xml:space="preserve">LÉLIS, Marcos. T. C.; CUNHA, André. M.; LINCK, Priscila. O choque nos preços das commodities e a economia brasileira nos anos 2000. </w:t>
      </w:r>
      <w:r w:rsidRPr="00F60E68">
        <w:rPr>
          <w:rFonts w:ascii="Times New Roman" w:hAnsi="Times New Roman" w:cs="Times New Roman"/>
          <w:b/>
          <w:sz w:val="24"/>
          <w:szCs w:val="24"/>
          <w:lang w:val="en-US"/>
        </w:rPr>
        <w:t>Brazilian Journal of Political Economy</w:t>
      </w:r>
      <w:r w:rsidRPr="00F60E68">
        <w:rPr>
          <w:rFonts w:ascii="Times New Roman" w:hAnsi="Times New Roman" w:cs="Times New Roman"/>
          <w:bCs/>
          <w:sz w:val="24"/>
          <w:szCs w:val="24"/>
          <w:lang w:val="en-US"/>
        </w:rPr>
        <w:t>, São Paulo, SP, v. 39, p. 427-448, 2019.</w:t>
      </w:r>
    </w:p>
    <w:p w:rsidR="00933A91" w:rsidRPr="00F60E68" w:rsidRDefault="00933A91" w:rsidP="00933A91">
      <w:pPr>
        <w:spacing w:after="0" w:line="240" w:lineRule="auto"/>
        <w:jc w:val="both"/>
        <w:rPr>
          <w:rFonts w:ascii="Times New Roman" w:hAnsi="Times New Roman" w:cs="Times New Roman"/>
          <w:color w:val="326C99"/>
          <w:sz w:val="24"/>
          <w:szCs w:val="24"/>
          <w:shd w:val="clear" w:color="auto" w:fill="FFFFFF"/>
        </w:rPr>
      </w:pPr>
    </w:p>
    <w:p w:rsidR="00933A91" w:rsidRPr="00F60E68" w:rsidRDefault="00933A91" w:rsidP="00933A91">
      <w:pPr>
        <w:spacing w:after="0" w:line="240" w:lineRule="auto"/>
        <w:jc w:val="both"/>
        <w:rPr>
          <w:rFonts w:ascii="Times New Roman" w:hAnsi="Times New Roman" w:cs="Times New Roman"/>
          <w:sz w:val="24"/>
          <w:szCs w:val="24"/>
          <w:shd w:val="clear" w:color="auto" w:fill="FFFFFF"/>
        </w:rPr>
      </w:pPr>
      <w:bookmarkStart w:id="4" w:name="_Hlk87014006"/>
      <w:r w:rsidRPr="00F60E68">
        <w:rPr>
          <w:rFonts w:ascii="Times New Roman" w:hAnsi="Times New Roman" w:cs="Times New Roman"/>
          <w:sz w:val="24"/>
          <w:szCs w:val="24"/>
          <w:shd w:val="clear" w:color="auto" w:fill="FFFFFF"/>
        </w:rPr>
        <w:t xml:space="preserve">LOPES; MACEDO; MONTEIRO NETO. </w:t>
      </w:r>
      <w:r w:rsidRPr="00F60E68">
        <w:rPr>
          <w:rFonts w:ascii="Times New Roman" w:hAnsi="Times New Roman" w:cs="Times New Roman"/>
          <w:sz w:val="24"/>
          <w:szCs w:val="24"/>
        </w:rPr>
        <w:t xml:space="preserve">Propostas Recentes de Mudanças nos Fundos Constitucionais de Financiamento: em curso a desfiguração progressiva da Política Nacional de Desenvolvimento Regional (PNDR). </w:t>
      </w:r>
      <w:r w:rsidRPr="00F4330B">
        <w:rPr>
          <w:rFonts w:ascii="Times New Roman" w:hAnsi="Times New Roman" w:cs="Times New Roman"/>
          <w:b/>
          <w:bCs/>
          <w:sz w:val="24"/>
          <w:szCs w:val="24"/>
        </w:rPr>
        <w:t>Revista Brasileira de Gestão e Desenvolvimento Regional,</w:t>
      </w:r>
      <w:r w:rsidRPr="00F60E68">
        <w:rPr>
          <w:rFonts w:ascii="Times New Roman" w:hAnsi="Times New Roman" w:cs="Times New Roman"/>
          <w:sz w:val="24"/>
          <w:szCs w:val="24"/>
        </w:rPr>
        <w:t xml:space="preserve"> v.17, nº3</w:t>
      </w:r>
      <w:r>
        <w:rPr>
          <w:rFonts w:ascii="Times New Roman" w:hAnsi="Times New Roman" w:cs="Times New Roman"/>
          <w:sz w:val="24"/>
          <w:szCs w:val="24"/>
        </w:rPr>
        <w:t xml:space="preserve">, </w:t>
      </w:r>
      <w:r w:rsidRPr="00F60E68">
        <w:rPr>
          <w:rFonts w:ascii="Times New Roman" w:hAnsi="Times New Roman" w:cs="Times New Roman"/>
          <w:sz w:val="24"/>
          <w:szCs w:val="24"/>
        </w:rPr>
        <w:t>2021.</w:t>
      </w:r>
    </w:p>
    <w:bookmarkEnd w:id="4"/>
    <w:p w:rsidR="00933A91" w:rsidRDefault="00933A91" w:rsidP="00933A91">
      <w:pPr>
        <w:spacing w:after="0" w:line="240" w:lineRule="auto"/>
        <w:jc w:val="both"/>
        <w:rPr>
          <w:rFonts w:ascii="Times New Roman" w:hAnsi="Times New Roman" w:cs="Times New Roman"/>
          <w:sz w:val="24"/>
          <w:szCs w:val="24"/>
          <w:shd w:val="clear" w:color="auto" w:fill="FFFFFF"/>
        </w:rPr>
      </w:pPr>
    </w:p>
    <w:p w:rsidR="00933A91" w:rsidRPr="00F60E68" w:rsidRDefault="00933A91" w:rsidP="00933A91">
      <w:pPr>
        <w:spacing w:after="0" w:line="240" w:lineRule="auto"/>
        <w:jc w:val="both"/>
        <w:rPr>
          <w:rFonts w:ascii="Times New Roman" w:hAnsi="Times New Roman" w:cs="Times New Roman"/>
          <w:sz w:val="24"/>
          <w:szCs w:val="24"/>
          <w:shd w:val="clear" w:color="auto" w:fill="FFFFFF"/>
        </w:rPr>
      </w:pPr>
      <w:r w:rsidRPr="00F60E68">
        <w:rPr>
          <w:rFonts w:ascii="Times New Roman" w:hAnsi="Times New Roman" w:cs="Times New Roman"/>
          <w:sz w:val="24"/>
          <w:szCs w:val="24"/>
          <w:shd w:val="clear" w:color="auto" w:fill="FFFFFF"/>
        </w:rPr>
        <w:t xml:space="preserve">LOPREATO, Francisco. L. C. </w:t>
      </w:r>
      <w:r w:rsidRPr="00F60E68">
        <w:rPr>
          <w:rFonts w:ascii="Times New Roman" w:hAnsi="Times New Roman" w:cs="Times New Roman"/>
          <w:b/>
          <w:bCs/>
          <w:sz w:val="24"/>
          <w:szCs w:val="24"/>
          <w:shd w:val="clear" w:color="auto" w:fill="FFFFFF"/>
        </w:rPr>
        <w:t>Caminhos da política fiscal do Brasi</w:t>
      </w:r>
      <w:r w:rsidRPr="00F60E68">
        <w:rPr>
          <w:rFonts w:ascii="Times New Roman" w:hAnsi="Times New Roman" w:cs="Times New Roman"/>
          <w:sz w:val="24"/>
          <w:szCs w:val="24"/>
          <w:shd w:val="clear" w:color="auto" w:fill="FFFFFF"/>
        </w:rPr>
        <w:t>l. São Paul,SP: Unesp, 2013.</w:t>
      </w:r>
    </w:p>
    <w:p w:rsidR="00933A91" w:rsidRDefault="00933A91" w:rsidP="00933A91">
      <w:pPr>
        <w:spacing w:after="0" w:line="240" w:lineRule="auto"/>
        <w:jc w:val="both"/>
        <w:rPr>
          <w:rFonts w:ascii="Times New Roman" w:hAnsi="Times New Roman" w:cs="Times New Roman"/>
          <w:sz w:val="24"/>
          <w:szCs w:val="24"/>
        </w:rPr>
      </w:pPr>
      <w:r w:rsidRPr="00F90F46">
        <w:rPr>
          <w:rFonts w:ascii="Times New Roman" w:hAnsi="Times New Roman" w:cs="Times New Roman"/>
          <w:sz w:val="24"/>
          <w:szCs w:val="24"/>
        </w:rPr>
        <w:t> _______.</w:t>
      </w:r>
      <w:r w:rsidRPr="00F60E68">
        <w:rPr>
          <w:rFonts w:ascii="Times New Roman" w:hAnsi="Times New Roman" w:cs="Times New Roman"/>
          <w:sz w:val="24"/>
          <w:szCs w:val="24"/>
        </w:rPr>
        <w:t xml:space="preserve">Federalismo brasileiro: origem, evolução e desafios. </w:t>
      </w:r>
      <w:r w:rsidRPr="00F4330B">
        <w:rPr>
          <w:rFonts w:ascii="Times New Roman" w:hAnsi="Times New Roman" w:cs="Times New Roman"/>
          <w:b/>
          <w:bCs/>
          <w:sz w:val="24"/>
          <w:szCs w:val="24"/>
        </w:rPr>
        <w:t xml:space="preserve">Texto para Discussão </w:t>
      </w:r>
      <w:r w:rsidRPr="00F60E68">
        <w:rPr>
          <w:rFonts w:ascii="Times New Roman" w:hAnsi="Times New Roman" w:cs="Times New Roman"/>
          <w:sz w:val="24"/>
          <w:szCs w:val="24"/>
        </w:rPr>
        <w:t xml:space="preserve">n.388. </w:t>
      </w:r>
      <w:r w:rsidRPr="00F90F46">
        <w:rPr>
          <w:rFonts w:ascii="Times New Roman" w:hAnsi="Times New Roman" w:cs="Times New Roman"/>
          <w:sz w:val="24"/>
          <w:szCs w:val="24"/>
        </w:rPr>
        <w:t>Instituto de Economia. Universidade Estadual de Campinas, Campinas, SP, 2020</w:t>
      </w:r>
      <w:r w:rsidRPr="00F60E68">
        <w:rPr>
          <w:rFonts w:ascii="Times New Roman" w:hAnsi="Times New Roman" w:cs="Times New Roman"/>
          <w:sz w:val="24"/>
          <w:szCs w:val="24"/>
        </w:rPr>
        <w:t>.</w:t>
      </w:r>
    </w:p>
    <w:p w:rsidR="00933A91" w:rsidRPr="00F60E68" w:rsidRDefault="00933A91" w:rsidP="00933A91">
      <w:pPr>
        <w:spacing w:after="0" w:line="240" w:lineRule="auto"/>
        <w:jc w:val="both"/>
        <w:rPr>
          <w:rFonts w:ascii="Times New Roman" w:hAnsi="Times New Roman" w:cs="Times New Roman"/>
          <w:sz w:val="24"/>
          <w:szCs w:val="24"/>
        </w:rPr>
      </w:pPr>
    </w:p>
    <w:p w:rsidR="00933A91" w:rsidRPr="00F60E68" w:rsidRDefault="00933A91" w:rsidP="00933A91">
      <w:pPr>
        <w:pStyle w:val="ParaAttribute6"/>
        <w:spacing w:after="0"/>
        <w:rPr>
          <w:rFonts w:eastAsiaTheme="minorHAnsi"/>
          <w:sz w:val="24"/>
          <w:szCs w:val="24"/>
          <w:lang w:eastAsia="en-US"/>
        </w:rPr>
      </w:pPr>
      <w:r w:rsidRPr="00F60E68">
        <w:rPr>
          <w:rFonts w:eastAsiaTheme="minorHAnsi"/>
          <w:sz w:val="24"/>
          <w:szCs w:val="24"/>
          <w:lang w:eastAsia="en-US"/>
        </w:rPr>
        <w:t>MACEDO, F. C. de.Inserção externa e território</w:t>
      </w:r>
      <w:r w:rsidRPr="00F60E68">
        <w:rPr>
          <w:rFonts w:eastAsiaTheme="minorHAnsi"/>
          <w:b/>
          <w:sz w:val="24"/>
          <w:szCs w:val="24"/>
          <w:lang w:eastAsia="en-US"/>
        </w:rPr>
        <w:t>:</w:t>
      </w:r>
      <w:r w:rsidRPr="00F60E68">
        <w:rPr>
          <w:rFonts w:eastAsiaTheme="minorHAnsi"/>
          <w:sz w:val="24"/>
          <w:szCs w:val="24"/>
          <w:lang w:eastAsia="en-US"/>
        </w:rPr>
        <w:t xml:space="preserve"> impactos do comércio exterior na dinâmica regional e urbana no Brasil (1989-2008) </w:t>
      </w:r>
      <w:r w:rsidRPr="00F60E68">
        <w:rPr>
          <w:rFonts w:eastAsiaTheme="minorHAnsi"/>
          <w:b/>
          <w:sz w:val="24"/>
          <w:szCs w:val="24"/>
          <w:lang w:eastAsia="en-US"/>
        </w:rPr>
        <w:t xml:space="preserve">(Tese de Livre-docência). </w:t>
      </w:r>
      <w:r w:rsidRPr="00F60E68">
        <w:rPr>
          <w:rFonts w:eastAsiaTheme="minorHAnsi"/>
          <w:sz w:val="24"/>
          <w:szCs w:val="24"/>
          <w:lang w:eastAsia="en-US"/>
        </w:rPr>
        <w:t xml:space="preserve">Campinas: IE/Unicamp, 2010.  </w:t>
      </w:r>
    </w:p>
    <w:p w:rsidR="00933A91" w:rsidRPr="00F60E68" w:rsidRDefault="00933A91" w:rsidP="00933A91">
      <w:pPr>
        <w:pStyle w:val="ParaAttribute6"/>
        <w:spacing w:after="0"/>
        <w:rPr>
          <w:rFonts w:eastAsiaTheme="minorHAnsi"/>
          <w:sz w:val="24"/>
          <w:szCs w:val="24"/>
          <w:lang w:eastAsia="en-US"/>
        </w:rPr>
      </w:pPr>
      <w:r w:rsidRPr="00F60E68">
        <w:rPr>
          <w:sz w:val="24"/>
          <w:szCs w:val="24"/>
        </w:rPr>
        <w:t xml:space="preserve">_______.Transformação econômica, inserção externa e dinâmica territorial no Centro-Oeste brasileiro: o caso de Rio Verde. </w:t>
      </w:r>
      <w:r w:rsidRPr="00F60E68">
        <w:rPr>
          <w:b/>
          <w:bCs/>
          <w:sz w:val="24"/>
          <w:szCs w:val="24"/>
        </w:rPr>
        <w:t>Sociedade &amp; Natureza</w:t>
      </w:r>
      <w:r w:rsidRPr="00F60E68">
        <w:rPr>
          <w:sz w:val="24"/>
          <w:szCs w:val="24"/>
        </w:rPr>
        <w:t>, v. 25, p. 35-50, 2013.</w:t>
      </w:r>
    </w:p>
    <w:p w:rsidR="00933A91" w:rsidRDefault="00933A91" w:rsidP="00933A91">
      <w:pPr>
        <w:spacing w:after="0" w:line="240" w:lineRule="auto"/>
        <w:jc w:val="both"/>
        <w:rPr>
          <w:rFonts w:ascii="Times New Roman" w:hAnsi="Times New Roman" w:cs="Times New Roman"/>
          <w:sz w:val="24"/>
          <w:szCs w:val="24"/>
        </w:rPr>
      </w:pPr>
      <w:r w:rsidRPr="00F60E68">
        <w:rPr>
          <w:rFonts w:ascii="Times New Roman" w:hAnsi="Times New Roman" w:cs="Times New Roman"/>
          <w:sz w:val="24"/>
          <w:szCs w:val="24"/>
        </w:rPr>
        <w:t>_______. Economia, Transformações Territoriais e Infraestrutura no Brasil.</w:t>
      </w:r>
      <w:r w:rsidRPr="00F60E68">
        <w:rPr>
          <w:rFonts w:ascii="Times New Roman" w:hAnsi="Times New Roman" w:cs="Times New Roman"/>
          <w:b/>
          <w:bCs/>
          <w:sz w:val="24"/>
          <w:szCs w:val="24"/>
        </w:rPr>
        <w:t>Conjuntura&amp; Planejamento</w:t>
      </w:r>
      <w:r w:rsidRPr="00F60E68">
        <w:rPr>
          <w:rFonts w:ascii="Times New Roman" w:hAnsi="Times New Roman" w:cs="Times New Roman"/>
          <w:sz w:val="24"/>
          <w:szCs w:val="24"/>
        </w:rPr>
        <w:t>, v. 1, p. 43-52, 2015</w:t>
      </w:r>
      <w:r>
        <w:rPr>
          <w:rFonts w:ascii="Times New Roman" w:hAnsi="Times New Roman" w:cs="Times New Roman"/>
          <w:sz w:val="24"/>
          <w:szCs w:val="24"/>
        </w:rPr>
        <w:t>.</w:t>
      </w:r>
    </w:p>
    <w:p w:rsidR="00933A91" w:rsidRDefault="00933A91" w:rsidP="00933A91">
      <w:pPr>
        <w:spacing w:after="0" w:line="240" w:lineRule="auto"/>
        <w:jc w:val="both"/>
        <w:rPr>
          <w:rFonts w:ascii="Times New Roman" w:hAnsi="Times New Roman" w:cs="Times New Roman"/>
          <w:sz w:val="24"/>
          <w:szCs w:val="24"/>
          <w:shd w:val="clear" w:color="auto" w:fill="FFFFFF"/>
        </w:rPr>
      </w:pPr>
    </w:p>
    <w:p w:rsidR="00933A91" w:rsidRPr="00F60E68" w:rsidRDefault="00933A91" w:rsidP="00933A91">
      <w:pPr>
        <w:spacing w:after="0" w:line="240" w:lineRule="auto"/>
        <w:jc w:val="both"/>
        <w:rPr>
          <w:rFonts w:ascii="Times New Roman" w:hAnsi="Times New Roman" w:cs="Times New Roman"/>
          <w:sz w:val="24"/>
          <w:szCs w:val="24"/>
          <w:shd w:val="clear" w:color="auto" w:fill="FFFFFF"/>
        </w:rPr>
      </w:pPr>
      <w:r w:rsidRPr="00F60E68">
        <w:rPr>
          <w:rFonts w:ascii="Times New Roman" w:hAnsi="Times New Roman" w:cs="Times New Roman"/>
          <w:sz w:val="24"/>
          <w:szCs w:val="24"/>
          <w:shd w:val="clear" w:color="auto" w:fill="FFFFFF"/>
        </w:rPr>
        <w:t xml:space="preserve">MARICATO, Ermínia. T. M. Globalização e política urbana na periferia do capitalismo. In: RIBEIRO, Luiz. C. Q; SANTOS JÚNIOR, Orlando. A (orgs). </w:t>
      </w:r>
      <w:r w:rsidRPr="00F60E68">
        <w:rPr>
          <w:rFonts w:ascii="Times New Roman" w:hAnsi="Times New Roman" w:cs="Times New Roman"/>
          <w:b/>
          <w:bCs/>
          <w:sz w:val="24"/>
          <w:szCs w:val="24"/>
          <w:shd w:val="clear" w:color="auto" w:fill="FFFFFF"/>
        </w:rPr>
        <w:t>As Metrópoles e a Questão Social Brasileira,</w:t>
      </w:r>
      <w:r w:rsidRPr="00F60E68">
        <w:rPr>
          <w:rFonts w:ascii="Times New Roman" w:hAnsi="Times New Roman" w:cs="Times New Roman"/>
          <w:sz w:val="24"/>
          <w:szCs w:val="24"/>
          <w:shd w:val="clear" w:color="auto" w:fill="FFFFFF"/>
        </w:rPr>
        <w:t xml:space="preserve"> 340. Rio de Janeiro, RJ: Revan, 2007.</w:t>
      </w:r>
    </w:p>
    <w:p w:rsidR="00933A91" w:rsidRDefault="00933A91" w:rsidP="00933A91">
      <w:pPr>
        <w:spacing w:after="0" w:line="240" w:lineRule="auto"/>
        <w:jc w:val="both"/>
        <w:rPr>
          <w:rFonts w:ascii="Times New Roman" w:hAnsi="Times New Roman" w:cs="Times New Roman"/>
          <w:sz w:val="24"/>
          <w:szCs w:val="24"/>
        </w:rPr>
      </w:pPr>
    </w:p>
    <w:p w:rsidR="00933A91" w:rsidRDefault="00933A91" w:rsidP="00933A91">
      <w:pPr>
        <w:spacing w:after="0" w:line="240" w:lineRule="auto"/>
        <w:jc w:val="both"/>
        <w:rPr>
          <w:rFonts w:ascii="Times New Roman" w:hAnsi="Times New Roman" w:cs="Times New Roman"/>
          <w:sz w:val="24"/>
          <w:szCs w:val="24"/>
          <w:shd w:val="clear" w:color="auto" w:fill="FFFFFF"/>
        </w:rPr>
      </w:pPr>
      <w:r w:rsidRPr="00F90F46">
        <w:rPr>
          <w:rFonts w:ascii="Times New Roman" w:hAnsi="Times New Roman" w:cs="Times New Roman"/>
          <w:sz w:val="24"/>
          <w:szCs w:val="24"/>
          <w:shd w:val="clear" w:color="auto" w:fill="FFFFFF"/>
        </w:rPr>
        <w:t xml:space="preserve">MORCEIRO, P. C. A indústria brasileira no limiar do século XXI: uma análise de sua evolução estrutural, comercial e tecnológica. 216p. </w:t>
      </w:r>
      <w:r w:rsidRPr="00F90F46">
        <w:rPr>
          <w:rFonts w:ascii="Times New Roman" w:hAnsi="Times New Roman" w:cs="Times New Roman"/>
          <w:b/>
          <w:sz w:val="24"/>
          <w:szCs w:val="24"/>
          <w:shd w:val="clear" w:color="auto" w:fill="FFFFFF"/>
        </w:rPr>
        <w:t>Tese (Doutorado em Economia)</w:t>
      </w:r>
      <w:r w:rsidRPr="00F90F46">
        <w:rPr>
          <w:rFonts w:ascii="Times New Roman" w:hAnsi="Times New Roman" w:cs="Times New Roman"/>
          <w:sz w:val="24"/>
          <w:szCs w:val="24"/>
          <w:shd w:val="clear" w:color="auto" w:fill="FFFFFF"/>
        </w:rPr>
        <w:t xml:space="preserve"> — Faculdade de Economia, Administração e Contabilidade/USP. 2018.</w:t>
      </w:r>
    </w:p>
    <w:p w:rsidR="00933A91" w:rsidRDefault="00933A91" w:rsidP="00933A91">
      <w:pPr>
        <w:spacing w:after="0" w:line="240" w:lineRule="auto"/>
        <w:jc w:val="both"/>
        <w:rPr>
          <w:rFonts w:ascii="Times New Roman" w:hAnsi="Times New Roman" w:cs="Times New Roman"/>
          <w:sz w:val="24"/>
          <w:szCs w:val="24"/>
          <w:shd w:val="clear" w:color="auto" w:fill="FFFFFF"/>
        </w:rPr>
      </w:pPr>
    </w:p>
    <w:p w:rsidR="00933A91" w:rsidRDefault="00933A91" w:rsidP="00933A91">
      <w:pPr>
        <w:spacing w:after="0" w:line="240" w:lineRule="auto"/>
        <w:jc w:val="both"/>
        <w:rPr>
          <w:rFonts w:ascii="Times New Roman" w:hAnsi="Times New Roman" w:cs="Times New Roman"/>
          <w:sz w:val="24"/>
          <w:szCs w:val="24"/>
          <w:shd w:val="clear" w:color="auto" w:fill="FFFFFF"/>
        </w:rPr>
      </w:pPr>
      <w:bookmarkStart w:id="5" w:name="_Hlk86943986"/>
      <w:r w:rsidRPr="00F60E68">
        <w:rPr>
          <w:rFonts w:ascii="Times New Roman" w:hAnsi="Times New Roman" w:cs="Times New Roman"/>
          <w:sz w:val="24"/>
          <w:szCs w:val="24"/>
          <w:shd w:val="clear" w:color="auto" w:fill="FFFFFF"/>
        </w:rPr>
        <w:t xml:space="preserve">MONTEIRO NETO, A. Políticas de desenvolvimento, território e pacto federativo: avanços e limitações no quadro atual (2000/2012). </w:t>
      </w:r>
      <w:r w:rsidRPr="00F60E68">
        <w:rPr>
          <w:rFonts w:ascii="Times New Roman" w:hAnsi="Times New Roman" w:cs="Times New Roman"/>
          <w:b/>
          <w:sz w:val="24"/>
          <w:szCs w:val="24"/>
          <w:shd w:val="clear" w:color="auto" w:fill="FFFFFF"/>
        </w:rPr>
        <w:t>Revista Política e Planejamento Regional,</w:t>
      </w:r>
      <w:r w:rsidRPr="00F60E68">
        <w:rPr>
          <w:rFonts w:ascii="Times New Roman" w:hAnsi="Times New Roman" w:cs="Times New Roman"/>
          <w:sz w:val="24"/>
          <w:szCs w:val="24"/>
          <w:shd w:val="clear" w:color="auto" w:fill="FFFFFF"/>
        </w:rPr>
        <w:t xml:space="preserve"> v. 2, n. 1, p. 19-38, 2015.</w:t>
      </w:r>
    </w:p>
    <w:p w:rsidR="00933A91" w:rsidRDefault="00933A91" w:rsidP="00933A91">
      <w:pPr>
        <w:spacing w:after="0" w:line="240" w:lineRule="auto"/>
        <w:jc w:val="both"/>
        <w:rPr>
          <w:rFonts w:ascii="Times New Roman" w:hAnsi="Times New Roman" w:cs="Times New Roman"/>
          <w:sz w:val="24"/>
          <w:szCs w:val="24"/>
          <w:shd w:val="clear" w:color="auto" w:fill="FFFFFF"/>
        </w:rPr>
      </w:pPr>
    </w:p>
    <w:p w:rsidR="00933A91" w:rsidRDefault="00933A91" w:rsidP="00933A91">
      <w:pPr>
        <w:spacing w:after="0" w:line="240" w:lineRule="auto"/>
        <w:jc w:val="both"/>
        <w:rPr>
          <w:rFonts w:ascii="Times New Roman" w:hAnsi="Times New Roman" w:cs="Times New Roman"/>
          <w:color w:val="000000"/>
          <w:sz w:val="24"/>
          <w:szCs w:val="24"/>
          <w:shd w:val="clear" w:color="auto" w:fill="FFFFFF"/>
        </w:rPr>
      </w:pPr>
      <w:r w:rsidRPr="00F90F46">
        <w:rPr>
          <w:rFonts w:ascii="Times New Roman" w:hAnsi="Times New Roman" w:cs="Times New Roman"/>
          <w:color w:val="000000"/>
          <w:sz w:val="24"/>
          <w:szCs w:val="24"/>
          <w:shd w:val="clear" w:color="auto" w:fill="FFFFFF"/>
        </w:rPr>
        <w:t xml:space="preserve">OLIVEIRA, Cristiana. C. Avaliação dos Impactos da Mudança na Metodologia de Cálculo da Taxa de Juros do FNE. </w:t>
      </w:r>
      <w:r w:rsidRPr="00826481">
        <w:rPr>
          <w:rFonts w:ascii="Times New Roman" w:hAnsi="Times New Roman" w:cs="Times New Roman"/>
          <w:b/>
          <w:bCs/>
          <w:color w:val="000000"/>
          <w:sz w:val="24"/>
          <w:szCs w:val="24"/>
          <w:shd w:val="clear" w:color="auto" w:fill="FFFFFF"/>
        </w:rPr>
        <w:t>Dissertação em Economia</w:t>
      </w:r>
      <w:r w:rsidRPr="00F90F46">
        <w:rPr>
          <w:rFonts w:ascii="Times New Roman" w:hAnsi="Times New Roman" w:cs="Times New Roman"/>
          <w:color w:val="000000"/>
          <w:sz w:val="24"/>
          <w:szCs w:val="24"/>
          <w:shd w:val="clear" w:color="auto" w:fill="FFFFFF"/>
        </w:rPr>
        <w:t xml:space="preserve">- Programa de Economia Profissional, Universidade Federal do Ceará, Fortaleza/CE, 2021. </w:t>
      </w:r>
    </w:p>
    <w:p w:rsidR="00933A91" w:rsidRDefault="00933A91" w:rsidP="00933A91">
      <w:pPr>
        <w:pStyle w:val="PargrafodaLista"/>
        <w:spacing w:after="0" w:line="240" w:lineRule="auto"/>
        <w:ind w:left="0" w:hanging="425"/>
        <w:contextualSpacing w:val="0"/>
        <w:jc w:val="both"/>
        <w:rPr>
          <w:rFonts w:ascii="Times New Roman" w:hAnsi="Times New Roman" w:cs="Times New Roman"/>
          <w:sz w:val="24"/>
          <w:szCs w:val="24"/>
        </w:rPr>
      </w:pPr>
      <w:r>
        <w:rPr>
          <w:rFonts w:ascii="Times New Roman" w:hAnsi="Times New Roman" w:cs="Times New Roman"/>
          <w:sz w:val="24"/>
          <w:szCs w:val="24"/>
        </w:rPr>
        <w:tab/>
      </w:r>
    </w:p>
    <w:p w:rsidR="00933A91" w:rsidRPr="00F60E68" w:rsidRDefault="00933A91" w:rsidP="00933A91">
      <w:pPr>
        <w:pStyle w:val="PargrafodaLista"/>
        <w:spacing w:after="0" w:line="240" w:lineRule="auto"/>
        <w:ind w:left="0" w:hanging="425"/>
        <w:contextualSpacing w:val="0"/>
        <w:jc w:val="both"/>
        <w:rPr>
          <w:rFonts w:ascii="Times New Roman" w:hAnsi="Times New Roman" w:cs="Times New Roman"/>
          <w:sz w:val="24"/>
          <w:szCs w:val="24"/>
        </w:rPr>
      </w:pPr>
      <w:r>
        <w:rPr>
          <w:rFonts w:ascii="Times New Roman" w:hAnsi="Times New Roman" w:cs="Times New Roman"/>
          <w:sz w:val="24"/>
          <w:szCs w:val="24"/>
        </w:rPr>
        <w:tab/>
      </w:r>
      <w:hyperlink r:id="rId17" w:tgtFrame="_blank" w:history="1">
        <w:r w:rsidRPr="00F60E68">
          <w:rPr>
            <w:rFonts w:ascii="Times New Roman" w:hAnsi="Times New Roman" w:cs="Times New Roman"/>
            <w:sz w:val="24"/>
            <w:szCs w:val="24"/>
          </w:rPr>
          <w:t>OREIRO, José. L. C.</w:t>
        </w:r>
      </w:hyperlink>
      <w:r w:rsidRPr="00F60E68">
        <w:rPr>
          <w:rFonts w:ascii="Times New Roman" w:hAnsi="Times New Roman" w:cs="Times New Roman"/>
          <w:sz w:val="24"/>
          <w:szCs w:val="24"/>
        </w:rPr>
        <w:t xml:space="preserve">; PAULA, Luiz. F. de.  </w:t>
      </w:r>
      <w:r w:rsidRPr="00F60E68">
        <w:rPr>
          <w:rFonts w:ascii="Times New Roman" w:hAnsi="Times New Roman" w:cs="Times New Roman"/>
          <w:b/>
          <w:bCs/>
          <w:sz w:val="24"/>
          <w:szCs w:val="24"/>
        </w:rPr>
        <w:t>Macroeconomia da Estagnação Brasileira</w:t>
      </w:r>
      <w:r w:rsidRPr="00F60E68">
        <w:rPr>
          <w:rFonts w:ascii="Times New Roman" w:hAnsi="Times New Roman" w:cs="Times New Roman"/>
          <w:sz w:val="24"/>
          <w:szCs w:val="24"/>
        </w:rPr>
        <w:t>. Rio de Janeiro, RJ: Alta Books, 2021</w:t>
      </w:r>
      <w:r>
        <w:rPr>
          <w:rFonts w:ascii="Times New Roman" w:hAnsi="Times New Roman" w:cs="Times New Roman"/>
          <w:sz w:val="24"/>
          <w:szCs w:val="24"/>
        </w:rPr>
        <w:t>.</w:t>
      </w:r>
      <w:bookmarkEnd w:id="5"/>
    </w:p>
    <w:p w:rsidR="00933A91" w:rsidRDefault="00933A91" w:rsidP="00933A91">
      <w:pPr>
        <w:spacing w:after="0" w:line="240" w:lineRule="auto"/>
        <w:jc w:val="both"/>
        <w:rPr>
          <w:rFonts w:ascii="Times New Roman" w:hAnsi="Times New Roman" w:cs="Times New Roman"/>
          <w:sz w:val="24"/>
          <w:szCs w:val="24"/>
        </w:rPr>
      </w:pPr>
      <w:r w:rsidRPr="00F60E68">
        <w:rPr>
          <w:rFonts w:ascii="Times New Roman" w:hAnsi="Times New Roman" w:cs="Times New Roman"/>
          <w:sz w:val="24"/>
          <w:szCs w:val="24"/>
        </w:rPr>
        <w:t xml:space="preserve">PACHECO, Carlos Américo. Desconcentração econômica e fragmentação da economia nacional. </w:t>
      </w:r>
      <w:r w:rsidRPr="00F60E68">
        <w:rPr>
          <w:rFonts w:ascii="Times New Roman" w:hAnsi="Times New Roman" w:cs="Times New Roman"/>
          <w:b/>
          <w:sz w:val="24"/>
          <w:szCs w:val="24"/>
        </w:rPr>
        <w:t>Economia e Sociedade</w:t>
      </w:r>
      <w:r w:rsidRPr="00F60E68">
        <w:rPr>
          <w:rFonts w:ascii="Times New Roman" w:hAnsi="Times New Roman" w:cs="Times New Roman"/>
          <w:sz w:val="24"/>
          <w:szCs w:val="24"/>
        </w:rPr>
        <w:t xml:space="preserve">, n. 6, p. 113-40. Campinas, 1996.   </w:t>
      </w:r>
    </w:p>
    <w:p w:rsidR="00933A91" w:rsidRPr="00F60E68" w:rsidRDefault="00933A91" w:rsidP="00933A91">
      <w:pPr>
        <w:spacing w:after="0" w:line="240" w:lineRule="auto"/>
        <w:jc w:val="both"/>
        <w:rPr>
          <w:rFonts w:ascii="Times New Roman" w:hAnsi="Times New Roman" w:cs="Times New Roman"/>
          <w:sz w:val="24"/>
          <w:szCs w:val="24"/>
        </w:rPr>
      </w:pPr>
    </w:p>
    <w:p w:rsidR="00933A91" w:rsidRPr="00F60E68" w:rsidRDefault="00933A91" w:rsidP="00933A91">
      <w:pPr>
        <w:shd w:val="clear" w:color="auto" w:fill="FFFFFF"/>
        <w:spacing w:after="0" w:line="240" w:lineRule="auto"/>
        <w:jc w:val="both"/>
        <w:rPr>
          <w:rFonts w:ascii="Times New Roman" w:hAnsi="Times New Roman" w:cs="Times New Roman"/>
          <w:sz w:val="24"/>
          <w:szCs w:val="24"/>
          <w:shd w:val="clear" w:color="auto" w:fill="FFFFFF"/>
        </w:rPr>
      </w:pPr>
      <w:r w:rsidRPr="00F60E68">
        <w:rPr>
          <w:rFonts w:ascii="Times New Roman" w:hAnsi="Times New Roman" w:cs="Times New Roman"/>
          <w:sz w:val="24"/>
          <w:szCs w:val="24"/>
          <w:lang w:val="en-US"/>
        </w:rPr>
        <w:t xml:space="preserve">PALMA, José. G. Flying geese and waddling ducks: the different capabilities of East Asia and Latin America to ‘demand-adapt’ and ‘supply-upgrade’ their export productive capacity.  In: </w:t>
      </w:r>
      <w:r w:rsidRPr="00F60E68">
        <w:rPr>
          <w:rFonts w:ascii="Times New Roman" w:hAnsi="Times New Roman" w:cs="Times New Roman"/>
          <w:b/>
          <w:bCs/>
          <w:sz w:val="24"/>
          <w:szCs w:val="24"/>
          <w:lang w:val="en-US"/>
        </w:rPr>
        <w:t>Industrial policy and development: the political economy of capabilities accumulation</w:t>
      </w:r>
      <w:r w:rsidRPr="00F60E68">
        <w:rPr>
          <w:rFonts w:ascii="Times New Roman" w:hAnsi="Times New Roman" w:cs="Times New Roman"/>
          <w:sz w:val="24"/>
          <w:szCs w:val="24"/>
          <w:lang w:val="en-US"/>
        </w:rPr>
        <w:t xml:space="preserve">. </w:t>
      </w:r>
      <w:r w:rsidRPr="00F60E68">
        <w:rPr>
          <w:rFonts w:ascii="Times New Roman" w:hAnsi="Times New Roman" w:cs="Times New Roman"/>
          <w:sz w:val="24"/>
          <w:szCs w:val="24"/>
        </w:rPr>
        <w:t>CIMOLI, M.; DOSI, G.; STIGLITZ, J. (Eds.), Oxford. 2009.</w:t>
      </w:r>
    </w:p>
    <w:p w:rsidR="00933A91" w:rsidRPr="00F60E68" w:rsidRDefault="00933A91" w:rsidP="00933A91">
      <w:pPr>
        <w:spacing w:after="0" w:line="240" w:lineRule="auto"/>
        <w:jc w:val="both"/>
        <w:rPr>
          <w:rFonts w:ascii="Times New Roman" w:hAnsi="Times New Roman" w:cs="Times New Roman"/>
          <w:color w:val="326C99"/>
          <w:sz w:val="24"/>
          <w:szCs w:val="24"/>
          <w:shd w:val="clear" w:color="auto" w:fill="FFFFFF"/>
        </w:rPr>
      </w:pPr>
    </w:p>
    <w:p w:rsidR="00933A91" w:rsidRPr="00F60E68" w:rsidRDefault="00933A91" w:rsidP="00933A91">
      <w:pPr>
        <w:spacing w:after="0" w:line="240" w:lineRule="auto"/>
        <w:jc w:val="both"/>
        <w:rPr>
          <w:rFonts w:ascii="Times New Roman" w:hAnsi="Times New Roman" w:cs="Times New Roman"/>
          <w:sz w:val="24"/>
          <w:szCs w:val="24"/>
          <w:shd w:val="clear" w:color="auto" w:fill="FFFFFF"/>
        </w:rPr>
      </w:pPr>
      <w:r w:rsidRPr="00F60E68">
        <w:rPr>
          <w:rFonts w:ascii="Times New Roman" w:hAnsi="Times New Roman" w:cs="Times New Roman"/>
          <w:sz w:val="24"/>
          <w:szCs w:val="24"/>
          <w:shd w:val="clear" w:color="auto" w:fill="FFFFFF"/>
        </w:rPr>
        <w:t xml:space="preserve">PORTUGAL, R.; SILVA, S. A. </w:t>
      </w:r>
      <w:r w:rsidRPr="00F60E68">
        <w:rPr>
          <w:rFonts w:ascii="Times New Roman" w:hAnsi="Times New Roman" w:cs="Times New Roman"/>
          <w:b/>
          <w:sz w:val="24"/>
          <w:szCs w:val="24"/>
          <w:shd w:val="clear" w:color="auto" w:fill="FFFFFF"/>
        </w:rPr>
        <w:t>História das Políticas Regionais no Brasil</w:t>
      </w:r>
      <w:r w:rsidRPr="00F60E68">
        <w:rPr>
          <w:rFonts w:ascii="Times New Roman" w:hAnsi="Times New Roman" w:cs="Times New Roman"/>
          <w:sz w:val="24"/>
          <w:szCs w:val="24"/>
          <w:shd w:val="clear" w:color="auto" w:fill="FFFFFF"/>
        </w:rPr>
        <w:t>. Instituto de Pesquisa Econômica Aplicada – IPEA. Brasília, 2020</w:t>
      </w:r>
      <w:r>
        <w:rPr>
          <w:rFonts w:ascii="Times New Roman" w:hAnsi="Times New Roman" w:cs="Times New Roman"/>
          <w:sz w:val="24"/>
          <w:szCs w:val="24"/>
          <w:shd w:val="clear" w:color="auto" w:fill="FFFFFF"/>
        </w:rPr>
        <w:t>.</w:t>
      </w:r>
    </w:p>
    <w:p w:rsidR="00933A91" w:rsidRDefault="00933A91" w:rsidP="00933A91">
      <w:pPr>
        <w:spacing w:after="0" w:line="240" w:lineRule="auto"/>
      </w:pPr>
    </w:p>
    <w:p w:rsidR="00933A91" w:rsidRPr="00F60E68" w:rsidRDefault="00933A91" w:rsidP="00933A91">
      <w:pPr>
        <w:spacing w:after="0" w:line="240" w:lineRule="auto"/>
        <w:jc w:val="both"/>
        <w:rPr>
          <w:rFonts w:ascii="Times New Roman" w:hAnsi="Times New Roman" w:cs="Times New Roman"/>
          <w:sz w:val="24"/>
          <w:szCs w:val="24"/>
          <w:shd w:val="clear" w:color="auto" w:fill="FFFFFF"/>
        </w:rPr>
      </w:pPr>
      <w:r w:rsidRPr="00F60E68">
        <w:rPr>
          <w:rFonts w:ascii="Times New Roman" w:hAnsi="Times New Roman" w:cs="Times New Roman"/>
          <w:sz w:val="24"/>
          <w:szCs w:val="24"/>
          <w:shd w:val="clear" w:color="auto" w:fill="FFFFFF"/>
        </w:rPr>
        <w:t xml:space="preserve">SAMPAIO, D. P. Desindustrialização e estruturas produtivas regionais no Brasil. 2015. </w:t>
      </w:r>
      <w:r w:rsidRPr="00F60E68">
        <w:rPr>
          <w:rFonts w:ascii="Times New Roman" w:hAnsi="Times New Roman" w:cs="Times New Roman"/>
          <w:b/>
          <w:sz w:val="24"/>
          <w:szCs w:val="24"/>
          <w:shd w:val="clear" w:color="auto" w:fill="FFFFFF"/>
        </w:rPr>
        <w:t>Tese (Doutorado em Desenvolvimento Econômico).</w:t>
      </w:r>
      <w:r w:rsidRPr="00F60E68">
        <w:rPr>
          <w:rFonts w:ascii="Times New Roman" w:hAnsi="Times New Roman" w:cs="Times New Roman"/>
          <w:sz w:val="24"/>
          <w:szCs w:val="24"/>
          <w:shd w:val="clear" w:color="auto" w:fill="FFFFFF"/>
        </w:rPr>
        <w:t xml:space="preserve"> Campinas: Instituto de Economia/Unicamp, 2015.</w:t>
      </w:r>
    </w:p>
    <w:p w:rsidR="00933A91" w:rsidRDefault="00933A91" w:rsidP="00933A91">
      <w:pPr>
        <w:spacing w:after="0" w:line="240" w:lineRule="auto"/>
      </w:pPr>
    </w:p>
    <w:p w:rsidR="00933A91" w:rsidRPr="00F60E68" w:rsidRDefault="00933A91" w:rsidP="00933A91">
      <w:pPr>
        <w:spacing w:after="0" w:line="240" w:lineRule="auto"/>
        <w:jc w:val="both"/>
        <w:rPr>
          <w:rFonts w:ascii="Times New Roman" w:hAnsi="Times New Roman" w:cs="Times New Roman"/>
          <w:sz w:val="24"/>
          <w:szCs w:val="24"/>
          <w:shd w:val="clear" w:color="auto" w:fill="FFFFFF"/>
        </w:rPr>
      </w:pPr>
      <w:r w:rsidRPr="00F60E68">
        <w:rPr>
          <w:rFonts w:ascii="Times New Roman" w:hAnsi="Times New Roman" w:cs="Times New Roman"/>
          <w:sz w:val="24"/>
          <w:szCs w:val="24"/>
        </w:rPr>
        <w:t xml:space="preserve">SANTOS, Milton. </w:t>
      </w:r>
      <w:r w:rsidRPr="00F60E68">
        <w:rPr>
          <w:rFonts w:ascii="Times New Roman" w:hAnsi="Times New Roman" w:cs="Times New Roman"/>
          <w:b/>
          <w:bCs/>
          <w:sz w:val="24"/>
          <w:szCs w:val="24"/>
        </w:rPr>
        <w:t>A urbanização brasileira.</w:t>
      </w:r>
      <w:r w:rsidRPr="00F60E68">
        <w:rPr>
          <w:rFonts w:ascii="Times New Roman" w:hAnsi="Times New Roman" w:cs="Times New Roman"/>
          <w:sz w:val="24"/>
          <w:szCs w:val="24"/>
        </w:rPr>
        <w:t xml:space="preserve"> 5. ed. São Paulo, SP: Edusp, 2013.</w:t>
      </w:r>
    </w:p>
    <w:p w:rsidR="00933A91" w:rsidRDefault="00933A91" w:rsidP="00933A91">
      <w:pPr>
        <w:spacing w:after="0" w:line="240" w:lineRule="auto"/>
      </w:pPr>
    </w:p>
    <w:p w:rsidR="00933A91" w:rsidRPr="00F90F46" w:rsidRDefault="00933A91" w:rsidP="00933A91">
      <w:pPr>
        <w:spacing w:after="0" w:line="240" w:lineRule="auto"/>
        <w:jc w:val="both"/>
        <w:rPr>
          <w:rFonts w:ascii="Times New Roman" w:hAnsi="Times New Roman" w:cs="Times New Roman"/>
          <w:color w:val="000000"/>
          <w:sz w:val="24"/>
          <w:szCs w:val="24"/>
          <w:shd w:val="clear" w:color="auto" w:fill="FFFFFF"/>
        </w:rPr>
      </w:pPr>
      <w:r w:rsidRPr="00F90F46">
        <w:rPr>
          <w:rFonts w:ascii="Times New Roman" w:hAnsi="Times New Roman" w:cs="Times New Roman"/>
          <w:color w:val="000000"/>
          <w:sz w:val="24"/>
          <w:szCs w:val="24"/>
          <w:shd w:val="clear" w:color="auto" w:fill="FFFFFF"/>
        </w:rPr>
        <w:t xml:space="preserve">SERRA, Karen. K. T. A Região Nordeste do Brasil: Uma análise da Governança do Fundo Constitucional de Financiamento do Nordeste (FNE) A partir das Instituições Relacionadas à Política Nacional de Desenvolvimento Regional (PNDR).  </w:t>
      </w:r>
      <w:r w:rsidRPr="00826481">
        <w:rPr>
          <w:rFonts w:ascii="Times New Roman" w:hAnsi="Times New Roman" w:cs="Times New Roman"/>
          <w:b/>
          <w:bCs/>
          <w:color w:val="000000"/>
          <w:sz w:val="24"/>
          <w:szCs w:val="24"/>
          <w:shd w:val="clear" w:color="auto" w:fill="FFFFFF"/>
        </w:rPr>
        <w:t>Monografia em Gestão de Políticas Públicas</w:t>
      </w:r>
      <w:r w:rsidRPr="00F90F46">
        <w:rPr>
          <w:rFonts w:ascii="Times New Roman" w:hAnsi="Times New Roman" w:cs="Times New Roman"/>
          <w:color w:val="000000"/>
          <w:sz w:val="24"/>
          <w:szCs w:val="24"/>
          <w:shd w:val="clear" w:color="auto" w:fill="FFFFFF"/>
        </w:rPr>
        <w:t xml:space="preserve">- Curso de Gestão de Políticas Públicas do Departamento de Estudos Interdisciplinares da Universidade Federal do Ceará, Fortaleza/CE, 2018. </w:t>
      </w:r>
    </w:p>
    <w:p w:rsidR="00933A91" w:rsidRDefault="00933A91" w:rsidP="00933A91">
      <w:pPr>
        <w:spacing w:after="0" w:line="240" w:lineRule="auto"/>
      </w:pPr>
    </w:p>
    <w:p w:rsidR="00933A91" w:rsidRPr="00F90F46" w:rsidRDefault="00933A91" w:rsidP="00933A91">
      <w:pPr>
        <w:spacing w:after="0" w:line="240" w:lineRule="auto"/>
        <w:jc w:val="both"/>
        <w:rPr>
          <w:rFonts w:ascii="Times New Roman" w:hAnsi="Times New Roman" w:cs="Times New Roman"/>
          <w:sz w:val="24"/>
          <w:szCs w:val="24"/>
          <w:shd w:val="clear" w:color="auto" w:fill="FFFFFF"/>
        </w:rPr>
      </w:pPr>
      <w:r w:rsidRPr="00F90F46">
        <w:rPr>
          <w:rFonts w:ascii="Times New Roman" w:hAnsi="Times New Roman" w:cs="Times New Roman"/>
          <w:sz w:val="24"/>
          <w:szCs w:val="24"/>
          <w:shd w:val="clear" w:color="auto" w:fill="FFFFFF"/>
        </w:rPr>
        <w:t xml:space="preserve">SILVA, Jéssica. J. C. da.; SILVA, José. W. L. da.;  BAZILIO, Luiz. H. T. Propor e Deliberar para Desenvolver: As Proposições no Fluxo Informacional do Conselho Deliberativo da SUDENE. </w:t>
      </w:r>
      <w:r w:rsidRPr="00826481">
        <w:rPr>
          <w:rFonts w:ascii="Times New Roman" w:hAnsi="Times New Roman" w:cs="Times New Roman"/>
          <w:b/>
          <w:bCs/>
          <w:sz w:val="24"/>
          <w:szCs w:val="24"/>
          <w:shd w:val="clear" w:color="auto" w:fill="FFFFFF"/>
        </w:rPr>
        <w:t>Encontro Nacional de Estudantes de Biblioteconomia, Documentação, Ciência e Gestão da Informação</w:t>
      </w:r>
      <w:r w:rsidRPr="00F90F46">
        <w:rPr>
          <w:rFonts w:ascii="Times New Roman" w:hAnsi="Times New Roman" w:cs="Times New Roman"/>
          <w:sz w:val="24"/>
          <w:szCs w:val="24"/>
          <w:shd w:val="clear" w:color="auto" w:fill="FFFFFF"/>
        </w:rPr>
        <w:t>, 41., 2018. Rio de Janeiro, RJ. Anais...Rio de Janeiro: Universidade Federal do Estado do Rio de Janeiro, Universidade Federal Fluminense, Niterói - RJ, 2018</w:t>
      </w:r>
    </w:p>
    <w:p w:rsidR="00933A91" w:rsidRDefault="00933A91" w:rsidP="00933A91">
      <w:pPr>
        <w:spacing w:after="0" w:line="240" w:lineRule="auto"/>
      </w:pPr>
    </w:p>
    <w:p w:rsidR="00933A91" w:rsidRPr="00F90F46" w:rsidRDefault="00933A91" w:rsidP="00933A91">
      <w:pPr>
        <w:spacing w:after="0" w:line="240" w:lineRule="auto"/>
        <w:jc w:val="both"/>
        <w:rPr>
          <w:rFonts w:ascii="Times New Roman" w:hAnsi="Times New Roman" w:cs="Times New Roman"/>
          <w:sz w:val="24"/>
          <w:szCs w:val="24"/>
          <w:shd w:val="clear" w:color="auto" w:fill="FFFFFF"/>
        </w:rPr>
      </w:pPr>
      <w:r w:rsidRPr="00F90F46">
        <w:rPr>
          <w:rFonts w:ascii="Times New Roman" w:hAnsi="Times New Roman" w:cs="Times New Roman"/>
          <w:sz w:val="24"/>
          <w:szCs w:val="24"/>
          <w:shd w:val="clear" w:color="auto" w:fill="FFFFFF"/>
        </w:rPr>
        <w:t xml:space="preserve">SUDENE. Recife/PE. </w:t>
      </w:r>
      <w:r w:rsidRPr="00826481">
        <w:rPr>
          <w:rFonts w:ascii="Times New Roman" w:hAnsi="Times New Roman" w:cs="Times New Roman"/>
          <w:b/>
          <w:bCs/>
          <w:sz w:val="24"/>
          <w:szCs w:val="24"/>
          <w:shd w:val="clear" w:color="auto" w:fill="FFFFFF"/>
        </w:rPr>
        <w:t>Ata da 1ª reunião do Comitê Técnico de Acompanhamento do Fundo Constitucional de Financiamento do Nordeste – FNE</w:t>
      </w:r>
      <w:r w:rsidRPr="00F90F46">
        <w:rPr>
          <w:rFonts w:ascii="Times New Roman" w:hAnsi="Times New Roman" w:cs="Times New Roman"/>
          <w:sz w:val="24"/>
          <w:szCs w:val="24"/>
          <w:shd w:val="clear" w:color="auto" w:fill="FFFFFF"/>
        </w:rPr>
        <w:t xml:space="preserve">. 13 e 21 de fevereiro de 2019. p. 1-18, 2019. Disponível em: </w:t>
      </w:r>
      <w:hyperlink r:id="rId18" w:history="1">
        <w:r w:rsidRPr="00F90F46">
          <w:rPr>
            <w:rFonts w:ascii="Times New Roman" w:hAnsi="Times New Roman" w:cs="Times New Roman"/>
            <w:sz w:val="24"/>
            <w:szCs w:val="24"/>
            <w:shd w:val="clear" w:color="auto" w:fill="FFFFFF"/>
          </w:rPr>
          <w:t>https://www.gov.br/sudene/pt-br/centrais-de-conteudo/ata-1-reunio-comit-tcnico-acompanhamento-fne-dias-13-e-21-02-19-recife-1-pdf</w:t>
        </w:r>
      </w:hyperlink>
      <w:r w:rsidRPr="00F90F46">
        <w:rPr>
          <w:rFonts w:ascii="Times New Roman" w:hAnsi="Times New Roman" w:cs="Times New Roman"/>
          <w:sz w:val="24"/>
          <w:szCs w:val="24"/>
          <w:shd w:val="clear" w:color="auto" w:fill="FFFFFF"/>
        </w:rPr>
        <w:t>. Acesso em: 01/07/2022.</w:t>
      </w:r>
    </w:p>
    <w:p w:rsidR="00933A91" w:rsidRPr="00F90F46" w:rsidRDefault="00933A91" w:rsidP="00933A91">
      <w:pPr>
        <w:spacing w:after="0" w:line="240" w:lineRule="auto"/>
        <w:jc w:val="both"/>
        <w:rPr>
          <w:rFonts w:ascii="Times New Roman" w:hAnsi="Times New Roman" w:cs="Times New Roman"/>
          <w:sz w:val="24"/>
          <w:szCs w:val="24"/>
          <w:shd w:val="clear" w:color="auto" w:fill="FFFFFF"/>
        </w:rPr>
      </w:pPr>
    </w:p>
    <w:p w:rsidR="00933A91" w:rsidRPr="00826481" w:rsidRDefault="00933A91" w:rsidP="00933A91">
      <w:pPr>
        <w:spacing w:after="0" w:line="240" w:lineRule="auto"/>
        <w:jc w:val="both"/>
        <w:rPr>
          <w:rFonts w:ascii="Times New Roman" w:hAnsi="Times New Roman" w:cs="Times New Roman"/>
          <w:sz w:val="24"/>
          <w:szCs w:val="24"/>
          <w:shd w:val="clear" w:color="auto" w:fill="FFFFFF"/>
        </w:rPr>
      </w:pPr>
      <w:r w:rsidRPr="00F90F46">
        <w:rPr>
          <w:rFonts w:ascii="Times New Roman" w:hAnsi="Times New Roman" w:cs="Times New Roman"/>
          <w:sz w:val="24"/>
          <w:szCs w:val="24"/>
          <w:shd w:val="clear" w:color="auto" w:fill="FFFFFF"/>
        </w:rPr>
        <w:t xml:space="preserve">SUDENE. Recife/PE. </w:t>
      </w:r>
      <w:r w:rsidRPr="00826481">
        <w:rPr>
          <w:rFonts w:ascii="Times New Roman" w:hAnsi="Times New Roman" w:cs="Times New Roman"/>
          <w:b/>
          <w:bCs/>
          <w:sz w:val="24"/>
          <w:szCs w:val="24"/>
          <w:shd w:val="clear" w:color="auto" w:fill="FFFFFF"/>
        </w:rPr>
        <w:t>Ata da 25ª reunião do Conselho Deliberativo</w:t>
      </w:r>
      <w:r w:rsidRPr="00F90F46">
        <w:rPr>
          <w:rFonts w:ascii="Times New Roman" w:hAnsi="Times New Roman" w:cs="Times New Roman"/>
          <w:sz w:val="24"/>
          <w:szCs w:val="24"/>
          <w:shd w:val="clear" w:color="auto" w:fill="FFFFFF"/>
        </w:rPr>
        <w:t xml:space="preserve">. 24 mai de 2019. p. 1-32, 2019. Disponível em: </w:t>
      </w:r>
      <w:hyperlink r:id="rId19" w:history="1">
        <w:r w:rsidRPr="00F90F46">
          <w:rPr>
            <w:rFonts w:ascii="Times New Roman" w:hAnsi="Times New Roman" w:cs="Times New Roman"/>
            <w:sz w:val="24"/>
            <w:szCs w:val="24"/>
            <w:shd w:val="clear" w:color="auto" w:fill="FFFFFF"/>
          </w:rPr>
          <w:t xml:space="preserve"> https://www.gov.br/sudene/pt-br/centrais-de-conteudo/ata-da-25a-reuniao-do-conselho-deliberativo-da-sudenef</w:t>
        </w:r>
      </w:hyperlink>
      <w:r w:rsidRPr="00F90F46">
        <w:rPr>
          <w:rFonts w:ascii="Times New Roman" w:hAnsi="Times New Roman" w:cs="Times New Roman"/>
          <w:sz w:val="24"/>
          <w:szCs w:val="24"/>
          <w:shd w:val="clear" w:color="auto" w:fill="FFFFFF"/>
        </w:rPr>
        <w:t>. Acesso em: 29/07/2022.</w:t>
      </w:r>
    </w:p>
    <w:p w:rsidR="00933A91" w:rsidRPr="00F90F46" w:rsidRDefault="00933A91" w:rsidP="00933A91">
      <w:pPr>
        <w:spacing w:after="0" w:line="240" w:lineRule="auto"/>
        <w:jc w:val="both"/>
        <w:rPr>
          <w:rFonts w:ascii="Times New Roman" w:hAnsi="Times New Roman" w:cs="Times New Roman"/>
          <w:color w:val="000000"/>
          <w:sz w:val="24"/>
          <w:szCs w:val="24"/>
          <w:shd w:val="clear" w:color="auto" w:fill="FFFFFF"/>
        </w:rPr>
      </w:pPr>
      <w:hyperlink r:id="rId20" w:tgtFrame="_blank" w:history="1">
        <w:r w:rsidRPr="00F90F46">
          <w:rPr>
            <w:rFonts w:ascii="Times New Roman" w:hAnsi="Times New Roman" w:cs="Times New Roman"/>
            <w:color w:val="000000"/>
            <w:sz w:val="24"/>
            <w:szCs w:val="24"/>
            <w:shd w:val="clear" w:color="auto" w:fill="FFFFFF"/>
          </w:rPr>
          <w:br/>
          <w:t>UDERMAN, Simone</w:t>
        </w:r>
      </w:hyperlink>
      <w:r w:rsidRPr="00F90F46">
        <w:rPr>
          <w:rFonts w:ascii="Times New Roman" w:hAnsi="Times New Roman" w:cs="Times New Roman"/>
          <w:color w:val="000000"/>
          <w:sz w:val="24"/>
          <w:szCs w:val="24"/>
          <w:shd w:val="clear" w:color="auto" w:fill="FFFFFF"/>
        </w:rPr>
        <w:t xml:space="preserve">.  O Estado e a Formulação de Políticas de Desenvolvimento Regional. </w:t>
      </w:r>
      <w:r w:rsidRPr="00826481">
        <w:rPr>
          <w:rFonts w:ascii="Times New Roman" w:hAnsi="Times New Roman" w:cs="Times New Roman"/>
          <w:b/>
          <w:bCs/>
          <w:color w:val="000000"/>
          <w:sz w:val="24"/>
          <w:szCs w:val="24"/>
          <w:shd w:val="clear" w:color="auto" w:fill="FFFFFF"/>
        </w:rPr>
        <w:t>Revista Econômica do Nordeste</w:t>
      </w:r>
      <w:r w:rsidRPr="00F90F46">
        <w:rPr>
          <w:rFonts w:ascii="Times New Roman" w:hAnsi="Times New Roman" w:cs="Times New Roman"/>
          <w:color w:val="000000"/>
          <w:sz w:val="24"/>
          <w:szCs w:val="24"/>
          <w:shd w:val="clear" w:color="auto" w:fill="FFFFFF"/>
        </w:rPr>
        <w:t>, v. 39, p. 232-250, 2008.</w:t>
      </w:r>
    </w:p>
    <w:p w:rsidR="00933A91" w:rsidRDefault="00933A91" w:rsidP="00933A91">
      <w:pPr>
        <w:rPr>
          <w:rFonts w:ascii="Times New Roman" w:hAnsi="Times New Roman" w:cs="Times New Roman"/>
          <w:sz w:val="24"/>
          <w:szCs w:val="24"/>
        </w:rPr>
      </w:pPr>
    </w:p>
    <w:p w:rsidR="006F0285" w:rsidRDefault="006F0285" w:rsidP="006F0285">
      <w:pPr>
        <w:spacing w:after="0" w:line="360" w:lineRule="auto"/>
        <w:jc w:val="both"/>
        <w:rPr>
          <w:rFonts w:ascii="Times New Roman" w:hAnsi="Times New Roman" w:cs="Times New Roman"/>
          <w:sz w:val="24"/>
          <w:szCs w:val="24"/>
        </w:rPr>
      </w:pPr>
    </w:p>
    <w:sectPr w:rsidR="006F0285" w:rsidSect="00F72780">
      <w:headerReference w:type="default" r:id="rId21"/>
      <w:footerReference w:type="default" r:id="rId22"/>
      <w:pgSz w:w="11906" w:h="16838"/>
      <w:pgMar w:top="1701" w:right="1134" w:bottom="1134" w:left="1701" w:header="851"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5F5D" w:rsidRDefault="00A65F5D">
      <w:pPr>
        <w:spacing w:line="240" w:lineRule="auto"/>
      </w:pPr>
      <w:r>
        <w:separator/>
      </w:r>
    </w:p>
  </w:endnote>
  <w:endnote w:type="continuationSeparator" w:id="1">
    <w:p w:rsidR="00A65F5D" w:rsidRDefault="00A65F5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charset w:val="00"/>
    <w:family w:val="roman"/>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等线">
    <w:altName w:val="MS Mincho"/>
    <w:panose1 w:val="00000000000000000000"/>
    <w:charset w:val="80"/>
    <w:family w:val="roman"/>
    <w:notTrueType/>
    <w:pitch w:val="default"/>
    <w:sig w:usb0="00000000" w:usb1="00000000" w:usb2="00000000" w:usb3="00000000" w:csb0="00000000" w:csb1="00000000"/>
  </w:font>
  <w:font w:name="□□">
    <w:altName w:val="Times New Roman"/>
    <w:panose1 w:val="00000000000000000000"/>
    <w:charset w:val="00"/>
    <w:family w:val="roman"/>
    <w:notTrueType/>
    <w:pitch w:val="default"/>
    <w:sig w:usb0="00000000" w:usb1="00000000" w:usb2="00000000" w:usb3="00000000" w:csb0="00000000" w:csb1="00000000"/>
  </w:font>
  <w:font w:name="等线 Light">
    <w:panose1 w:val="00000000000000000000"/>
    <w:charset w:val="8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780" w:rsidRDefault="00F72780">
    <w:pPr>
      <w:pStyle w:val="Rodap"/>
      <w:jc w:val="both"/>
      <w:rPr>
        <w:rFonts w:ascii="Times New Roman" w:hAnsi="Times New Roman" w:cs="Times New Roman"/>
        <w:sz w:val="20"/>
        <w:szCs w:val="20"/>
      </w:rPr>
    </w:pPr>
    <w:r w:rsidRPr="00F72780">
      <w:pict>
        <v:line id="_x0000_s1027" style="position:absolute;left:0;text-align:left;z-index:-251655168;mso-position-horizontal-relative:margin" from="-43.15pt,12pt" to="469.1pt,12.75pt" o:gfxdata="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NP/6mXZAAAACQEAAA8AAAAAAAAA&#10;AQAgAAAAIgAAAGRycy9kb3ducmV2LnhtbFBLAQIUABQAAAAIAIdO4kCrlrjd1wEAALIDAAAOAAAA&#10;AAAAAAEAIAAAACgBAABkcnMvZTJvRG9jLnhtbFBLBQYAAAAABgAGAFkBAABxBQAAAAA=&#10;" strokecolor="#00b050" strokeweight=".5pt">
          <v:stroke joinstyle="miter"/>
          <w10:wrap anchorx="margin"/>
        </v:line>
      </w:pict>
    </w:r>
  </w:p>
  <w:p w:rsidR="00F72780" w:rsidRDefault="00F72780">
    <w:pPr>
      <w:pStyle w:val="Rodap"/>
      <w:jc w:val="both"/>
      <w:rPr>
        <w:rFonts w:ascii="Times New Roman" w:hAnsi="Times New Roman" w:cs="Times New Roman"/>
        <w:sz w:val="20"/>
        <w:szCs w:val="20"/>
      </w:rPr>
    </w:pPr>
  </w:p>
  <w:p w:rsidR="00F72780" w:rsidRDefault="00A65F5D">
    <w:pPr>
      <w:pStyle w:val="Rodap"/>
      <w:jc w:val="both"/>
      <w:rPr>
        <w:rFonts w:ascii="Times New Roman" w:hAnsi="Times New Roman" w:cs="Times New Roman"/>
        <w:sz w:val="20"/>
        <w:szCs w:val="20"/>
      </w:rPr>
    </w:pPr>
    <w:r>
      <w:rPr>
        <w:rFonts w:ascii="Times New Roman" w:hAnsi="Times New Roman" w:cs="Times New Roman"/>
        <w:sz w:val="20"/>
        <w:szCs w:val="20"/>
      </w:rPr>
      <w:t>VI SEDRES. Seminário de Desenvolvimento Regional, Estado e Sociedade. Crato - Ce, 06 a 08 de dezembro de 2022. ISSN 2358-4408.</w:t>
    </w:r>
  </w:p>
  <w:p w:rsidR="00F72780" w:rsidRDefault="00F72780">
    <w:pPr>
      <w:pStyle w:val="Rodap"/>
      <w:jc w:val="both"/>
      <w:rPr>
        <w:rFonts w:ascii="Times New Roman" w:hAnsi="Times New Roman" w:cs="Times New Roman"/>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5F5D" w:rsidRDefault="00A65F5D">
      <w:pPr>
        <w:spacing w:after="0"/>
      </w:pPr>
      <w:r>
        <w:separator/>
      </w:r>
    </w:p>
  </w:footnote>
  <w:footnote w:type="continuationSeparator" w:id="1">
    <w:p w:rsidR="00A65F5D" w:rsidRDefault="00A65F5D">
      <w:pPr>
        <w:spacing w:after="0"/>
      </w:pPr>
      <w:r>
        <w:continuationSeparator/>
      </w:r>
    </w:p>
  </w:footnote>
  <w:footnote w:id="2">
    <w:p w:rsidR="002B13B1" w:rsidRDefault="002B13B1" w:rsidP="002B13B1">
      <w:pPr>
        <w:pStyle w:val="Textodenotaderodap"/>
        <w:jc w:val="both"/>
        <w:rPr>
          <w:rFonts w:ascii="Times New Roman" w:hAnsi="Times New Roman" w:cs="Times New Roman"/>
        </w:rPr>
      </w:pPr>
      <w:r w:rsidRPr="00EF0435">
        <w:rPr>
          <w:rStyle w:val="Caracteresdenotaderodap"/>
          <w:vertAlign w:val="superscript"/>
        </w:rPr>
        <w:footnoteRef/>
      </w:r>
      <w:r>
        <w:rPr>
          <w:rFonts w:ascii="Times New Roman" w:hAnsi="Times New Roman" w:cs="Times New Roman"/>
        </w:rPr>
        <w:t>Segundo dados trazidos por IPEA (2018), a participação de manufaturas na pauta exportadora brasileira baixou de 60% para 37% em menos de duas décadas, e a produtividade do trabalho no setor industrial é hoje inferior ao patamar registrado em 1995.</w:t>
      </w:r>
    </w:p>
  </w:footnote>
  <w:footnote w:id="3">
    <w:p w:rsidR="002B13B1" w:rsidRDefault="002B13B1" w:rsidP="002B13B1">
      <w:pPr>
        <w:pStyle w:val="Textodenotaderodap"/>
        <w:jc w:val="both"/>
        <w:rPr>
          <w:rFonts w:ascii="Times New Roman" w:hAnsi="Times New Roman" w:cs="Times New Roman"/>
        </w:rPr>
      </w:pPr>
      <w:r>
        <w:rPr>
          <w:rStyle w:val="Caracteresdenotaderodap"/>
        </w:rPr>
        <w:footnoteRef/>
      </w:r>
      <w:r>
        <w:rPr>
          <w:rFonts w:ascii="Times New Roman" w:hAnsi="Times New Roman" w:cs="Times New Roman"/>
        </w:rPr>
        <w:t xml:space="preserve"> Barbosa Filho (2013) lembra ainda que após o país se tornar credor no FMI a desvalorização do real passava a ter efeito líquido negativo e reduzia a dívida pública do Brasil, de modo que a desvalorização ao invés diminuir aumentava nossas reservas, já que o país era credor no mercado internacional.</w:t>
      </w:r>
    </w:p>
  </w:footnote>
  <w:footnote w:id="4">
    <w:p w:rsidR="006F0285" w:rsidRDefault="006F0285" w:rsidP="006F0285">
      <w:pPr>
        <w:pStyle w:val="Textodenotaderodap"/>
        <w:jc w:val="both"/>
      </w:pPr>
      <w:r>
        <w:rPr>
          <w:rStyle w:val="Refdenotaderodap"/>
        </w:rPr>
        <w:footnoteRef/>
      </w:r>
      <w:r w:rsidRPr="00DF18E8">
        <w:rPr>
          <w:rFonts w:ascii="Times New Roman" w:hAnsi="Times New Roman" w:cs="Times New Roman"/>
        </w:rPr>
        <w:t>Para Mello (2006), industrialização pesada é quando o Brasil entra na segunda fase da revolução industrial, isto é, a dinâmica econômica brasileira passa a ser comandada pelos setores mais produtivos e dinâmicos (de consumo durável, intermediários e de capital), que requeriam maior grau de tecnologia empregada, vultuosos investimentos financeiros e mão de obra qualificada.</w:t>
      </w:r>
    </w:p>
  </w:footnote>
  <w:footnote w:id="5">
    <w:p w:rsidR="006F0285" w:rsidRDefault="006F0285" w:rsidP="006F0285">
      <w:pPr>
        <w:pStyle w:val="Textodenotaderodap"/>
        <w:jc w:val="both"/>
      </w:pPr>
      <w:r>
        <w:rPr>
          <w:rStyle w:val="Refdenotaderodap"/>
        </w:rPr>
        <w:footnoteRef/>
      </w:r>
      <w:r w:rsidRPr="00A117CE">
        <w:rPr>
          <w:rFonts w:ascii="Times New Roman" w:hAnsi="Times New Roman" w:cs="Times New Roman"/>
        </w:rPr>
        <w:t xml:space="preserve">Ata da 1ª reunião do Comitê Técnico de Acompanhamento do Fundo Constitucional de Financiamento do Nordeste. </w:t>
      </w:r>
      <w:bookmarkStart w:id="2" w:name="_Hlk107644339"/>
      <w:r w:rsidRPr="00A117CE">
        <w:rPr>
          <w:rFonts w:ascii="Times New Roman" w:hAnsi="Times New Roman" w:cs="Times New Roman"/>
        </w:rPr>
        <w:t>Disponível em: https://www.gov.br/sudene/pt-br/centrais-de-conteudo/ata-1-reunio-comit-tcnico-acompanhamento-fne-dias-13-e-21-02-19-recife-1-pdf</w:t>
      </w:r>
      <w:bookmarkEnd w:id="2"/>
    </w:p>
  </w:footnote>
  <w:footnote w:id="6">
    <w:p w:rsidR="006F0285" w:rsidRDefault="006F0285" w:rsidP="006F0285">
      <w:pPr>
        <w:pStyle w:val="Textodenotaderodap"/>
        <w:jc w:val="both"/>
      </w:pPr>
      <w:r>
        <w:rPr>
          <w:rStyle w:val="Refdenotaderodap"/>
        </w:rPr>
        <w:footnoteRef/>
      </w:r>
      <w:r w:rsidRPr="007B4F8E">
        <w:rPr>
          <w:rFonts w:ascii="Times New Roman" w:hAnsi="Times New Roman" w:cs="Times New Roman"/>
        </w:rPr>
        <w:t>Ver: https://www.ufpe.br/area-ii/-/asset_publisher/nGGtSg8FsERw/content/edificio-sudene-passa-a-fazer-parte-do-patrimonio-da-ufpe/40615</w:t>
      </w:r>
    </w:p>
  </w:footnote>
  <w:footnote w:id="7">
    <w:p w:rsidR="006F0285" w:rsidRDefault="006F0285" w:rsidP="006F0285">
      <w:pPr>
        <w:pStyle w:val="Textodenotaderodap"/>
        <w:jc w:val="both"/>
      </w:pPr>
      <w:r>
        <w:rPr>
          <w:rStyle w:val="Refdenotaderodap"/>
        </w:rPr>
        <w:footnoteRef/>
      </w:r>
      <w:r w:rsidRPr="00397D04">
        <w:rPr>
          <w:rFonts w:ascii="Times New Roman" w:hAnsi="Times New Roman" w:cs="Times New Roman"/>
        </w:rPr>
        <w:t>O número total de resoluções aprovadas no período foi de 154, porém as resoluções nº85/2016, 96/2016, 97/2016, todas elas da 19ª reunião, não constam no portal de memória institucional do CONDEL/SUDENE, portanto impossibilitando o a classificação dessas resoluções</w:t>
      </w:r>
      <w:r>
        <w:rPr>
          <w:rFonts w:ascii="Times New Roman" w:hAnsi="Times New Roman" w:cs="Times New Roman"/>
        </w:rPr>
        <w:t>.</w:t>
      </w:r>
    </w:p>
  </w:footnote>
  <w:footnote w:id="8">
    <w:p w:rsidR="006F0285" w:rsidRDefault="006F0285" w:rsidP="006F0285">
      <w:pPr>
        <w:pStyle w:val="Textodenotaderodap"/>
      </w:pPr>
      <w:r>
        <w:rPr>
          <w:rStyle w:val="Refdenotaderodap"/>
        </w:rPr>
        <w:footnoteRef/>
      </w:r>
      <w:r w:rsidRPr="00313415">
        <w:rPr>
          <w:rFonts w:ascii="Times New Roman" w:hAnsi="Times New Roman" w:cs="Times New Roman"/>
        </w:rPr>
        <w:t>Ver em: https://www.gov.br/sudene/pt-br/centrais-de-conteudo/ata-da-25a-reuniao-do-conselho-deliberativo-da-sudene</w:t>
      </w:r>
      <w:r>
        <w:rPr>
          <w:rFonts w:ascii="Times New Roman" w:hAnsi="Times New Roman" w:cs="Times New Roman"/>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780" w:rsidRDefault="00F72780">
    <w:pPr>
      <w:pStyle w:val="Cabealho"/>
      <w:jc w:val="center"/>
    </w:pPr>
    <w:r>
      <w:pict>
        <v:line id="_x0000_s1026" style="position:absolute;left:0;text-align:left;z-index:-251656192" from="-39pt,76.45pt" to="473.25pt,77.2pt" o:gfxdata="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6WWKB2gAAAAsBAAAPAAAAAAAA&#10;AAEAIAAAACIAAABkcnMvZG93bnJldi54bWxQSwECFAAUAAAACACHTuJAB8b2u9cBAACyAwAADgAA&#10;AAAAAAABACAAAAApAQAAZHJzL2Uyb0RvYy54bWxQSwUGAAAAAAYABgBZAQAAcgUAAAAA&#10;" strokecolor="#00b050" strokeweight=".5pt">
          <v:stroke joinstyle="miter"/>
        </v:line>
      </w:pict>
    </w:r>
    <w:r>
      <w:pict>
        <v:rect id="_x0000_s1028" style="width:24pt;height:24pt;mso-position-horizontal-relative:char;mso-position-vertical-relative:line"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HzJZ00gAAAAMBAAAPAAAAAAAAAAEAIAAAACIAAABkcnMvZG93&#10;bnJldi54bWxQSwECFAAUAAAACACHTuJAAdaTUAYCAAATBAAADgAAAAAAAAABACAAAAAhAQAAZHJz&#10;L2Uyb0RvYy54bWxQSwUGAAAAAAYABgBZAQAAmQUAAAAA&#10;" filled="f" stroked="f">
          <o:lock v:ext="edit" aspectratio="t"/>
          <w10:wrap type="none"/>
          <w10:anchorlock/>
        </v:rect>
      </w:pict>
    </w:r>
    <w:r w:rsidR="00A65F5D">
      <w:rPr>
        <w:noProof/>
        <w:lang w:eastAsia="pt-BR"/>
      </w:rPr>
      <w:drawing>
        <wp:inline distT="0" distB="0" distL="0" distR="0">
          <wp:extent cx="2637790" cy="90106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1">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2665150" cy="910425"/>
                  </a:xfrm>
                  <a:prstGeom prst="rect">
                    <a:avLst/>
                  </a:prstGeom>
                  <a:noFill/>
                  <a:ln>
                    <a:noFill/>
                  </a:ln>
                </pic:spPr>
              </pic:pic>
            </a:graphicData>
          </a:graphic>
        </wp:inline>
      </w:drawing>
    </w:r>
  </w:p>
  <w:p w:rsidR="00F72780" w:rsidRDefault="00F72780">
    <w:pPr>
      <w:pStyle w:val="Cabealho"/>
      <w:jc w:val="center"/>
    </w:pPr>
  </w:p>
  <w:p w:rsidR="00F72780" w:rsidRDefault="00F72780">
    <w:pPr>
      <w:pStyle w:val="Cabealho"/>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294EF5"/>
    <w:multiLevelType w:val="hybridMultilevel"/>
    <w:tmpl w:val="873C6B78"/>
    <w:lvl w:ilvl="0" w:tplc="0416000F">
      <w:start w:val="1"/>
      <w:numFmt w:val="decimal"/>
      <w:lvlText w:val="%1."/>
      <w:lvlJc w:val="left"/>
      <w:pPr>
        <w:ind w:left="1080" w:hanging="360"/>
      </w:p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
    <w:nsid w:val="61F826A0"/>
    <w:multiLevelType w:val="hybridMultilevel"/>
    <w:tmpl w:val="60507C08"/>
    <w:lvl w:ilvl="0" w:tplc="0416000F">
      <w:start w:val="5"/>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6F86491F"/>
    <w:multiLevelType w:val="hybridMultilevel"/>
    <w:tmpl w:val="E47AA182"/>
    <w:lvl w:ilvl="0" w:tplc="0416000F">
      <w:start w:val="1"/>
      <w:numFmt w:val="decimal"/>
      <w:lvlText w:val="%1."/>
      <w:lvlJc w:val="left"/>
      <w:pPr>
        <w:ind w:left="1428" w:hanging="360"/>
      </w:pPr>
    </w:lvl>
    <w:lvl w:ilvl="1" w:tplc="04160019" w:tentative="1">
      <w:start w:val="1"/>
      <w:numFmt w:val="lowerLetter"/>
      <w:lvlText w:val="%2."/>
      <w:lvlJc w:val="left"/>
      <w:pPr>
        <w:ind w:left="2148" w:hanging="360"/>
      </w:pPr>
    </w:lvl>
    <w:lvl w:ilvl="2" w:tplc="0416001B" w:tentative="1">
      <w:start w:val="1"/>
      <w:numFmt w:val="lowerRoman"/>
      <w:lvlText w:val="%3."/>
      <w:lvlJc w:val="right"/>
      <w:pPr>
        <w:ind w:left="2868" w:hanging="180"/>
      </w:pPr>
    </w:lvl>
    <w:lvl w:ilvl="3" w:tplc="0416000F" w:tentative="1">
      <w:start w:val="1"/>
      <w:numFmt w:val="decimal"/>
      <w:lvlText w:val="%4."/>
      <w:lvlJc w:val="left"/>
      <w:pPr>
        <w:ind w:left="3588" w:hanging="360"/>
      </w:pPr>
    </w:lvl>
    <w:lvl w:ilvl="4" w:tplc="04160019" w:tentative="1">
      <w:start w:val="1"/>
      <w:numFmt w:val="lowerLetter"/>
      <w:lvlText w:val="%5."/>
      <w:lvlJc w:val="left"/>
      <w:pPr>
        <w:ind w:left="4308" w:hanging="360"/>
      </w:pPr>
    </w:lvl>
    <w:lvl w:ilvl="5" w:tplc="0416001B" w:tentative="1">
      <w:start w:val="1"/>
      <w:numFmt w:val="lowerRoman"/>
      <w:lvlText w:val="%6."/>
      <w:lvlJc w:val="right"/>
      <w:pPr>
        <w:ind w:left="5028" w:hanging="180"/>
      </w:pPr>
    </w:lvl>
    <w:lvl w:ilvl="6" w:tplc="0416000F" w:tentative="1">
      <w:start w:val="1"/>
      <w:numFmt w:val="decimal"/>
      <w:lvlText w:val="%7."/>
      <w:lvlJc w:val="left"/>
      <w:pPr>
        <w:ind w:left="5748" w:hanging="360"/>
      </w:pPr>
    </w:lvl>
    <w:lvl w:ilvl="7" w:tplc="04160019" w:tentative="1">
      <w:start w:val="1"/>
      <w:numFmt w:val="lowerLetter"/>
      <w:lvlText w:val="%8."/>
      <w:lvlJc w:val="left"/>
      <w:pPr>
        <w:ind w:left="6468" w:hanging="360"/>
      </w:pPr>
    </w:lvl>
    <w:lvl w:ilvl="8" w:tplc="0416001B" w:tentative="1">
      <w:start w:val="1"/>
      <w:numFmt w:val="lowerRoman"/>
      <w:lvlText w:val="%9."/>
      <w:lvlJc w:val="right"/>
      <w:pPr>
        <w:ind w:left="7188"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defaultTabStop w:val="708"/>
  <w:hyphenationZone w:val="425"/>
  <w:characterSpacingControl w:val="doNotCompress"/>
  <w:hdrShapeDefaults>
    <o:shapedefaults v:ext="edit" spidmax="3074"/>
    <o:shapelayout v:ext="edit">
      <o:idmap v:ext="edit" data="1"/>
    </o:shapelayout>
  </w:hdrShapeDefaults>
  <w:footnotePr>
    <w:footnote w:id="0"/>
    <w:footnote w:id="1"/>
  </w:footnotePr>
  <w:endnotePr>
    <w:endnote w:id="0"/>
    <w:endnote w:id="1"/>
  </w:endnotePr>
  <w:compat/>
  <w:rsids>
    <w:rsidRoot w:val="00036C01"/>
    <w:rsid w:val="00000143"/>
    <w:rsid w:val="00036C01"/>
    <w:rsid w:val="000F2C33"/>
    <w:rsid w:val="0017619A"/>
    <w:rsid w:val="00206A92"/>
    <w:rsid w:val="00241841"/>
    <w:rsid w:val="00255C43"/>
    <w:rsid w:val="002B13B1"/>
    <w:rsid w:val="004D292A"/>
    <w:rsid w:val="00507F7E"/>
    <w:rsid w:val="00510F45"/>
    <w:rsid w:val="006F0285"/>
    <w:rsid w:val="007A3A8D"/>
    <w:rsid w:val="007C3EAC"/>
    <w:rsid w:val="0085799B"/>
    <w:rsid w:val="00933A91"/>
    <w:rsid w:val="009F167A"/>
    <w:rsid w:val="00A12BDF"/>
    <w:rsid w:val="00A65F5D"/>
    <w:rsid w:val="00BC6D50"/>
    <w:rsid w:val="00C87F92"/>
    <w:rsid w:val="00E50039"/>
    <w:rsid w:val="00F72780"/>
    <w:rsid w:val="00FC4F7E"/>
    <w:rsid w:val="00FF2309"/>
    <w:rsid w:val="67B422F1"/>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0" w:unhideWhenUsed="0" w:qFormat="1"/>
    <w:lsdException w:name="Default Paragraph Font" w:uiPriority="1" w:qFormat="1"/>
    <w:lsdException w:name="Subtitle" w:semiHidden="0" w:uiPriority="11" w:unhideWhenUsed="0" w:qFormat="1"/>
    <w:lsdException w:name="Body Text 3" w:semiHidden="0" w:uiPriority="0"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st Paragraph" w:uiPriority="34"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2780"/>
    <w:pPr>
      <w:spacing w:after="160" w:line="259"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rsid w:val="00F72780"/>
    <w:pPr>
      <w:spacing w:after="0" w:line="240" w:lineRule="auto"/>
      <w:jc w:val="center"/>
    </w:pPr>
    <w:rPr>
      <w:rFonts w:ascii="Arial" w:eastAsia="Times New Roman" w:hAnsi="Arial" w:cs="Times New Roman"/>
      <w:b/>
      <w:sz w:val="28"/>
      <w:szCs w:val="24"/>
      <w:lang w:val="en-GB" w:eastAsia="pt-BR"/>
    </w:rPr>
  </w:style>
  <w:style w:type="paragraph" w:styleId="Corpodetexto3">
    <w:name w:val="Body Text 3"/>
    <w:basedOn w:val="Normal"/>
    <w:link w:val="Corpodetexto3Char"/>
    <w:qFormat/>
    <w:rsid w:val="00F72780"/>
    <w:pPr>
      <w:spacing w:after="0" w:line="240" w:lineRule="auto"/>
      <w:jc w:val="center"/>
    </w:pPr>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rsid w:val="00F72780"/>
    <w:pPr>
      <w:tabs>
        <w:tab w:val="center" w:pos="4252"/>
        <w:tab w:val="right" w:pos="8504"/>
      </w:tabs>
      <w:spacing w:after="0" w:line="240" w:lineRule="auto"/>
    </w:pPr>
  </w:style>
  <w:style w:type="paragraph" w:styleId="Rodap">
    <w:name w:val="footer"/>
    <w:basedOn w:val="Normal"/>
    <w:link w:val="RodapChar"/>
    <w:uiPriority w:val="99"/>
    <w:unhideWhenUsed/>
    <w:qFormat/>
    <w:rsid w:val="00F72780"/>
    <w:pPr>
      <w:tabs>
        <w:tab w:val="center" w:pos="4252"/>
        <w:tab w:val="right" w:pos="8504"/>
      </w:tabs>
      <w:spacing w:after="0" w:line="240" w:lineRule="auto"/>
    </w:pPr>
  </w:style>
  <w:style w:type="character" w:customStyle="1" w:styleId="CabealhoChar">
    <w:name w:val="Cabeçalho Char"/>
    <w:basedOn w:val="Fontepargpadro"/>
    <w:link w:val="Cabealho"/>
    <w:uiPriority w:val="99"/>
    <w:qFormat/>
    <w:rsid w:val="00F72780"/>
  </w:style>
  <w:style w:type="character" w:customStyle="1" w:styleId="RodapChar">
    <w:name w:val="Rodapé Char"/>
    <w:basedOn w:val="Fontepargpadro"/>
    <w:link w:val="Rodap"/>
    <w:uiPriority w:val="99"/>
    <w:qFormat/>
    <w:rsid w:val="00F72780"/>
  </w:style>
  <w:style w:type="character" w:customStyle="1" w:styleId="fontstyle01">
    <w:name w:val="fontstyle01"/>
    <w:basedOn w:val="Fontepargpadro"/>
    <w:rsid w:val="00F72780"/>
    <w:rPr>
      <w:rFonts w:ascii="Arial-BoldMT" w:hAnsi="Arial-BoldMT" w:hint="default"/>
      <w:b/>
      <w:bCs/>
      <w:color w:val="242021"/>
      <w:sz w:val="22"/>
      <w:szCs w:val="22"/>
    </w:rPr>
  </w:style>
  <w:style w:type="character" w:customStyle="1" w:styleId="Corpodetexto3Char">
    <w:name w:val="Corpo de texto 3 Char"/>
    <w:basedOn w:val="Fontepargpadro"/>
    <w:link w:val="Corpodetexto3"/>
    <w:rsid w:val="00F72780"/>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sid w:val="00F72780"/>
    <w:rPr>
      <w:rFonts w:ascii="Arial" w:eastAsia="Times New Roman" w:hAnsi="Arial" w:cs="Times New Roman"/>
      <w:b/>
      <w:sz w:val="28"/>
      <w:szCs w:val="24"/>
      <w:lang w:val="en-GB" w:eastAsia="pt-BR"/>
    </w:rPr>
  </w:style>
  <w:style w:type="paragraph" w:styleId="Textodebalo">
    <w:name w:val="Balloon Text"/>
    <w:basedOn w:val="Normal"/>
    <w:link w:val="TextodebaloChar"/>
    <w:uiPriority w:val="99"/>
    <w:semiHidden/>
    <w:unhideWhenUsed/>
    <w:rsid w:val="002B13B1"/>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2B13B1"/>
    <w:rPr>
      <w:rFonts w:ascii="Tahoma" w:hAnsi="Tahoma" w:cs="Tahoma"/>
      <w:sz w:val="16"/>
      <w:szCs w:val="16"/>
      <w:lang w:eastAsia="en-US"/>
    </w:rPr>
  </w:style>
  <w:style w:type="paragraph" w:styleId="PargrafodaLista">
    <w:name w:val="List Paragraph"/>
    <w:basedOn w:val="Normal"/>
    <w:link w:val="PargrafodaListaChar"/>
    <w:uiPriority w:val="34"/>
    <w:unhideWhenUsed/>
    <w:qFormat/>
    <w:rsid w:val="002B13B1"/>
    <w:pPr>
      <w:ind w:left="720"/>
      <w:contextualSpacing/>
    </w:pPr>
  </w:style>
  <w:style w:type="character" w:customStyle="1" w:styleId="PargrafodaListaChar">
    <w:name w:val="Parágrafo da Lista Char"/>
    <w:link w:val="PargrafodaLista"/>
    <w:uiPriority w:val="34"/>
    <w:qFormat/>
    <w:locked/>
    <w:rsid w:val="002B13B1"/>
    <w:rPr>
      <w:sz w:val="22"/>
      <w:szCs w:val="22"/>
      <w:lang w:eastAsia="en-US"/>
    </w:rPr>
  </w:style>
  <w:style w:type="character" w:customStyle="1" w:styleId="TextodenotaderodapChar">
    <w:name w:val="Texto de nota de rodapé Char"/>
    <w:basedOn w:val="Fontepargpadro"/>
    <w:link w:val="Textodenotaderodap"/>
    <w:uiPriority w:val="99"/>
    <w:qFormat/>
    <w:rsid w:val="002B13B1"/>
  </w:style>
  <w:style w:type="character" w:customStyle="1" w:styleId="ncoradanotaderodap">
    <w:name w:val="Âncora da nota de rodapé"/>
    <w:rsid w:val="002B13B1"/>
    <w:rPr>
      <w:vertAlign w:val="superscript"/>
    </w:rPr>
  </w:style>
  <w:style w:type="character" w:customStyle="1" w:styleId="Caracteresdenotaderodap">
    <w:name w:val="Caracteres de nota de rodapé"/>
    <w:qFormat/>
    <w:rsid w:val="002B13B1"/>
  </w:style>
  <w:style w:type="paragraph" w:styleId="Textodenotaderodap">
    <w:name w:val="footnote text"/>
    <w:basedOn w:val="Normal"/>
    <w:link w:val="TextodenotaderodapChar"/>
    <w:uiPriority w:val="99"/>
    <w:unhideWhenUsed/>
    <w:rsid w:val="002B13B1"/>
    <w:pPr>
      <w:suppressAutoHyphens/>
      <w:spacing w:after="0" w:line="240" w:lineRule="auto"/>
    </w:pPr>
    <w:rPr>
      <w:sz w:val="20"/>
      <w:szCs w:val="20"/>
      <w:lang w:eastAsia="pt-BR"/>
    </w:rPr>
  </w:style>
  <w:style w:type="character" w:customStyle="1" w:styleId="TextodenotaderodapChar1">
    <w:name w:val="Texto de nota de rodapé Char1"/>
    <w:basedOn w:val="Fontepargpadro"/>
    <w:link w:val="Textodenotaderodap"/>
    <w:uiPriority w:val="99"/>
    <w:semiHidden/>
    <w:rsid w:val="002B13B1"/>
    <w:rPr>
      <w:lang w:eastAsia="en-US"/>
    </w:rPr>
  </w:style>
  <w:style w:type="character" w:styleId="Refdenotaderodap">
    <w:name w:val="footnote reference"/>
    <w:basedOn w:val="Fontepargpadro"/>
    <w:uiPriority w:val="99"/>
    <w:unhideWhenUsed/>
    <w:rsid w:val="006F0285"/>
    <w:rPr>
      <w:vertAlign w:val="superscript"/>
    </w:rPr>
  </w:style>
  <w:style w:type="paragraph" w:customStyle="1" w:styleId="Default">
    <w:name w:val="Default"/>
    <w:qFormat/>
    <w:rsid w:val="006F0285"/>
    <w:pPr>
      <w:autoSpaceDE w:val="0"/>
      <w:autoSpaceDN w:val="0"/>
      <w:adjustRightInd w:val="0"/>
    </w:pPr>
    <w:rPr>
      <w:rFonts w:ascii="Arial" w:eastAsiaTheme="minorEastAsia" w:hAnsi="Arial" w:cs="Arial"/>
      <w:color w:val="000000"/>
      <w:sz w:val="24"/>
      <w:szCs w:val="24"/>
    </w:rPr>
  </w:style>
  <w:style w:type="paragraph" w:customStyle="1" w:styleId="ParaAttribute6">
    <w:name w:val="ParaAttribute6"/>
    <w:qFormat/>
    <w:rsid w:val="00933A91"/>
    <w:pPr>
      <w:suppressAutoHyphens/>
      <w:spacing w:after="160"/>
      <w:jc w:val="both"/>
    </w:pPr>
    <w:rPr>
      <w:rFonts w:ascii="Times New Roman" w:eastAsia="□□" w:hAnsi="Times New Roman" w:cs="Times New Roma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Layout" Target="diagrams/layout1.xml"/><Relationship Id="rId18" Type="http://schemas.openxmlformats.org/officeDocument/2006/relationships/hyperlink" Target="https://www.gov.br/sudene/pt-br/centrais-de-conteudo/ata-1-reunio-comit-tcnico-acompanhamento-fne-dias-13-e-21-02-19-recife-1-pdf" TargetMode="Externa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diagramData" Target="diagrams/data1.xml"/><Relationship Id="rId17" Type="http://schemas.openxmlformats.org/officeDocument/2006/relationships/hyperlink" Target="http://lattes.cnpq.br/3747519200935517" TargetMode="External"/><Relationship Id="rId2" Type="http://schemas.openxmlformats.org/officeDocument/2006/relationships/customXml" Target="../customXml/item2.xml"/><Relationship Id="rId16" Type="http://schemas.openxmlformats.org/officeDocument/2006/relationships/hyperlink" Target="https://www.ufpe.br/area-ii/-/asset_publisher/nGGtSg8FsERw/content/edificio-sudene-passa-a-fazer-parte-do-patrimonio-da-ufpe/40615" TargetMode="External"/><Relationship Id="rId20" Type="http://schemas.openxmlformats.org/officeDocument/2006/relationships/hyperlink" Target="http://lattes.cnpq.br/258313691966450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diagramColors" Target="diagrams/colors1.xml"/><Relationship Id="rId23" Type="http://schemas.openxmlformats.org/officeDocument/2006/relationships/fontTable" Target="fontTable.xml"/><Relationship Id="rId10" Type="http://schemas.openxmlformats.org/officeDocument/2006/relationships/chart" Target="charts/chart1.xml"/><Relationship Id="rId19" Type="http://schemas.openxmlformats.org/officeDocument/2006/relationships/hyperlink" Target="https://www.gov.br/sudene/pt-br/centrais-de-conteudo/ata-1-reunio-comit-tcnico-acompanhamento-fne-dias-13-e-21-02-19-recife-1-pdf" TargetMode="External"/><Relationship Id="rId4" Type="http://schemas.openxmlformats.org/officeDocument/2006/relationships/styles" Target="styles.xml"/><Relationship Id="rId9" Type="http://schemas.openxmlformats.org/officeDocument/2006/relationships/hyperlink" Target="http://www.in.gov.br/materia/-/asset_publisher/Kujrw0TZC2Mb/content/id/57510830/do1esp-2019-01-01-medida-provisoria-n-870-de-1-de-janeiro-de-2019-57510692" TargetMode="External"/><Relationship Id="rId14" Type="http://schemas.openxmlformats.org/officeDocument/2006/relationships/diagramQuickStyle" Target="diagrams/quickStyle1.xm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guilh\Desktop\CEPAL\Mudan&#231;as%20Normativas%20FNE.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guilh\Desktop\CEPAL\Mudan&#231;as%20Normativas%20FN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pt-BR"/>
  <c:chart>
    <c:autoTitleDeleted val="1"/>
    <c:plotArea>
      <c:layout>
        <c:manualLayout>
          <c:layoutTarget val="inner"/>
          <c:xMode val="edge"/>
          <c:yMode val="edge"/>
          <c:x val="9.1208499335989499E-2"/>
          <c:y val="3.7962638533264051E-2"/>
          <c:w val="0.88931385568835752"/>
          <c:h val="0.49067426473891274"/>
        </c:manualLayout>
      </c:layout>
      <c:barChart>
        <c:barDir val="col"/>
        <c:grouping val="clustered"/>
        <c:ser>
          <c:idx val="0"/>
          <c:order val="0"/>
          <c:tx>
            <c:strRef>
              <c:f>'Nº Governadores'!$L$27</c:f>
              <c:strCache>
                <c:ptCount val="1"/>
                <c:pt idx="0">
                  <c:v>Participação nas reuniões</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pt-BR"/>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'Nº Governadores'!$K$28:$K$40</c:f>
              <c:strCache>
                <c:ptCount val="13"/>
                <c:pt idx="0">
                  <c:v>Alagoas</c:v>
                </c:pt>
                <c:pt idx="1">
                  <c:v>Bahia</c:v>
                </c:pt>
                <c:pt idx="2">
                  <c:v>Ceará</c:v>
                </c:pt>
                <c:pt idx="3">
                  <c:v>Espírito Santo</c:v>
                </c:pt>
                <c:pt idx="4">
                  <c:v>Maranhão</c:v>
                </c:pt>
                <c:pt idx="5">
                  <c:v>Minas Gerais</c:v>
                </c:pt>
                <c:pt idx="6">
                  <c:v>Paraíba</c:v>
                </c:pt>
                <c:pt idx="7">
                  <c:v>Pernambuco</c:v>
                </c:pt>
                <c:pt idx="8">
                  <c:v>Piauí</c:v>
                </c:pt>
                <c:pt idx="9">
                  <c:v>Rio Grande do Norte</c:v>
                </c:pt>
                <c:pt idx="10">
                  <c:v>Sergipe</c:v>
                </c:pt>
                <c:pt idx="11">
                  <c:v>Presidentes do Brasil</c:v>
                </c:pt>
                <c:pt idx="12">
                  <c:v>Participação Simultânea dos Governadores do NE</c:v>
                </c:pt>
              </c:strCache>
            </c:strRef>
          </c:cat>
          <c:val>
            <c:numRef>
              <c:f>'Nº Governadores'!$L$28:$L$40</c:f>
              <c:numCache>
                <c:formatCode>0</c:formatCode>
                <c:ptCount val="13"/>
                <c:pt idx="0">
                  <c:v>29.629629629629626</c:v>
                </c:pt>
                <c:pt idx="1">
                  <c:v>25.92592592592591</c:v>
                </c:pt>
                <c:pt idx="2">
                  <c:v>48.148148148148188</c:v>
                </c:pt>
                <c:pt idx="3">
                  <c:v>7.4074074074074066</c:v>
                </c:pt>
                <c:pt idx="4">
                  <c:v>11.111111111111098</c:v>
                </c:pt>
                <c:pt idx="5">
                  <c:v>22.222222222222193</c:v>
                </c:pt>
                <c:pt idx="6">
                  <c:v>40.740740740740762</c:v>
                </c:pt>
                <c:pt idx="7">
                  <c:v>55.555555555555557</c:v>
                </c:pt>
                <c:pt idx="8">
                  <c:v>29.629629629629626</c:v>
                </c:pt>
                <c:pt idx="9">
                  <c:v>37.037037037037024</c:v>
                </c:pt>
                <c:pt idx="10">
                  <c:v>37.037037037037024</c:v>
                </c:pt>
                <c:pt idx="11">
                  <c:v>18.51851851851853</c:v>
                </c:pt>
                <c:pt idx="12">
                  <c:v>11.111111111111098</c:v>
                </c:pt>
              </c:numCache>
            </c:numRef>
          </c:val>
          <c:extLst xmlns:c16r2="http://schemas.microsoft.com/office/drawing/2015/06/chart">
            <c:ext xmlns:c16="http://schemas.microsoft.com/office/drawing/2014/chart" uri="{C3380CC4-5D6E-409C-BE32-E72D297353CC}">
              <c16:uniqueId val="{00000000-308A-4CCF-AF24-DBC58D1C961F}"/>
            </c:ext>
          </c:extLst>
        </c:ser>
        <c:dLbls>
          <c:showVal val="1"/>
        </c:dLbls>
        <c:gapWidth val="267"/>
        <c:overlap val="-43"/>
        <c:axId val="82549376"/>
        <c:axId val="83637376"/>
      </c:barChart>
      <c:catAx>
        <c:axId val="82549376"/>
        <c:scaling>
          <c:orientation val="minMax"/>
        </c:scaling>
        <c:axPos val="b"/>
        <c:majorGridlines>
          <c:spPr>
            <a:ln w="9525" cap="flat" cmpd="sng" algn="ctr">
              <a:solidFill>
                <a:schemeClr val="dk1">
                  <a:lumMod val="15000"/>
                  <a:lumOff val="85000"/>
                </a:schemeClr>
              </a:solidFill>
              <a:round/>
            </a:ln>
            <a:effectLst/>
          </c:spPr>
        </c:majorGridlines>
        <c:numFmt formatCode="General" sourceLinked="1"/>
        <c:majorTickMark val="none"/>
        <c:tickLblPos val="nextTo"/>
        <c:spPr>
          <a:noFill/>
          <a:ln w="9525" cap="flat" cmpd="sng" algn="ctr">
            <a:solidFill>
              <a:schemeClr val="dk1">
                <a:lumMod val="15000"/>
                <a:lumOff val="85000"/>
              </a:schemeClr>
            </a:solidFill>
            <a:round/>
          </a:ln>
          <a:effectLst/>
        </c:spPr>
        <c:txPr>
          <a:bodyPr rot="-5400000" spcFirstLastPara="1" vertOverflow="ellipsis" wrap="square" anchor="ctr" anchorCtr="1"/>
          <a:lstStyle/>
          <a:p>
            <a:pPr>
              <a:defRPr sz="1200" b="0" i="0" u="none" strike="noStrike" kern="1200" cap="none" spc="0" normalizeH="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pt-BR"/>
          </a:p>
        </c:txPr>
        <c:crossAx val="83637376"/>
        <c:crosses val="autoZero"/>
        <c:auto val="1"/>
        <c:lblAlgn val="ctr"/>
        <c:lblOffset val="100"/>
      </c:catAx>
      <c:valAx>
        <c:axId val="83637376"/>
        <c:scaling>
          <c:orientation val="minMax"/>
        </c:scaling>
        <c:axPos val="l"/>
        <c:majorGridlines>
          <c:spPr>
            <a:ln w="9525" cap="flat" cmpd="sng" algn="ctr">
              <a:solidFill>
                <a:schemeClr val="dk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r>
                  <a:rPr lang="pt-BR" sz="1200">
                    <a:latin typeface="Times New Roman" panose="02020603050405020304" pitchFamily="18" charset="0"/>
                    <a:cs typeface="Times New Roman" panose="02020603050405020304" pitchFamily="18" charset="0"/>
                  </a:rPr>
                  <a:t>Porcentagem da participação </a:t>
                </a:r>
              </a:p>
            </c:rich>
          </c:tx>
          <c:layout>
            <c:manualLayout>
              <c:xMode val="edge"/>
              <c:yMode val="edge"/>
              <c:x val="1.4184397163120564E-2"/>
              <c:y val="0.16008753381530641"/>
            </c:manualLayout>
          </c:layout>
          <c:spPr>
            <a:noFill/>
            <a:ln>
              <a:noFill/>
            </a:ln>
            <a:effectLst/>
          </c:spPr>
        </c:title>
        <c:numFmt formatCode="0" sourceLinked="1"/>
        <c:maj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pt-BR"/>
          </a:p>
        </c:txPr>
        <c:crossAx val="82549376"/>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chart>
  <c:spPr>
    <a:solidFill>
      <a:schemeClr val="lt1"/>
    </a:solidFill>
    <a:ln w="9525" cap="flat" cmpd="sng" algn="ctr">
      <a:solidFill>
        <a:schemeClr val="dk1">
          <a:lumMod val="15000"/>
          <a:lumOff val="85000"/>
        </a:schemeClr>
      </a:solidFill>
      <a:round/>
    </a:ln>
    <a:effectLst/>
  </c:spPr>
  <c:txPr>
    <a:bodyPr/>
    <a:lstStyle/>
    <a:p>
      <a:pPr>
        <a:defRPr/>
      </a:pPr>
      <a:endParaRPr lang="pt-BR"/>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pt-BR"/>
  <c:chart>
    <c:autoTitleDeleted val="1"/>
    <c:plotArea>
      <c:layout>
        <c:manualLayout>
          <c:layoutTarget val="inner"/>
          <c:xMode val="edge"/>
          <c:yMode val="edge"/>
          <c:x val="0.47433861250298281"/>
          <c:y val="2.3651145602365149E-2"/>
          <c:w val="0.52566138749701741"/>
          <c:h val="0.8852919438285296"/>
        </c:manualLayout>
      </c:layout>
      <c:barChart>
        <c:barDir val="bar"/>
        <c:grouping val="clustered"/>
        <c:ser>
          <c:idx val="0"/>
          <c:order val="0"/>
          <c:tx>
            <c:strRef>
              <c:f>'Locais dos Encontros'!$N$2</c:f>
              <c:strCache>
                <c:ptCount val="1"/>
                <c:pt idx="0">
                  <c:v>Nº de reuniões</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pt-BR"/>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'Locais dos Encontros'!$M$3:$M$16</c:f>
              <c:strCache>
                <c:ptCount val="14"/>
                <c:pt idx="0">
                  <c:v>Ministério da Integração/Brasília (DF)</c:v>
                </c:pt>
                <c:pt idx="1">
                  <c:v>Hotel Eco Resort/Cabo de Santo Agostinho (PE)</c:v>
                </c:pt>
                <c:pt idx="2">
                  <c:v>BNB/Fortaleza (CE)</c:v>
                </c:pt>
                <c:pt idx="3">
                  <c:v>Centro de Eventos/Fortaleza (CE)</c:v>
                </c:pt>
                <c:pt idx="4">
                  <c:v>Hotel Tambaú/João Pessoa (PB)</c:v>
                </c:pt>
                <c:pt idx="5">
                  <c:v>Hotel Ritz Lagoa da Anta/Maceió (AL)</c:v>
                </c:pt>
                <c:pt idx="6">
                  <c:v>Hotel Radisson/Maceió (AL)</c:v>
                </c:pt>
                <c:pt idx="7">
                  <c:v>Casa de Recepção Portal Eventos/Montes Claros (MG)</c:v>
                </c:pt>
                <c:pt idx="8">
                  <c:v>SUDENE/Recife (PE)</c:v>
                </c:pt>
                <c:pt idx="9">
                  <c:v>Recife/Sem Local Definido*</c:v>
                </c:pt>
                <c:pt idx="10">
                  <c:v>Instituto Ricardo Brennand/Recife (PE)</c:v>
                </c:pt>
                <c:pt idx="11">
                  <c:v>Hotel Stela Maris/Salvador (BA)</c:v>
                </c:pt>
                <c:pt idx="12">
                  <c:v>Metropolitan Hotel/Teresina (PI)</c:v>
                </c:pt>
                <c:pt idx="13">
                  <c:v>Vídeoconferência</c:v>
                </c:pt>
              </c:strCache>
            </c:strRef>
          </c:cat>
          <c:val>
            <c:numRef>
              <c:f>'Locais dos Encontros'!$N$3:$N$16</c:f>
              <c:numCache>
                <c:formatCode>General</c:formatCode>
                <c:ptCount val="14"/>
                <c:pt idx="0">
                  <c:v>3</c:v>
                </c:pt>
                <c:pt idx="1">
                  <c:v>1</c:v>
                </c:pt>
                <c:pt idx="2">
                  <c:v>2</c:v>
                </c:pt>
                <c:pt idx="3">
                  <c:v>2</c:v>
                </c:pt>
                <c:pt idx="4">
                  <c:v>1</c:v>
                </c:pt>
                <c:pt idx="5">
                  <c:v>1</c:v>
                </c:pt>
                <c:pt idx="6">
                  <c:v>1</c:v>
                </c:pt>
                <c:pt idx="7">
                  <c:v>1</c:v>
                </c:pt>
                <c:pt idx="8">
                  <c:v>5</c:v>
                </c:pt>
                <c:pt idx="9">
                  <c:v>1</c:v>
                </c:pt>
                <c:pt idx="10">
                  <c:v>5</c:v>
                </c:pt>
                <c:pt idx="11">
                  <c:v>1</c:v>
                </c:pt>
                <c:pt idx="12">
                  <c:v>1</c:v>
                </c:pt>
                <c:pt idx="13">
                  <c:v>2</c:v>
                </c:pt>
              </c:numCache>
            </c:numRef>
          </c:val>
          <c:extLst xmlns:c16r2="http://schemas.microsoft.com/office/drawing/2015/06/chart">
            <c:ext xmlns:c16="http://schemas.microsoft.com/office/drawing/2014/chart" uri="{C3380CC4-5D6E-409C-BE32-E72D297353CC}">
              <c16:uniqueId val="{00000000-FB05-4720-AE2C-6DAA3249B371}"/>
            </c:ext>
          </c:extLst>
        </c:ser>
        <c:gapWidth val="182"/>
        <c:axId val="111905408"/>
        <c:axId val="113325952"/>
      </c:barChart>
      <c:catAx>
        <c:axId val="111905408"/>
        <c:scaling>
          <c:orientation val="minMax"/>
        </c:scaling>
        <c:axPos val="l"/>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t-BR"/>
          </a:p>
        </c:txPr>
        <c:crossAx val="113325952"/>
        <c:crosses val="autoZero"/>
        <c:auto val="1"/>
        <c:lblAlgn val="ctr"/>
        <c:lblOffset val="100"/>
      </c:catAx>
      <c:valAx>
        <c:axId val="113325952"/>
        <c:scaling>
          <c:orientation val="minMax"/>
        </c:scaling>
        <c:delete val="1"/>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pt-BR" sz="1200">
                    <a:latin typeface="Times New Roman" panose="02020603050405020304" pitchFamily="18" charset="0"/>
                    <a:cs typeface="Times New Roman" panose="02020603050405020304" pitchFamily="18" charset="0"/>
                  </a:rPr>
                  <a:t>Nº</a:t>
                </a:r>
                <a:r>
                  <a:rPr lang="pt-BR" sz="1200" baseline="0">
                    <a:latin typeface="Times New Roman" panose="02020603050405020304" pitchFamily="18" charset="0"/>
                    <a:cs typeface="Times New Roman" panose="02020603050405020304" pitchFamily="18" charset="0"/>
                  </a:rPr>
                  <a:t> de Reuniões</a:t>
                </a:r>
                <a:endParaRPr lang="pt-BR" sz="1200">
                  <a:latin typeface="Times New Roman" panose="02020603050405020304" pitchFamily="18" charset="0"/>
                  <a:cs typeface="Times New Roman" panose="02020603050405020304" pitchFamily="18" charset="0"/>
                </a:endParaRPr>
              </a:p>
            </c:rich>
          </c:tx>
          <c:layout>
            <c:manualLayout>
              <c:xMode val="edge"/>
              <c:yMode val="edge"/>
              <c:x val="0.81168461085221488"/>
              <c:y val="0.91831062100843952"/>
            </c:manualLayout>
          </c:layout>
          <c:spPr>
            <a:noFill/>
            <a:ln>
              <a:noFill/>
            </a:ln>
            <a:effectLst/>
          </c:spPr>
        </c:title>
        <c:numFmt formatCode="General" sourceLinked="1"/>
        <c:majorTickMark val="none"/>
        <c:tickLblPos val="nextTo"/>
        <c:crossAx val="111905408"/>
        <c:crosses val="autoZero"/>
        <c:crossBetween val="between"/>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1"/>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3C90C65-C3D9-4CE8-BFCF-39DCBA1C0D43}" type="doc">
      <dgm:prSet loTypeId="urn:microsoft.com/office/officeart/2008/layout/HorizontalMultiLevelHierarchy" loCatId="hierarchy" qsTypeId="urn:microsoft.com/office/officeart/2005/8/quickstyle/simple1" qsCatId="simple" csTypeId="urn:microsoft.com/office/officeart/2005/8/colors/accent1_2" csCatId="accent1" phldr="1"/>
      <dgm:spPr/>
      <dgm:t>
        <a:bodyPr/>
        <a:lstStyle/>
        <a:p>
          <a:endParaRPr lang="pt-BR"/>
        </a:p>
      </dgm:t>
    </dgm:pt>
    <dgm:pt modelId="{B175C72D-0099-408B-86FE-06496C679B4E}">
      <dgm:prSet phldrT="[Texto]" custT="1"/>
      <dgm:spPr/>
      <dgm:t>
        <a:bodyPr/>
        <a:lstStyle/>
        <a:p>
          <a:r>
            <a:rPr lang="pt-BR" sz="2000">
              <a:latin typeface="Times New Roman" panose="02020603050405020304" pitchFamily="18" charset="0"/>
              <a:cs typeface="Times New Roman" panose="02020603050405020304" pitchFamily="18" charset="0"/>
            </a:rPr>
            <a:t>Resoluções (151)</a:t>
          </a:r>
        </a:p>
      </dgm:t>
    </dgm:pt>
    <dgm:pt modelId="{C464BC2E-5D96-4953-A359-504FA78F8104}" type="parTrans" cxnId="{E8B60166-A767-49BD-828E-D3C66C2B4D5B}">
      <dgm:prSet/>
      <dgm:spPr/>
      <dgm:t>
        <a:bodyPr/>
        <a:lstStyle/>
        <a:p>
          <a:endParaRPr lang="pt-BR"/>
        </a:p>
      </dgm:t>
    </dgm:pt>
    <dgm:pt modelId="{FD68635C-448C-4171-B8D5-4718B8CA14F7}" type="sibTrans" cxnId="{E8B60166-A767-49BD-828E-D3C66C2B4D5B}">
      <dgm:prSet/>
      <dgm:spPr/>
      <dgm:t>
        <a:bodyPr/>
        <a:lstStyle/>
        <a:p>
          <a:endParaRPr lang="pt-BR"/>
        </a:p>
      </dgm:t>
    </dgm:pt>
    <dgm:pt modelId="{6F7980C0-D5DC-415E-8123-76AB00A9559E}">
      <dgm:prSet phldrT="[Texto]" custT="1"/>
      <dgm:spPr/>
      <dgm:t>
        <a:bodyPr/>
        <a:lstStyle/>
        <a:p>
          <a:r>
            <a:rPr lang="pt-BR" sz="1200">
              <a:latin typeface="Times New Roman" panose="02020603050405020304" pitchFamily="18" charset="0"/>
              <a:cs typeface="Times New Roman" panose="02020603050405020304" pitchFamily="18" charset="0"/>
            </a:rPr>
            <a:t>Ampliação das linhas de crédito, concessão de dívidas e novas funções  (a- 29)</a:t>
          </a:r>
        </a:p>
      </dgm:t>
    </dgm:pt>
    <dgm:pt modelId="{95BEBBB8-6FFF-414B-87D3-67DDA81B0FCA}" type="parTrans" cxnId="{B4122F90-4881-42F8-8BB9-2D7AA31D65E1}">
      <dgm:prSet/>
      <dgm:spPr/>
      <dgm:t>
        <a:bodyPr/>
        <a:lstStyle/>
        <a:p>
          <a:endParaRPr lang="pt-BR"/>
        </a:p>
      </dgm:t>
    </dgm:pt>
    <dgm:pt modelId="{7DC1A769-AFCC-4A67-B1E1-0E702D589F79}" type="sibTrans" cxnId="{B4122F90-4881-42F8-8BB9-2D7AA31D65E1}">
      <dgm:prSet/>
      <dgm:spPr/>
      <dgm:t>
        <a:bodyPr/>
        <a:lstStyle/>
        <a:p>
          <a:endParaRPr lang="pt-BR"/>
        </a:p>
      </dgm:t>
    </dgm:pt>
    <dgm:pt modelId="{5000155E-F399-4757-B4ED-D2EDB3B72496}">
      <dgm:prSet phldrT="[Texto]" custT="1"/>
      <dgm:spPr/>
      <dgm:t>
        <a:bodyPr/>
        <a:lstStyle/>
        <a:p>
          <a:r>
            <a:rPr lang="pt-BR" sz="1200">
              <a:latin typeface="Times New Roman" panose="02020603050405020304" pitchFamily="18" charset="0"/>
              <a:cs typeface="Times New Roman" panose="02020603050405020304" pitchFamily="18" charset="0"/>
            </a:rPr>
            <a:t>Abrangência Territorial (b-5)</a:t>
          </a:r>
        </a:p>
      </dgm:t>
    </dgm:pt>
    <dgm:pt modelId="{EB85659E-66B9-4C79-9C8B-B81A71F3DEF0}" type="parTrans" cxnId="{E25688B8-E9FF-46AC-BAAD-15BA7DA42310}">
      <dgm:prSet/>
      <dgm:spPr/>
      <dgm:t>
        <a:bodyPr/>
        <a:lstStyle/>
        <a:p>
          <a:endParaRPr lang="pt-BR"/>
        </a:p>
      </dgm:t>
    </dgm:pt>
    <dgm:pt modelId="{B1BBFC96-1944-4598-B9D4-774197EAECFC}" type="sibTrans" cxnId="{E25688B8-E9FF-46AC-BAAD-15BA7DA42310}">
      <dgm:prSet/>
      <dgm:spPr/>
      <dgm:t>
        <a:bodyPr/>
        <a:lstStyle/>
        <a:p>
          <a:endParaRPr lang="pt-BR"/>
        </a:p>
      </dgm:t>
    </dgm:pt>
    <dgm:pt modelId="{DBA7FCEC-0A50-40AA-A36F-05DB26012D05}">
      <dgm:prSet phldrT="[Texto]" custT="1"/>
      <dgm:spPr/>
      <dgm:t>
        <a:bodyPr/>
        <a:lstStyle/>
        <a:p>
          <a:r>
            <a:rPr lang="pt-BR" sz="1200">
              <a:latin typeface="Times New Roman" panose="02020603050405020304" pitchFamily="18" charset="0"/>
              <a:cs typeface="Times New Roman" panose="02020603050405020304" pitchFamily="18" charset="0"/>
            </a:rPr>
            <a:t>Ação Emergencial          (c-11)</a:t>
          </a:r>
        </a:p>
      </dgm:t>
    </dgm:pt>
    <dgm:pt modelId="{45260C5E-D65B-4EA3-ABCF-293C4ED9F525}" type="parTrans" cxnId="{13229A8B-2D83-4060-B899-1734AB3EDF5D}">
      <dgm:prSet/>
      <dgm:spPr/>
      <dgm:t>
        <a:bodyPr/>
        <a:lstStyle/>
        <a:p>
          <a:endParaRPr lang="pt-BR"/>
        </a:p>
      </dgm:t>
    </dgm:pt>
    <dgm:pt modelId="{0CC2DE3D-5785-4429-A8D0-E57E39A42881}" type="sibTrans" cxnId="{13229A8B-2D83-4060-B899-1734AB3EDF5D}">
      <dgm:prSet/>
      <dgm:spPr/>
      <dgm:t>
        <a:bodyPr/>
        <a:lstStyle/>
        <a:p>
          <a:endParaRPr lang="pt-BR"/>
        </a:p>
      </dgm:t>
    </dgm:pt>
    <dgm:pt modelId="{A21EA0E4-7AAB-4907-83ED-44BE53B0B878}">
      <dgm:prSet custT="1"/>
      <dgm:spPr/>
      <dgm:t>
        <a:bodyPr/>
        <a:lstStyle/>
        <a:p>
          <a:r>
            <a:rPr lang="pt-BR" sz="1200">
              <a:latin typeface="Times New Roman" panose="02020603050405020304" pitchFamily="18" charset="0"/>
              <a:cs typeface="Times New Roman" panose="02020603050405020304" pitchFamily="18" charset="0"/>
            </a:rPr>
            <a:t>Comitês auxiliares, instrumentos de governança, leis e planos  paralelos  ao CONDEL                         (d-10)</a:t>
          </a:r>
        </a:p>
      </dgm:t>
    </dgm:pt>
    <dgm:pt modelId="{3906B8E7-A6FD-4CDC-86F3-D541487DC285}" type="parTrans" cxnId="{8473D545-5076-4920-A330-55F3F338A2B8}">
      <dgm:prSet/>
      <dgm:spPr/>
      <dgm:t>
        <a:bodyPr/>
        <a:lstStyle/>
        <a:p>
          <a:endParaRPr lang="pt-BR"/>
        </a:p>
      </dgm:t>
    </dgm:pt>
    <dgm:pt modelId="{4D00FB76-416B-4CE3-8B02-8B846E7CDDF1}" type="sibTrans" cxnId="{8473D545-5076-4920-A330-55F3F338A2B8}">
      <dgm:prSet/>
      <dgm:spPr/>
      <dgm:t>
        <a:bodyPr/>
        <a:lstStyle/>
        <a:p>
          <a:endParaRPr lang="pt-BR"/>
        </a:p>
      </dgm:t>
    </dgm:pt>
    <dgm:pt modelId="{99D0E7CB-A697-4418-A790-E80E17A8A47C}">
      <dgm:prSet custT="1"/>
      <dgm:spPr/>
      <dgm:t>
        <a:bodyPr/>
        <a:lstStyle/>
        <a:p>
          <a:r>
            <a:rPr lang="pt-BR" sz="1200" kern="1200">
              <a:latin typeface="Times New Roman" panose="02020603050405020304" pitchFamily="18" charset="0"/>
              <a:cs typeface="Times New Roman" panose="02020603050405020304" pitchFamily="18" charset="0"/>
            </a:rPr>
            <a:t>Desenvolvimento social (educação, capacitação profissional</a:t>
          </a:r>
          <a:r>
            <a:rPr lang="pt-BR" sz="1200" kern="1200">
              <a:solidFill>
                <a:sysClr val="window" lastClr="FFFFFF"/>
              </a:solidFill>
              <a:latin typeface="Times New Roman" panose="02020603050405020304" pitchFamily="18" charset="0"/>
              <a:ea typeface="+mn-ea"/>
              <a:cs typeface="Times New Roman" panose="02020603050405020304" pitchFamily="18" charset="0"/>
            </a:rPr>
            <a:t>, saúde, sustentabilidade, etc) (a.3-8)</a:t>
          </a:r>
        </a:p>
      </dgm:t>
    </dgm:pt>
    <dgm:pt modelId="{27556496-85F0-4687-8EF8-972351CAFCC6}" type="parTrans" cxnId="{20A3777D-6672-4E57-A7A0-B2292785DA98}">
      <dgm:prSet/>
      <dgm:spPr/>
      <dgm:t>
        <a:bodyPr/>
        <a:lstStyle/>
        <a:p>
          <a:endParaRPr lang="pt-BR"/>
        </a:p>
      </dgm:t>
    </dgm:pt>
    <dgm:pt modelId="{C37C0899-92EB-42F1-90E5-55088A3168D4}" type="sibTrans" cxnId="{20A3777D-6672-4E57-A7A0-B2292785DA98}">
      <dgm:prSet/>
      <dgm:spPr/>
      <dgm:t>
        <a:bodyPr/>
        <a:lstStyle/>
        <a:p>
          <a:endParaRPr lang="pt-BR"/>
        </a:p>
      </dgm:t>
    </dgm:pt>
    <dgm:pt modelId="{021E6D4C-A674-4A7D-9A3C-ED7540F75BF2}">
      <dgm:prSet custT="1"/>
      <dgm:spPr/>
      <dgm:t>
        <a:bodyPr/>
        <a:lstStyle/>
        <a:p>
          <a:r>
            <a:rPr lang="pt-BR" sz="1200">
              <a:latin typeface="Times New Roman" panose="02020603050405020304" pitchFamily="18" charset="0"/>
              <a:cs typeface="Times New Roman" panose="02020603050405020304" pitchFamily="18" charset="0"/>
            </a:rPr>
            <a:t>Investimentos em infraestrutura (a.2-3)</a:t>
          </a:r>
        </a:p>
      </dgm:t>
    </dgm:pt>
    <dgm:pt modelId="{FB36D90D-073D-442C-AF72-3183D20F205C}" type="parTrans" cxnId="{FB6719EA-7D7D-40AB-820D-C36F548B1825}">
      <dgm:prSet/>
      <dgm:spPr/>
      <dgm:t>
        <a:bodyPr/>
        <a:lstStyle/>
        <a:p>
          <a:endParaRPr lang="pt-BR"/>
        </a:p>
      </dgm:t>
    </dgm:pt>
    <dgm:pt modelId="{E1D05C50-7DDA-4AC8-9338-AAE5CA200C03}" type="sibTrans" cxnId="{FB6719EA-7D7D-40AB-820D-C36F548B1825}">
      <dgm:prSet/>
      <dgm:spPr/>
      <dgm:t>
        <a:bodyPr/>
        <a:lstStyle/>
        <a:p>
          <a:endParaRPr lang="pt-BR"/>
        </a:p>
      </dgm:t>
    </dgm:pt>
    <dgm:pt modelId="{3148E544-9EA2-4AA6-B3B9-D96105DC6CEE}">
      <dgm:prSet custT="1"/>
      <dgm:spPr/>
      <dgm:t>
        <a:bodyPr/>
        <a:lstStyle/>
        <a:p>
          <a:r>
            <a:rPr lang="pt-BR" sz="1200">
              <a:latin typeface="Times New Roman" panose="02020603050405020304" pitchFamily="18" charset="0"/>
              <a:cs typeface="Times New Roman" panose="02020603050405020304" pitchFamily="18" charset="0"/>
            </a:rPr>
            <a:t>Prorrogação de dívidas, atualização de incentivos fiscais, ampliação do limite e expansão do público alvo (a.1-18)</a:t>
          </a:r>
        </a:p>
      </dgm:t>
    </dgm:pt>
    <dgm:pt modelId="{7FC121E3-2438-415C-9AF7-D3863994F597}" type="parTrans" cxnId="{73BF642C-F7F8-4A56-BB5E-8EDFCBA29D5F}">
      <dgm:prSet/>
      <dgm:spPr/>
      <dgm:t>
        <a:bodyPr/>
        <a:lstStyle/>
        <a:p>
          <a:endParaRPr lang="pt-BR"/>
        </a:p>
      </dgm:t>
    </dgm:pt>
    <dgm:pt modelId="{0D7298DA-5E90-4D5A-B7E9-68F452BE13D4}" type="sibTrans" cxnId="{73BF642C-F7F8-4A56-BB5E-8EDFCBA29D5F}">
      <dgm:prSet/>
      <dgm:spPr/>
      <dgm:t>
        <a:bodyPr/>
        <a:lstStyle/>
        <a:p>
          <a:endParaRPr lang="pt-BR"/>
        </a:p>
      </dgm:t>
    </dgm:pt>
    <dgm:pt modelId="{31C53EC2-234C-4408-B0C5-1B58C27D536F}">
      <dgm:prSet custT="1"/>
      <dgm:spPr/>
      <dgm:t>
        <a:bodyPr/>
        <a:lstStyle/>
        <a:p>
          <a:r>
            <a:rPr lang="pt-BR" sz="1200">
              <a:latin typeface="Times New Roman" panose="02020603050405020304" pitchFamily="18" charset="0"/>
              <a:cs typeface="Times New Roman" panose="02020603050405020304" pitchFamily="18" charset="0"/>
            </a:rPr>
            <a:t>Programa Emercengial para a Seca (c.1-2)</a:t>
          </a:r>
        </a:p>
      </dgm:t>
    </dgm:pt>
    <dgm:pt modelId="{6C411F6B-9676-4D68-9C14-D96FCD61A339}" type="parTrans" cxnId="{DB302D36-E751-42FE-9BD3-49F159E1937E}">
      <dgm:prSet/>
      <dgm:spPr/>
      <dgm:t>
        <a:bodyPr/>
        <a:lstStyle/>
        <a:p>
          <a:endParaRPr lang="pt-BR"/>
        </a:p>
      </dgm:t>
    </dgm:pt>
    <dgm:pt modelId="{9674BB7F-D557-47AA-9657-345BF67691FB}" type="sibTrans" cxnId="{DB302D36-E751-42FE-9BD3-49F159E1937E}">
      <dgm:prSet/>
      <dgm:spPr/>
      <dgm:t>
        <a:bodyPr/>
        <a:lstStyle/>
        <a:p>
          <a:endParaRPr lang="pt-BR"/>
        </a:p>
      </dgm:t>
    </dgm:pt>
    <dgm:pt modelId="{A5E42551-FF9A-47C1-AC0E-4D2D0FA695AB}">
      <dgm:prSet custT="1"/>
      <dgm:spPr/>
      <dgm:t>
        <a:bodyPr/>
        <a:lstStyle/>
        <a:p>
          <a:r>
            <a:rPr lang="pt-BR" sz="1200">
              <a:latin typeface="Times New Roman" panose="02020603050405020304" pitchFamily="18" charset="0"/>
              <a:cs typeface="Times New Roman" panose="02020603050405020304" pitchFamily="18" charset="0"/>
            </a:rPr>
            <a:t>Pandemia SARS-CoV-2 (c.2-9)</a:t>
          </a:r>
        </a:p>
      </dgm:t>
    </dgm:pt>
    <dgm:pt modelId="{4B0C7872-6C01-48DE-83A8-A1FB7EB1730B}" type="parTrans" cxnId="{C2A9F8D1-ACB5-4DE8-B344-350CE58353B4}">
      <dgm:prSet/>
      <dgm:spPr/>
      <dgm:t>
        <a:bodyPr/>
        <a:lstStyle/>
        <a:p>
          <a:endParaRPr lang="pt-BR"/>
        </a:p>
      </dgm:t>
    </dgm:pt>
    <dgm:pt modelId="{85AAD94E-399A-407F-9849-2ACAB31B8914}" type="sibTrans" cxnId="{C2A9F8D1-ACB5-4DE8-B344-350CE58353B4}">
      <dgm:prSet/>
      <dgm:spPr/>
      <dgm:t>
        <a:bodyPr/>
        <a:lstStyle/>
        <a:p>
          <a:endParaRPr lang="pt-BR"/>
        </a:p>
      </dgm:t>
    </dgm:pt>
    <dgm:pt modelId="{1422D2F7-FBF4-4F22-9AE9-26A732F8D953}">
      <dgm:prSet custT="1"/>
      <dgm:spPr/>
      <dgm:t>
        <a:bodyPr/>
        <a:lstStyle/>
        <a:p>
          <a:r>
            <a:rPr lang="pt-BR" sz="1200">
              <a:latin typeface="Times New Roman" panose="02020603050405020304" pitchFamily="18" charset="0"/>
              <a:cs typeface="Times New Roman" panose="02020603050405020304" pitchFamily="18" charset="0"/>
            </a:rPr>
            <a:t>Estrutura normativa, fiananceira e administrativa (e-96)</a:t>
          </a:r>
        </a:p>
      </dgm:t>
    </dgm:pt>
    <dgm:pt modelId="{EF4BF13C-3019-4982-B1D0-1CED42E60542}" type="parTrans" cxnId="{7EEE5808-ECFA-4A8D-9458-227517DAD6F7}">
      <dgm:prSet/>
      <dgm:spPr/>
      <dgm:t>
        <a:bodyPr/>
        <a:lstStyle/>
        <a:p>
          <a:endParaRPr lang="pt-BR"/>
        </a:p>
      </dgm:t>
    </dgm:pt>
    <dgm:pt modelId="{217F449B-AE29-419D-AE9F-D9AC1C1ADF27}" type="sibTrans" cxnId="{7EEE5808-ECFA-4A8D-9458-227517DAD6F7}">
      <dgm:prSet/>
      <dgm:spPr/>
      <dgm:t>
        <a:bodyPr/>
        <a:lstStyle/>
        <a:p>
          <a:endParaRPr lang="pt-BR"/>
        </a:p>
      </dgm:t>
    </dgm:pt>
    <dgm:pt modelId="{AF2DA887-99D4-47A9-8E6E-6E30A20C5592}">
      <dgm:prSet custT="1"/>
      <dgm:spPr/>
      <dgm:t>
        <a:bodyPr/>
        <a:lstStyle/>
        <a:p>
          <a:r>
            <a:rPr lang="pt-BR" sz="1200">
              <a:latin typeface="Times New Roman" panose="02020603050405020304" pitchFamily="18" charset="0"/>
              <a:cs typeface="Times New Roman" panose="02020603050405020304" pitchFamily="18" charset="0"/>
            </a:rPr>
            <a:t>Regimento Interno-CONDDEL (e.3-2)</a:t>
          </a:r>
        </a:p>
      </dgm:t>
    </dgm:pt>
    <dgm:pt modelId="{115BF2A9-6287-4235-A299-6FF8A8E4A6EA}" type="parTrans" cxnId="{FD340E6C-396E-41D8-A6B0-CB6D1B6221DF}">
      <dgm:prSet/>
      <dgm:spPr/>
      <dgm:t>
        <a:bodyPr/>
        <a:lstStyle/>
        <a:p>
          <a:endParaRPr lang="pt-BR"/>
        </a:p>
      </dgm:t>
    </dgm:pt>
    <dgm:pt modelId="{28D1CDA7-9A4A-48A2-8645-6DEBF98920CC}" type="sibTrans" cxnId="{FD340E6C-396E-41D8-A6B0-CB6D1B6221DF}">
      <dgm:prSet/>
      <dgm:spPr/>
      <dgm:t>
        <a:bodyPr/>
        <a:lstStyle/>
        <a:p>
          <a:endParaRPr lang="pt-BR"/>
        </a:p>
      </dgm:t>
    </dgm:pt>
    <dgm:pt modelId="{F616D076-F2F8-4255-A22D-84DEA9E5AE78}">
      <dgm:prSet custT="1"/>
      <dgm:spPr/>
      <dgm:t>
        <a:bodyPr/>
        <a:lstStyle/>
        <a:p>
          <a:r>
            <a:rPr lang="pt-BR" sz="1200">
              <a:latin typeface="Times New Roman" panose="02020603050405020304" pitchFamily="18" charset="0"/>
              <a:cs typeface="Times New Roman" panose="02020603050405020304" pitchFamily="18" charset="0"/>
            </a:rPr>
            <a:t>Medidas operacionais: Aprovação, avaliação e revisão das programações, diretrizes, prioridades e instrumentos de governança (e.2-84)</a:t>
          </a:r>
        </a:p>
      </dgm:t>
    </dgm:pt>
    <dgm:pt modelId="{B5C22D8C-D758-4CAE-A74F-FC675D327868}" type="parTrans" cxnId="{12218816-A08D-4A36-9819-038A41EB13C3}">
      <dgm:prSet/>
      <dgm:spPr/>
      <dgm:t>
        <a:bodyPr/>
        <a:lstStyle/>
        <a:p>
          <a:endParaRPr lang="pt-BR"/>
        </a:p>
      </dgm:t>
    </dgm:pt>
    <dgm:pt modelId="{0AD751DA-4F3D-4143-AF99-F56B2A3E4AE7}" type="sibTrans" cxnId="{12218816-A08D-4A36-9819-038A41EB13C3}">
      <dgm:prSet/>
      <dgm:spPr/>
      <dgm:t>
        <a:bodyPr/>
        <a:lstStyle/>
        <a:p>
          <a:endParaRPr lang="pt-BR"/>
        </a:p>
      </dgm:t>
    </dgm:pt>
    <dgm:pt modelId="{8229FDF6-F834-4F50-BAE9-10DC680E17D9}">
      <dgm:prSet custT="1"/>
      <dgm:spPr/>
      <dgm:t>
        <a:bodyPr/>
        <a:lstStyle/>
        <a:p>
          <a:r>
            <a:rPr lang="pt-BR" sz="1200">
              <a:latin typeface="Times New Roman" panose="02020603050405020304" pitchFamily="18" charset="0"/>
              <a:cs typeface="Times New Roman" panose="02020603050405020304" pitchFamily="18" charset="0"/>
            </a:rPr>
            <a:t>Transferência de competência e  compatibilização normativa (e.1-8)</a:t>
          </a:r>
        </a:p>
      </dgm:t>
    </dgm:pt>
    <dgm:pt modelId="{47648B8C-45D1-44E7-8105-AF507BD0E056}" type="parTrans" cxnId="{650512D7-E628-4190-B67E-4B53522A106D}">
      <dgm:prSet/>
      <dgm:spPr/>
      <dgm:t>
        <a:bodyPr/>
        <a:lstStyle/>
        <a:p>
          <a:endParaRPr lang="pt-BR"/>
        </a:p>
      </dgm:t>
    </dgm:pt>
    <dgm:pt modelId="{DD6E6DC2-2A6B-46C6-A980-9081EF02DDAA}" type="sibTrans" cxnId="{650512D7-E628-4190-B67E-4B53522A106D}">
      <dgm:prSet/>
      <dgm:spPr/>
      <dgm:t>
        <a:bodyPr/>
        <a:lstStyle/>
        <a:p>
          <a:endParaRPr lang="pt-BR"/>
        </a:p>
      </dgm:t>
    </dgm:pt>
    <dgm:pt modelId="{BD1E91CB-E0C7-44FD-AF42-34DF35FF70DF}" type="pres">
      <dgm:prSet presAssocID="{D3C90C65-C3D9-4CE8-BFCF-39DCBA1C0D43}" presName="Name0" presStyleCnt="0">
        <dgm:presLayoutVars>
          <dgm:chPref val="1"/>
          <dgm:dir/>
          <dgm:animOne val="branch"/>
          <dgm:animLvl val="lvl"/>
          <dgm:resizeHandles val="exact"/>
        </dgm:presLayoutVars>
      </dgm:prSet>
      <dgm:spPr/>
      <dgm:t>
        <a:bodyPr/>
        <a:lstStyle/>
        <a:p>
          <a:endParaRPr lang="pt-BR"/>
        </a:p>
      </dgm:t>
    </dgm:pt>
    <dgm:pt modelId="{9C404BC9-16DD-4306-8A75-E77D35716265}" type="pres">
      <dgm:prSet presAssocID="{B175C72D-0099-408B-86FE-06496C679B4E}" presName="root1" presStyleCnt="0"/>
      <dgm:spPr/>
    </dgm:pt>
    <dgm:pt modelId="{F904B88C-CA83-44EC-9BF5-74F4F3CF8750}" type="pres">
      <dgm:prSet presAssocID="{B175C72D-0099-408B-86FE-06496C679B4E}" presName="LevelOneTextNode" presStyleLbl="node0" presStyleIdx="0" presStyleCnt="1">
        <dgm:presLayoutVars>
          <dgm:chPref val="3"/>
        </dgm:presLayoutVars>
      </dgm:prSet>
      <dgm:spPr/>
      <dgm:t>
        <a:bodyPr/>
        <a:lstStyle/>
        <a:p>
          <a:endParaRPr lang="pt-BR"/>
        </a:p>
      </dgm:t>
    </dgm:pt>
    <dgm:pt modelId="{60AF6011-7912-448A-80F3-F7DA986A1692}" type="pres">
      <dgm:prSet presAssocID="{B175C72D-0099-408B-86FE-06496C679B4E}" presName="level2hierChild" presStyleCnt="0"/>
      <dgm:spPr/>
    </dgm:pt>
    <dgm:pt modelId="{4EEE8EF0-7C64-4496-B0B5-D982153D8FFA}" type="pres">
      <dgm:prSet presAssocID="{95BEBBB8-6FFF-414B-87D3-67DDA81B0FCA}" presName="conn2-1" presStyleLbl="parChTrans1D2" presStyleIdx="0" presStyleCnt="5"/>
      <dgm:spPr/>
      <dgm:t>
        <a:bodyPr/>
        <a:lstStyle/>
        <a:p>
          <a:endParaRPr lang="pt-BR"/>
        </a:p>
      </dgm:t>
    </dgm:pt>
    <dgm:pt modelId="{4B3775A1-0443-4FBD-A22E-08FDA5CAC911}" type="pres">
      <dgm:prSet presAssocID="{95BEBBB8-6FFF-414B-87D3-67DDA81B0FCA}" presName="connTx" presStyleLbl="parChTrans1D2" presStyleIdx="0" presStyleCnt="5"/>
      <dgm:spPr/>
      <dgm:t>
        <a:bodyPr/>
        <a:lstStyle/>
        <a:p>
          <a:endParaRPr lang="pt-BR"/>
        </a:p>
      </dgm:t>
    </dgm:pt>
    <dgm:pt modelId="{45B9F829-BE53-44F7-A2F1-9B8D5E643AEF}" type="pres">
      <dgm:prSet presAssocID="{6F7980C0-D5DC-415E-8123-76AB00A9559E}" presName="root2" presStyleCnt="0"/>
      <dgm:spPr/>
    </dgm:pt>
    <dgm:pt modelId="{FC2B7B93-A172-460E-9769-D6FE5E26BB4D}" type="pres">
      <dgm:prSet presAssocID="{6F7980C0-D5DC-415E-8123-76AB00A9559E}" presName="LevelTwoTextNode" presStyleLbl="node2" presStyleIdx="0" presStyleCnt="5" custScaleX="114197" custScaleY="182140">
        <dgm:presLayoutVars>
          <dgm:chPref val="3"/>
        </dgm:presLayoutVars>
      </dgm:prSet>
      <dgm:spPr/>
      <dgm:t>
        <a:bodyPr/>
        <a:lstStyle/>
        <a:p>
          <a:endParaRPr lang="pt-BR"/>
        </a:p>
      </dgm:t>
    </dgm:pt>
    <dgm:pt modelId="{967CBF59-B102-40C7-BAB7-52D5F9B2DBBA}" type="pres">
      <dgm:prSet presAssocID="{6F7980C0-D5DC-415E-8123-76AB00A9559E}" presName="level3hierChild" presStyleCnt="0"/>
      <dgm:spPr/>
    </dgm:pt>
    <dgm:pt modelId="{9402D566-65D8-435F-9775-A598C9F33776}" type="pres">
      <dgm:prSet presAssocID="{7FC121E3-2438-415C-9AF7-D3863994F597}" presName="conn2-1" presStyleLbl="parChTrans1D3" presStyleIdx="0" presStyleCnt="8"/>
      <dgm:spPr/>
      <dgm:t>
        <a:bodyPr/>
        <a:lstStyle/>
        <a:p>
          <a:endParaRPr lang="pt-BR"/>
        </a:p>
      </dgm:t>
    </dgm:pt>
    <dgm:pt modelId="{99FECB7C-168F-4815-BC60-40F5C3185CC8}" type="pres">
      <dgm:prSet presAssocID="{7FC121E3-2438-415C-9AF7-D3863994F597}" presName="connTx" presStyleLbl="parChTrans1D3" presStyleIdx="0" presStyleCnt="8"/>
      <dgm:spPr/>
      <dgm:t>
        <a:bodyPr/>
        <a:lstStyle/>
        <a:p>
          <a:endParaRPr lang="pt-BR"/>
        </a:p>
      </dgm:t>
    </dgm:pt>
    <dgm:pt modelId="{980C50FE-E675-4A81-B59C-EB3BF72D111A}" type="pres">
      <dgm:prSet presAssocID="{3148E544-9EA2-4AA6-B3B9-D96105DC6CEE}" presName="root2" presStyleCnt="0"/>
      <dgm:spPr/>
    </dgm:pt>
    <dgm:pt modelId="{8D059FA8-6A34-442B-9BE6-CBB1F73D3849}" type="pres">
      <dgm:prSet presAssocID="{3148E544-9EA2-4AA6-B3B9-D96105DC6CEE}" presName="LevelTwoTextNode" presStyleLbl="node3" presStyleIdx="0" presStyleCnt="8" custScaleX="166119" custScaleY="165375">
        <dgm:presLayoutVars>
          <dgm:chPref val="3"/>
        </dgm:presLayoutVars>
      </dgm:prSet>
      <dgm:spPr/>
      <dgm:t>
        <a:bodyPr/>
        <a:lstStyle/>
        <a:p>
          <a:endParaRPr lang="pt-BR"/>
        </a:p>
      </dgm:t>
    </dgm:pt>
    <dgm:pt modelId="{DB2CC4D3-879D-404E-A49F-F2211A3EBF64}" type="pres">
      <dgm:prSet presAssocID="{3148E544-9EA2-4AA6-B3B9-D96105DC6CEE}" presName="level3hierChild" presStyleCnt="0"/>
      <dgm:spPr/>
    </dgm:pt>
    <dgm:pt modelId="{3400E5DE-C3C4-4823-AB75-945499F3170E}" type="pres">
      <dgm:prSet presAssocID="{FB36D90D-073D-442C-AF72-3183D20F205C}" presName="conn2-1" presStyleLbl="parChTrans1D3" presStyleIdx="1" presStyleCnt="8"/>
      <dgm:spPr/>
      <dgm:t>
        <a:bodyPr/>
        <a:lstStyle/>
        <a:p>
          <a:endParaRPr lang="pt-BR"/>
        </a:p>
      </dgm:t>
    </dgm:pt>
    <dgm:pt modelId="{3A18E4E9-D842-472E-A53B-F8C95443E69C}" type="pres">
      <dgm:prSet presAssocID="{FB36D90D-073D-442C-AF72-3183D20F205C}" presName="connTx" presStyleLbl="parChTrans1D3" presStyleIdx="1" presStyleCnt="8"/>
      <dgm:spPr/>
      <dgm:t>
        <a:bodyPr/>
        <a:lstStyle/>
        <a:p>
          <a:endParaRPr lang="pt-BR"/>
        </a:p>
      </dgm:t>
    </dgm:pt>
    <dgm:pt modelId="{72B9A128-1CA1-4DAA-BD7B-D02B5E20385E}" type="pres">
      <dgm:prSet presAssocID="{021E6D4C-A674-4A7D-9A3C-ED7540F75BF2}" presName="root2" presStyleCnt="0"/>
      <dgm:spPr/>
    </dgm:pt>
    <dgm:pt modelId="{50213771-C516-4302-ADBA-432108297891}" type="pres">
      <dgm:prSet presAssocID="{021E6D4C-A674-4A7D-9A3C-ED7540F75BF2}" presName="LevelTwoTextNode" presStyleLbl="node3" presStyleIdx="1" presStyleCnt="8" custScaleX="119680" custLinFactNeighborX="8961">
        <dgm:presLayoutVars>
          <dgm:chPref val="3"/>
        </dgm:presLayoutVars>
      </dgm:prSet>
      <dgm:spPr/>
      <dgm:t>
        <a:bodyPr/>
        <a:lstStyle/>
        <a:p>
          <a:endParaRPr lang="pt-BR"/>
        </a:p>
      </dgm:t>
    </dgm:pt>
    <dgm:pt modelId="{974EF15B-39DF-4CC5-BE5C-763CA5774C5F}" type="pres">
      <dgm:prSet presAssocID="{021E6D4C-A674-4A7D-9A3C-ED7540F75BF2}" presName="level3hierChild" presStyleCnt="0"/>
      <dgm:spPr/>
    </dgm:pt>
    <dgm:pt modelId="{A83C69EA-B03F-48DE-8C15-E2562D961E3F}" type="pres">
      <dgm:prSet presAssocID="{27556496-85F0-4687-8EF8-972351CAFCC6}" presName="conn2-1" presStyleLbl="parChTrans1D3" presStyleIdx="2" presStyleCnt="8"/>
      <dgm:spPr/>
      <dgm:t>
        <a:bodyPr/>
        <a:lstStyle/>
        <a:p>
          <a:endParaRPr lang="pt-BR"/>
        </a:p>
      </dgm:t>
    </dgm:pt>
    <dgm:pt modelId="{B03BD297-E524-435B-99BA-82C78222545C}" type="pres">
      <dgm:prSet presAssocID="{27556496-85F0-4687-8EF8-972351CAFCC6}" presName="connTx" presStyleLbl="parChTrans1D3" presStyleIdx="2" presStyleCnt="8"/>
      <dgm:spPr/>
      <dgm:t>
        <a:bodyPr/>
        <a:lstStyle/>
        <a:p>
          <a:endParaRPr lang="pt-BR"/>
        </a:p>
      </dgm:t>
    </dgm:pt>
    <dgm:pt modelId="{E54EF939-C5F6-4B99-8195-3FCD6BD2E269}" type="pres">
      <dgm:prSet presAssocID="{99D0E7CB-A697-4418-A790-E80E17A8A47C}" presName="root2" presStyleCnt="0"/>
      <dgm:spPr/>
    </dgm:pt>
    <dgm:pt modelId="{4B6031D6-A688-4369-843B-F1B1D34FF08C}" type="pres">
      <dgm:prSet presAssocID="{99D0E7CB-A697-4418-A790-E80E17A8A47C}" presName="LevelTwoTextNode" presStyleLbl="node3" presStyleIdx="2" presStyleCnt="8" custScaleX="181201" custScaleY="158004" custLinFactNeighborX="14722" custLinFactNeighborY="8398">
        <dgm:presLayoutVars>
          <dgm:chPref val="3"/>
        </dgm:presLayoutVars>
      </dgm:prSet>
      <dgm:spPr/>
      <dgm:t>
        <a:bodyPr/>
        <a:lstStyle/>
        <a:p>
          <a:endParaRPr lang="pt-BR"/>
        </a:p>
      </dgm:t>
    </dgm:pt>
    <dgm:pt modelId="{887038D8-92C7-439B-88C7-5015C3C18633}" type="pres">
      <dgm:prSet presAssocID="{99D0E7CB-A697-4418-A790-E80E17A8A47C}" presName="level3hierChild" presStyleCnt="0"/>
      <dgm:spPr/>
    </dgm:pt>
    <dgm:pt modelId="{28FC97F8-3A25-4105-BAD0-BBE2C5A336CF}" type="pres">
      <dgm:prSet presAssocID="{EB85659E-66B9-4C79-9C8B-B81A71F3DEF0}" presName="conn2-1" presStyleLbl="parChTrans1D2" presStyleIdx="1" presStyleCnt="5"/>
      <dgm:spPr/>
      <dgm:t>
        <a:bodyPr/>
        <a:lstStyle/>
        <a:p>
          <a:endParaRPr lang="pt-BR"/>
        </a:p>
      </dgm:t>
    </dgm:pt>
    <dgm:pt modelId="{319F623D-AC26-43B8-A38F-2B6661E79BE7}" type="pres">
      <dgm:prSet presAssocID="{EB85659E-66B9-4C79-9C8B-B81A71F3DEF0}" presName="connTx" presStyleLbl="parChTrans1D2" presStyleIdx="1" presStyleCnt="5"/>
      <dgm:spPr/>
      <dgm:t>
        <a:bodyPr/>
        <a:lstStyle/>
        <a:p>
          <a:endParaRPr lang="pt-BR"/>
        </a:p>
      </dgm:t>
    </dgm:pt>
    <dgm:pt modelId="{B3CD8218-B220-485E-9B94-AC12A7052F37}" type="pres">
      <dgm:prSet presAssocID="{5000155E-F399-4757-B4ED-D2EDB3B72496}" presName="root2" presStyleCnt="0"/>
      <dgm:spPr/>
    </dgm:pt>
    <dgm:pt modelId="{6DDA2E08-B38B-4D3D-8148-5FB743DB2946}" type="pres">
      <dgm:prSet presAssocID="{5000155E-F399-4757-B4ED-D2EDB3B72496}" presName="LevelTwoTextNode" presStyleLbl="node2" presStyleIdx="1" presStyleCnt="5">
        <dgm:presLayoutVars>
          <dgm:chPref val="3"/>
        </dgm:presLayoutVars>
      </dgm:prSet>
      <dgm:spPr/>
      <dgm:t>
        <a:bodyPr/>
        <a:lstStyle/>
        <a:p>
          <a:endParaRPr lang="pt-BR"/>
        </a:p>
      </dgm:t>
    </dgm:pt>
    <dgm:pt modelId="{2EB3ABE2-C1D3-4EB9-B31C-8C9066E848F1}" type="pres">
      <dgm:prSet presAssocID="{5000155E-F399-4757-B4ED-D2EDB3B72496}" presName="level3hierChild" presStyleCnt="0"/>
      <dgm:spPr/>
    </dgm:pt>
    <dgm:pt modelId="{A0CB3FF1-DF2D-479F-8645-F5AC94905CC1}" type="pres">
      <dgm:prSet presAssocID="{45260C5E-D65B-4EA3-ABCF-293C4ED9F525}" presName="conn2-1" presStyleLbl="parChTrans1D2" presStyleIdx="2" presStyleCnt="5"/>
      <dgm:spPr/>
      <dgm:t>
        <a:bodyPr/>
        <a:lstStyle/>
        <a:p>
          <a:endParaRPr lang="pt-BR"/>
        </a:p>
      </dgm:t>
    </dgm:pt>
    <dgm:pt modelId="{F2530F61-A7AC-40A0-B5A9-1BD97D14C548}" type="pres">
      <dgm:prSet presAssocID="{45260C5E-D65B-4EA3-ABCF-293C4ED9F525}" presName="connTx" presStyleLbl="parChTrans1D2" presStyleIdx="2" presStyleCnt="5"/>
      <dgm:spPr/>
      <dgm:t>
        <a:bodyPr/>
        <a:lstStyle/>
        <a:p>
          <a:endParaRPr lang="pt-BR"/>
        </a:p>
      </dgm:t>
    </dgm:pt>
    <dgm:pt modelId="{4D98707B-F3FA-4F0E-B373-A12645F9C4DD}" type="pres">
      <dgm:prSet presAssocID="{DBA7FCEC-0A50-40AA-A36F-05DB26012D05}" presName="root2" presStyleCnt="0"/>
      <dgm:spPr/>
    </dgm:pt>
    <dgm:pt modelId="{E5A7FFEE-8552-4F42-A2D0-F24ED377329E}" type="pres">
      <dgm:prSet presAssocID="{DBA7FCEC-0A50-40AA-A36F-05DB26012D05}" presName="LevelTwoTextNode" presStyleLbl="node2" presStyleIdx="2" presStyleCnt="5" custScaleX="113229" custScaleY="145242">
        <dgm:presLayoutVars>
          <dgm:chPref val="3"/>
        </dgm:presLayoutVars>
      </dgm:prSet>
      <dgm:spPr/>
      <dgm:t>
        <a:bodyPr/>
        <a:lstStyle/>
        <a:p>
          <a:endParaRPr lang="pt-BR"/>
        </a:p>
      </dgm:t>
    </dgm:pt>
    <dgm:pt modelId="{C31B5F5B-D3C7-487D-A7A3-6B4AF57D2B26}" type="pres">
      <dgm:prSet presAssocID="{DBA7FCEC-0A50-40AA-A36F-05DB26012D05}" presName="level3hierChild" presStyleCnt="0"/>
      <dgm:spPr/>
    </dgm:pt>
    <dgm:pt modelId="{D5D0FEE3-4717-46C5-9CB6-60A9403DC9AF}" type="pres">
      <dgm:prSet presAssocID="{6C411F6B-9676-4D68-9C14-D96FCD61A339}" presName="conn2-1" presStyleLbl="parChTrans1D3" presStyleIdx="3" presStyleCnt="8"/>
      <dgm:spPr/>
      <dgm:t>
        <a:bodyPr/>
        <a:lstStyle/>
        <a:p>
          <a:endParaRPr lang="pt-BR"/>
        </a:p>
      </dgm:t>
    </dgm:pt>
    <dgm:pt modelId="{BF91DFEA-E8D6-4666-9E26-3A8AB87936A1}" type="pres">
      <dgm:prSet presAssocID="{6C411F6B-9676-4D68-9C14-D96FCD61A339}" presName="connTx" presStyleLbl="parChTrans1D3" presStyleIdx="3" presStyleCnt="8"/>
      <dgm:spPr/>
      <dgm:t>
        <a:bodyPr/>
        <a:lstStyle/>
        <a:p>
          <a:endParaRPr lang="pt-BR"/>
        </a:p>
      </dgm:t>
    </dgm:pt>
    <dgm:pt modelId="{590E5B14-0A27-4CC4-88F7-117876E6F750}" type="pres">
      <dgm:prSet presAssocID="{31C53EC2-234C-4408-B0C5-1B58C27D536F}" presName="root2" presStyleCnt="0"/>
      <dgm:spPr/>
    </dgm:pt>
    <dgm:pt modelId="{8C6124D7-6E9A-4973-89B8-29EBA9652C34}" type="pres">
      <dgm:prSet presAssocID="{31C53EC2-234C-4408-B0C5-1B58C27D536F}" presName="LevelTwoTextNode" presStyleLbl="node3" presStyleIdx="3" presStyleCnt="8" custScaleX="108701" custScaleY="94640">
        <dgm:presLayoutVars>
          <dgm:chPref val="3"/>
        </dgm:presLayoutVars>
      </dgm:prSet>
      <dgm:spPr/>
      <dgm:t>
        <a:bodyPr/>
        <a:lstStyle/>
        <a:p>
          <a:endParaRPr lang="pt-BR"/>
        </a:p>
      </dgm:t>
    </dgm:pt>
    <dgm:pt modelId="{87F83456-51BE-4A2D-A3BF-1A43F651E4D2}" type="pres">
      <dgm:prSet presAssocID="{31C53EC2-234C-4408-B0C5-1B58C27D536F}" presName="level3hierChild" presStyleCnt="0"/>
      <dgm:spPr/>
    </dgm:pt>
    <dgm:pt modelId="{8F952284-7428-4125-A18A-E4318B27376A}" type="pres">
      <dgm:prSet presAssocID="{4B0C7872-6C01-48DE-83A8-A1FB7EB1730B}" presName="conn2-1" presStyleLbl="parChTrans1D3" presStyleIdx="4" presStyleCnt="8"/>
      <dgm:spPr/>
      <dgm:t>
        <a:bodyPr/>
        <a:lstStyle/>
        <a:p>
          <a:endParaRPr lang="pt-BR"/>
        </a:p>
      </dgm:t>
    </dgm:pt>
    <dgm:pt modelId="{542CC793-1EB0-40A5-ADC4-2005CF92C57F}" type="pres">
      <dgm:prSet presAssocID="{4B0C7872-6C01-48DE-83A8-A1FB7EB1730B}" presName="connTx" presStyleLbl="parChTrans1D3" presStyleIdx="4" presStyleCnt="8"/>
      <dgm:spPr/>
      <dgm:t>
        <a:bodyPr/>
        <a:lstStyle/>
        <a:p>
          <a:endParaRPr lang="pt-BR"/>
        </a:p>
      </dgm:t>
    </dgm:pt>
    <dgm:pt modelId="{AC943B60-DD35-4797-97FE-685550E31C32}" type="pres">
      <dgm:prSet presAssocID="{A5E42551-FF9A-47C1-AC0E-4D2D0FA695AB}" presName="root2" presStyleCnt="0"/>
      <dgm:spPr/>
    </dgm:pt>
    <dgm:pt modelId="{7BECB984-311D-4275-AD49-3B60838620BB}" type="pres">
      <dgm:prSet presAssocID="{A5E42551-FF9A-47C1-AC0E-4D2D0FA695AB}" presName="LevelTwoTextNode" presStyleLbl="node3" presStyleIdx="4" presStyleCnt="8" custScaleX="116063" custScaleY="108409">
        <dgm:presLayoutVars>
          <dgm:chPref val="3"/>
        </dgm:presLayoutVars>
      </dgm:prSet>
      <dgm:spPr/>
      <dgm:t>
        <a:bodyPr/>
        <a:lstStyle/>
        <a:p>
          <a:endParaRPr lang="pt-BR"/>
        </a:p>
      </dgm:t>
    </dgm:pt>
    <dgm:pt modelId="{FDFFFF6D-730E-4294-AE5A-97264CBE92A1}" type="pres">
      <dgm:prSet presAssocID="{A5E42551-FF9A-47C1-AC0E-4D2D0FA695AB}" presName="level3hierChild" presStyleCnt="0"/>
      <dgm:spPr/>
    </dgm:pt>
    <dgm:pt modelId="{C37AF6FE-C804-4FBF-A532-FC0D468E052C}" type="pres">
      <dgm:prSet presAssocID="{3906B8E7-A6FD-4CDC-86F3-D541487DC285}" presName="conn2-1" presStyleLbl="parChTrans1D2" presStyleIdx="3" presStyleCnt="5"/>
      <dgm:spPr/>
      <dgm:t>
        <a:bodyPr/>
        <a:lstStyle/>
        <a:p>
          <a:endParaRPr lang="pt-BR"/>
        </a:p>
      </dgm:t>
    </dgm:pt>
    <dgm:pt modelId="{147E5D02-0FB7-4998-9D32-F854E749664F}" type="pres">
      <dgm:prSet presAssocID="{3906B8E7-A6FD-4CDC-86F3-D541487DC285}" presName="connTx" presStyleLbl="parChTrans1D2" presStyleIdx="3" presStyleCnt="5"/>
      <dgm:spPr/>
      <dgm:t>
        <a:bodyPr/>
        <a:lstStyle/>
        <a:p>
          <a:endParaRPr lang="pt-BR"/>
        </a:p>
      </dgm:t>
    </dgm:pt>
    <dgm:pt modelId="{4B243372-8C2E-43E8-B48D-2BD0F7B3CCDC}" type="pres">
      <dgm:prSet presAssocID="{A21EA0E4-7AAB-4907-83ED-44BE53B0B878}" presName="root2" presStyleCnt="0"/>
      <dgm:spPr/>
    </dgm:pt>
    <dgm:pt modelId="{DADFD424-5E98-449D-87F3-AAF5DB8BCDBE}" type="pres">
      <dgm:prSet presAssocID="{A21EA0E4-7AAB-4907-83ED-44BE53B0B878}" presName="LevelTwoTextNode" presStyleLbl="node2" presStyleIdx="3" presStyleCnt="5" custScaleY="279204">
        <dgm:presLayoutVars>
          <dgm:chPref val="3"/>
        </dgm:presLayoutVars>
      </dgm:prSet>
      <dgm:spPr/>
      <dgm:t>
        <a:bodyPr/>
        <a:lstStyle/>
        <a:p>
          <a:endParaRPr lang="pt-BR"/>
        </a:p>
      </dgm:t>
    </dgm:pt>
    <dgm:pt modelId="{21331011-A782-417A-9950-3A5919192D12}" type="pres">
      <dgm:prSet presAssocID="{A21EA0E4-7AAB-4907-83ED-44BE53B0B878}" presName="level3hierChild" presStyleCnt="0"/>
      <dgm:spPr/>
    </dgm:pt>
    <dgm:pt modelId="{111444B9-64F9-4AFD-9AE4-5F9E7E05D342}" type="pres">
      <dgm:prSet presAssocID="{EF4BF13C-3019-4982-B1D0-1CED42E60542}" presName="conn2-1" presStyleLbl="parChTrans1D2" presStyleIdx="4" presStyleCnt="5"/>
      <dgm:spPr/>
      <dgm:t>
        <a:bodyPr/>
        <a:lstStyle/>
        <a:p>
          <a:endParaRPr lang="pt-BR"/>
        </a:p>
      </dgm:t>
    </dgm:pt>
    <dgm:pt modelId="{38FCDFEC-F7D1-40C8-9F70-223A27A44A80}" type="pres">
      <dgm:prSet presAssocID="{EF4BF13C-3019-4982-B1D0-1CED42E60542}" presName="connTx" presStyleLbl="parChTrans1D2" presStyleIdx="4" presStyleCnt="5"/>
      <dgm:spPr/>
      <dgm:t>
        <a:bodyPr/>
        <a:lstStyle/>
        <a:p>
          <a:endParaRPr lang="pt-BR"/>
        </a:p>
      </dgm:t>
    </dgm:pt>
    <dgm:pt modelId="{16E9A8AD-A4EC-45BA-A3CC-C05470E9BA4A}" type="pres">
      <dgm:prSet presAssocID="{1422D2F7-FBF4-4F22-9AE9-26A732F8D953}" presName="root2" presStyleCnt="0"/>
      <dgm:spPr/>
    </dgm:pt>
    <dgm:pt modelId="{138DA5B4-5E39-49FA-8B82-5203BD92D8C9}" type="pres">
      <dgm:prSet presAssocID="{1422D2F7-FBF4-4F22-9AE9-26A732F8D953}" presName="LevelTwoTextNode" presStyleLbl="node2" presStyleIdx="4" presStyleCnt="5" custScaleX="149535" custScaleY="189207" custLinFactNeighborX="-7186" custLinFactNeighborY="4285">
        <dgm:presLayoutVars>
          <dgm:chPref val="3"/>
        </dgm:presLayoutVars>
      </dgm:prSet>
      <dgm:spPr/>
      <dgm:t>
        <a:bodyPr/>
        <a:lstStyle/>
        <a:p>
          <a:endParaRPr lang="pt-BR"/>
        </a:p>
      </dgm:t>
    </dgm:pt>
    <dgm:pt modelId="{41E6A390-AAF0-44AA-89A1-545195B17D64}" type="pres">
      <dgm:prSet presAssocID="{1422D2F7-FBF4-4F22-9AE9-26A732F8D953}" presName="level3hierChild" presStyleCnt="0"/>
      <dgm:spPr/>
    </dgm:pt>
    <dgm:pt modelId="{A5F02BB5-3A89-45FE-805D-9A95AF572BD7}" type="pres">
      <dgm:prSet presAssocID="{47648B8C-45D1-44E7-8105-AF507BD0E056}" presName="conn2-1" presStyleLbl="parChTrans1D3" presStyleIdx="5" presStyleCnt="8"/>
      <dgm:spPr/>
      <dgm:t>
        <a:bodyPr/>
        <a:lstStyle/>
        <a:p>
          <a:endParaRPr lang="pt-BR"/>
        </a:p>
      </dgm:t>
    </dgm:pt>
    <dgm:pt modelId="{B62D0857-F90D-417D-86CA-12C979F40123}" type="pres">
      <dgm:prSet presAssocID="{47648B8C-45D1-44E7-8105-AF507BD0E056}" presName="connTx" presStyleLbl="parChTrans1D3" presStyleIdx="5" presStyleCnt="8"/>
      <dgm:spPr/>
      <dgm:t>
        <a:bodyPr/>
        <a:lstStyle/>
        <a:p>
          <a:endParaRPr lang="pt-BR"/>
        </a:p>
      </dgm:t>
    </dgm:pt>
    <dgm:pt modelId="{65167697-E206-4E21-ACE2-DD3BA95CAB23}" type="pres">
      <dgm:prSet presAssocID="{8229FDF6-F834-4F50-BAE9-10DC680E17D9}" presName="root2" presStyleCnt="0"/>
      <dgm:spPr/>
    </dgm:pt>
    <dgm:pt modelId="{75DBF101-2283-4614-9B29-A78232CC1525}" type="pres">
      <dgm:prSet presAssocID="{8229FDF6-F834-4F50-BAE9-10DC680E17D9}" presName="LevelTwoTextNode" presStyleLbl="node3" presStyleIdx="5" presStyleCnt="8" custScaleX="133491" custScaleY="204400">
        <dgm:presLayoutVars>
          <dgm:chPref val="3"/>
        </dgm:presLayoutVars>
      </dgm:prSet>
      <dgm:spPr/>
      <dgm:t>
        <a:bodyPr/>
        <a:lstStyle/>
        <a:p>
          <a:endParaRPr lang="pt-BR"/>
        </a:p>
      </dgm:t>
    </dgm:pt>
    <dgm:pt modelId="{CC7686AB-0DA9-49D6-AE26-5013914BC2C2}" type="pres">
      <dgm:prSet presAssocID="{8229FDF6-F834-4F50-BAE9-10DC680E17D9}" presName="level3hierChild" presStyleCnt="0"/>
      <dgm:spPr/>
    </dgm:pt>
    <dgm:pt modelId="{C9A68097-3715-4226-8372-EF99B2E5009A}" type="pres">
      <dgm:prSet presAssocID="{B5C22D8C-D758-4CAE-A74F-FC675D327868}" presName="conn2-1" presStyleLbl="parChTrans1D3" presStyleIdx="6" presStyleCnt="8"/>
      <dgm:spPr/>
      <dgm:t>
        <a:bodyPr/>
        <a:lstStyle/>
        <a:p>
          <a:endParaRPr lang="pt-BR"/>
        </a:p>
      </dgm:t>
    </dgm:pt>
    <dgm:pt modelId="{7C7D6446-70FF-4EA9-A192-6EFF2912EAD6}" type="pres">
      <dgm:prSet presAssocID="{B5C22D8C-D758-4CAE-A74F-FC675D327868}" presName="connTx" presStyleLbl="parChTrans1D3" presStyleIdx="6" presStyleCnt="8"/>
      <dgm:spPr/>
      <dgm:t>
        <a:bodyPr/>
        <a:lstStyle/>
        <a:p>
          <a:endParaRPr lang="pt-BR"/>
        </a:p>
      </dgm:t>
    </dgm:pt>
    <dgm:pt modelId="{3BD978AF-23A1-4027-82F7-B1BD4AD9EC95}" type="pres">
      <dgm:prSet presAssocID="{F616D076-F2F8-4255-A22D-84DEA9E5AE78}" presName="root2" presStyleCnt="0"/>
      <dgm:spPr/>
    </dgm:pt>
    <dgm:pt modelId="{175EB076-79BE-42B6-B43B-6C5E84B522B3}" type="pres">
      <dgm:prSet presAssocID="{F616D076-F2F8-4255-A22D-84DEA9E5AE78}" presName="LevelTwoTextNode" presStyleLbl="node3" presStyleIdx="6" presStyleCnt="8" custScaleX="138759" custScaleY="214498">
        <dgm:presLayoutVars>
          <dgm:chPref val="3"/>
        </dgm:presLayoutVars>
      </dgm:prSet>
      <dgm:spPr/>
      <dgm:t>
        <a:bodyPr/>
        <a:lstStyle/>
        <a:p>
          <a:endParaRPr lang="pt-BR"/>
        </a:p>
      </dgm:t>
    </dgm:pt>
    <dgm:pt modelId="{A03B5D08-E690-4AB3-92C2-90FA7AFCA550}" type="pres">
      <dgm:prSet presAssocID="{F616D076-F2F8-4255-A22D-84DEA9E5AE78}" presName="level3hierChild" presStyleCnt="0"/>
      <dgm:spPr/>
    </dgm:pt>
    <dgm:pt modelId="{C2346A18-1A28-4D56-9ED2-14D8EF9C6151}" type="pres">
      <dgm:prSet presAssocID="{115BF2A9-6287-4235-A299-6FF8A8E4A6EA}" presName="conn2-1" presStyleLbl="parChTrans1D3" presStyleIdx="7" presStyleCnt="8"/>
      <dgm:spPr/>
      <dgm:t>
        <a:bodyPr/>
        <a:lstStyle/>
        <a:p>
          <a:endParaRPr lang="pt-BR"/>
        </a:p>
      </dgm:t>
    </dgm:pt>
    <dgm:pt modelId="{9234180D-EE55-4DE5-AF94-D76154B64FDC}" type="pres">
      <dgm:prSet presAssocID="{115BF2A9-6287-4235-A299-6FF8A8E4A6EA}" presName="connTx" presStyleLbl="parChTrans1D3" presStyleIdx="7" presStyleCnt="8"/>
      <dgm:spPr/>
      <dgm:t>
        <a:bodyPr/>
        <a:lstStyle/>
        <a:p>
          <a:endParaRPr lang="pt-BR"/>
        </a:p>
      </dgm:t>
    </dgm:pt>
    <dgm:pt modelId="{43725BF1-B8B3-4834-974B-FF67E25BF3AF}" type="pres">
      <dgm:prSet presAssocID="{AF2DA887-99D4-47A9-8E6E-6E30A20C5592}" presName="root2" presStyleCnt="0"/>
      <dgm:spPr/>
    </dgm:pt>
    <dgm:pt modelId="{A12AA01B-886C-48C4-8AC3-97D233FDD585}" type="pres">
      <dgm:prSet presAssocID="{AF2DA887-99D4-47A9-8E6E-6E30A20C5592}" presName="LevelTwoTextNode" presStyleLbl="node3" presStyleIdx="7" presStyleCnt="8" custScaleX="118650" custScaleY="150835">
        <dgm:presLayoutVars>
          <dgm:chPref val="3"/>
        </dgm:presLayoutVars>
      </dgm:prSet>
      <dgm:spPr/>
      <dgm:t>
        <a:bodyPr/>
        <a:lstStyle/>
        <a:p>
          <a:endParaRPr lang="pt-BR"/>
        </a:p>
      </dgm:t>
    </dgm:pt>
    <dgm:pt modelId="{382BAB23-02AC-4CCA-A6B0-6531F9165896}" type="pres">
      <dgm:prSet presAssocID="{AF2DA887-99D4-47A9-8E6E-6E30A20C5592}" presName="level3hierChild" presStyleCnt="0"/>
      <dgm:spPr/>
    </dgm:pt>
  </dgm:ptLst>
  <dgm:cxnLst>
    <dgm:cxn modelId="{13229A8B-2D83-4060-B899-1734AB3EDF5D}" srcId="{B175C72D-0099-408B-86FE-06496C679B4E}" destId="{DBA7FCEC-0A50-40AA-A36F-05DB26012D05}" srcOrd="2" destOrd="0" parTransId="{45260C5E-D65B-4EA3-ABCF-293C4ED9F525}" sibTransId="{0CC2DE3D-5785-4429-A8D0-E57E39A42881}"/>
    <dgm:cxn modelId="{696B15E1-C666-478B-8638-E5FB84AC28AE}" type="presOf" srcId="{7FC121E3-2438-415C-9AF7-D3863994F597}" destId="{99FECB7C-168F-4815-BC60-40F5C3185CC8}" srcOrd="1" destOrd="0" presId="urn:microsoft.com/office/officeart/2008/layout/HorizontalMultiLevelHierarchy"/>
    <dgm:cxn modelId="{FB6719EA-7D7D-40AB-820D-C36F548B1825}" srcId="{6F7980C0-D5DC-415E-8123-76AB00A9559E}" destId="{021E6D4C-A674-4A7D-9A3C-ED7540F75BF2}" srcOrd="1" destOrd="0" parTransId="{FB36D90D-073D-442C-AF72-3183D20F205C}" sibTransId="{E1D05C50-7DDA-4AC8-9338-AAE5CA200C03}"/>
    <dgm:cxn modelId="{F43F2B08-CDE2-4B4B-A31F-30C137E0FAF8}" type="presOf" srcId="{D3C90C65-C3D9-4CE8-BFCF-39DCBA1C0D43}" destId="{BD1E91CB-E0C7-44FD-AF42-34DF35FF70DF}" srcOrd="0" destOrd="0" presId="urn:microsoft.com/office/officeart/2008/layout/HorizontalMultiLevelHierarchy"/>
    <dgm:cxn modelId="{B4122F90-4881-42F8-8BB9-2D7AA31D65E1}" srcId="{B175C72D-0099-408B-86FE-06496C679B4E}" destId="{6F7980C0-D5DC-415E-8123-76AB00A9559E}" srcOrd="0" destOrd="0" parTransId="{95BEBBB8-6FFF-414B-87D3-67DDA81B0FCA}" sibTransId="{7DC1A769-AFCC-4A67-B1E1-0E702D589F79}"/>
    <dgm:cxn modelId="{6B0A2025-7030-480E-91A8-4261D909E51E}" type="presOf" srcId="{DBA7FCEC-0A50-40AA-A36F-05DB26012D05}" destId="{E5A7FFEE-8552-4F42-A2D0-F24ED377329E}" srcOrd="0" destOrd="0" presId="urn:microsoft.com/office/officeart/2008/layout/HorizontalMultiLevelHierarchy"/>
    <dgm:cxn modelId="{E25688B8-E9FF-46AC-BAAD-15BA7DA42310}" srcId="{B175C72D-0099-408B-86FE-06496C679B4E}" destId="{5000155E-F399-4757-B4ED-D2EDB3B72496}" srcOrd="1" destOrd="0" parTransId="{EB85659E-66B9-4C79-9C8B-B81A71F3DEF0}" sibTransId="{B1BBFC96-1944-4598-B9D4-774197EAECFC}"/>
    <dgm:cxn modelId="{6BDB76EE-BD87-4A46-8A1E-A4255B68F53D}" type="presOf" srcId="{EB85659E-66B9-4C79-9C8B-B81A71F3DEF0}" destId="{28FC97F8-3A25-4105-BAD0-BBE2C5A336CF}" srcOrd="0" destOrd="0" presId="urn:microsoft.com/office/officeart/2008/layout/HorizontalMultiLevelHierarchy"/>
    <dgm:cxn modelId="{473F0DC9-84B5-4C6C-831E-010C9C75AA1F}" type="presOf" srcId="{45260C5E-D65B-4EA3-ABCF-293C4ED9F525}" destId="{A0CB3FF1-DF2D-479F-8645-F5AC94905CC1}" srcOrd="0" destOrd="0" presId="urn:microsoft.com/office/officeart/2008/layout/HorizontalMultiLevelHierarchy"/>
    <dgm:cxn modelId="{E8B60166-A767-49BD-828E-D3C66C2B4D5B}" srcId="{D3C90C65-C3D9-4CE8-BFCF-39DCBA1C0D43}" destId="{B175C72D-0099-408B-86FE-06496C679B4E}" srcOrd="0" destOrd="0" parTransId="{C464BC2E-5D96-4953-A359-504FA78F8104}" sibTransId="{FD68635C-448C-4171-B8D5-4718B8CA14F7}"/>
    <dgm:cxn modelId="{B2052C2E-E46D-4BEF-907B-F232D39B1A35}" type="presOf" srcId="{021E6D4C-A674-4A7D-9A3C-ED7540F75BF2}" destId="{50213771-C516-4302-ADBA-432108297891}" srcOrd="0" destOrd="0" presId="urn:microsoft.com/office/officeart/2008/layout/HorizontalMultiLevelHierarchy"/>
    <dgm:cxn modelId="{C4A4BE09-E481-4B74-8134-1A76F540BCB8}" type="presOf" srcId="{4B0C7872-6C01-48DE-83A8-A1FB7EB1730B}" destId="{8F952284-7428-4125-A18A-E4318B27376A}" srcOrd="0" destOrd="0" presId="urn:microsoft.com/office/officeart/2008/layout/HorizontalMultiLevelHierarchy"/>
    <dgm:cxn modelId="{20AAAB96-688F-4C8E-A585-A9D2AACE0305}" type="presOf" srcId="{8229FDF6-F834-4F50-BAE9-10DC680E17D9}" destId="{75DBF101-2283-4614-9B29-A78232CC1525}" srcOrd="0" destOrd="0" presId="urn:microsoft.com/office/officeart/2008/layout/HorizontalMultiLevelHierarchy"/>
    <dgm:cxn modelId="{0E733621-D21E-4D87-BA09-119E2F8B3E2F}" type="presOf" srcId="{31C53EC2-234C-4408-B0C5-1B58C27D536F}" destId="{8C6124D7-6E9A-4973-89B8-29EBA9652C34}" srcOrd="0" destOrd="0" presId="urn:microsoft.com/office/officeart/2008/layout/HorizontalMultiLevelHierarchy"/>
    <dgm:cxn modelId="{FD340E6C-396E-41D8-A6B0-CB6D1B6221DF}" srcId="{1422D2F7-FBF4-4F22-9AE9-26A732F8D953}" destId="{AF2DA887-99D4-47A9-8E6E-6E30A20C5592}" srcOrd="2" destOrd="0" parTransId="{115BF2A9-6287-4235-A299-6FF8A8E4A6EA}" sibTransId="{28D1CDA7-9A4A-48A2-8645-6DEBF98920CC}"/>
    <dgm:cxn modelId="{12218816-A08D-4A36-9819-038A41EB13C3}" srcId="{1422D2F7-FBF4-4F22-9AE9-26A732F8D953}" destId="{F616D076-F2F8-4255-A22D-84DEA9E5AE78}" srcOrd="1" destOrd="0" parTransId="{B5C22D8C-D758-4CAE-A74F-FC675D327868}" sibTransId="{0AD751DA-4F3D-4143-AF99-F56B2A3E4AE7}"/>
    <dgm:cxn modelId="{CAFF9E4D-2B69-42FB-B665-64A17E3B91D2}" type="presOf" srcId="{47648B8C-45D1-44E7-8105-AF507BD0E056}" destId="{B62D0857-F90D-417D-86CA-12C979F40123}" srcOrd="1" destOrd="0" presId="urn:microsoft.com/office/officeart/2008/layout/HorizontalMultiLevelHierarchy"/>
    <dgm:cxn modelId="{63000673-5E4D-4F3F-AA3B-ADE52AC7BBF2}" type="presOf" srcId="{115BF2A9-6287-4235-A299-6FF8A8E4A6EA}" destId="{C2346A18-1A28-4D56-9ED2-14D8EF9C6151}" srcOrd="0" destOrd="0" presId="urn:microsoft.com/office/officeart/2008/layout/HorizontalMultiLevelHierarchy"/>
    <dgm:cxn modelId="{D141FF68-D7A0-4D05-8A13-1293C5E65DB2}" type="presOf" srcId="{A5E42551-FF9A-47C1-AC0E-4D2D0FA695AB}" destId="{7BECB984-311D-4275-AD49-3B60838620BB}" srcOrd="0" destOrd="0" presId="urn:microsoft.com/office/officeart/2008/layout/HorizontalMultiLevelHierarchy"/>
    <dgm:cxn modelId="{55276E6F-5F73-4EBD-A53E-5C7E46F988B3}" type="presOf" srcId="{115BF2A9-6287-4235-A299-6FF8A8E4A6EA}" destId="{9234180D-EE55-4DE5-AF94-D76154B64FDC}" srcOrd="1" destOrd="0" presId="urn:microsoft.com/office/officeart/2008/layout/HorizontalMultiLevelHierarchy"/>
    <dgm:cxn modelId="{9FA6654C-7F15-4655-93CA-C39A54C2CBAB}" type="presOf" srcId="{FB36D90D-073D-442C-AF72-3183D20F205C}" destId="{3A18E4E9-D842-472E-A53B-F8C95443E69C}" srcOrd="1" destOrd="0" presId="urn:microsoft.com/office/officeart/2008/layout/HorizontalMultiLevelHierarchy"/>
    <dgm:cxn modelId="{5898ED50-704A-4134-83B9-5E6A0B806E0C}" type="presOf" srcId="{EF4BF13C-3019-4982-B1D0-1CED42E60542}" destId="{111444B9-64F9-4AFD-9AE4-5F9E7E05D342}" srcOrd="0" destOrd="0" presId="urn:microsoft.com/office/officeart/2008/layout/HorizontalMultiLevelHierarchy"/>
    <dgm:cxn modelId="{668C24EB-E7F3-48C3-AF92-6D2F35F959F7}" type="presOf" srcId="{AF2DA887-99D4-47A9-8E6E-6E30A20C5592}" destId="{A12AA01B-886C-48C4-8AC3-97D233FDD585}" srcOrd="0" destOrd="0" presId="urn:microsoft.com/office/officeart/2008/layout/HorizontalMultiLevelHierarchy"/>
    <dgm:cxn modelId="{DB302D36-E751-42FE-9BD3-49F159E1937E}" srcId="{DBA7FCEC-0A50-40AA-A36F-05DB26012D05}" destId="{31C53EC2-234C-4408-B0C5-1B58C27D536F}" srcOrd="0" destOrd="0" parTransId="{6C411F6B-9676-4D68-9C14-D96FCD61A339}" sibTransId="{9674BB7F-D557-47AA-9657-345BF67691FB}"/>
    <dgm:cxn modelId="{9EBE4C20-DE95-4FFF-8FF2-AB7DF010EE02}" type="presOf" srcId="{99D0E7CB-A697-4418-A790-E80E17A8A47C}" destId="{4B6031D6-A688-4369-843B-F1B1D34FF08C}" srcOrd="0" destOrd="0" presId="urn:microsoft.com/office/officeart/2008/layout/HorizontalMultiLevelHierarchy"/>
    <dgm:cxn modelId="{E224FCE6-46D9-4D5C-AF17-DD70A60C55FC}" type="presOf" srcId="{EB85659E-66B9-4C79-9C8B-B81A71F3DEF0}" destId="{319F623D-AC26-43B8-A38F-2B6661E79BE7}" srcOrd="1" destOrd="0" presId="urn:microsoft.com/office/officeart/2008/layout/HorizontalMultiLevelHierarchy"/>
    <dgm:cxn modelId="{D980599C-0742-4084-8A0C-3B8C11548001}" type="presOf" srcId="{6C411F6B-9676-4D68-9C14-D96FCD61A339}" destId="{D5D0FEE3-4717-46C5-9CB6-60A9403DC9AF}" srcOrd="0" destOrd="0" presId="urn:microsoft.com/office/officeart/2008/layout/HorizontalMultiLevelHierarchy"/>
    <dgm:cxn modelId="{7216DDCA-15BA-40B1-A625-C3C43B4FEC92}" type="presOf" srcId="{FB36D90D-073D-442C-AF72-3183D20F205C}" destId="{3400E5DE-C3C4-4823-AB75-945499F3170E}" srcOrd="0" destOrd="0" presId="urn:microsoft.com/office/officeart/2008/layout/HorizontalMultiLevelHierarchy"/>
    <dgm:cxn modelId="{CDF75546-67F4-483E-9645-2C4096C3A72E}" type="presOf" srcId="{A21EA0E4-7AAB-4907-83ED-44BE53B0B878}" destId="{DADFD424-5E98-449D-87F3-AAF5DB8BCDBE}" srcOrd="0" destOrd="0" presId="urn:microsoft.com/office/officeart/2008/layout/HorizontalMultiLevelHierarchy"/>
    <dgm:cxn modelId="{2C701E57-9096-4771-BCBC-2D5638B16230}" type="presOf" srcId="{3906B8E7-A6FD-4CDC-86F3-D541487DC285}" destId="{C37AF6FE-C804-4FBF-A532-FC0D468E052C}" srcOrd="0" destOrd="0" presId="urn:microsoft.com/office/officeart/2008/layout/HorizontalMultiLevelHierarchy"/>
    <dgm:cxn modelId="{20A3777D-6672-4E57-A7A0-B2292785DA98}" srcId="{6F7980C0-D5DC-415E-8123-76AB00A9559E}" destId="{99D0E7CB-A697-4418-A790-E80E17A8A47C}" srcOrd="2" destOrd="0" parTransId="{27556496-85F0-4687-8EF8-972351CAFCC6}" sibTransId="{C37C0899-92EB-42F1-90E5-55088A3168D4}"/>
    <dgm:cxn modelId="{B6F402E6-558E-43BD-A8F6-947636491740}" type="presOf" srcId="{45260C5E-D65B-4EA3-ABCF-293C4ED9F525}" destId="{F2530F61-A7AC-40A0-B5A9-1BD97D14C548}" srcOrd="1" destOrd="0" presId="urn:microsoft.com/office/officeart/2008/layout/HorizontalMultiLevelHierarchy"/>
    <dgm:cxn modelId="{20CBE50C-F693-439B-82FA-5CC3C4A8DD05}" type="presOf" srcId="{B175C72D-0099-408B-86FE-06496C679B4E}" destId="{F904B88C-CA83-44EC-9BF5-74F4F3CF8750}" srcOrd="0" destOrd="0" presId="urn:microsoft.com/office/officeart/2008/layout/HorizontalMultiLevelHierarchy"/>
    <dgm:cxn modelId="{73BF642C-F7F8-4A56-BB5E-8EDFCBA29D5F}" srcId="{6F7980C0-D5DC-415E-8123-76AB00A9559E}" destId="{3148E544-9EA2-4AA6-B3B9-D96105DC6CEE}" srcOrd="0" destOrd="0" parTransId="{7FC121E3-2438-415C-9AF7-D3863994F597}" sibTransId="{0D7298DA-5E90-4D5A-B7E9-68F452BE13D4}"/>
    <dgm:cxn modelId="{650512D7-E628-4190-B67E-4B53522A106D}" srcId="{1422D2F7-FBF4-4F22-9AE9-26A732F8D953}" destId="{8229FDF6-F834-4F50-BAE9-10DC680E17D9}" srcOrd="0" destOrd="0" parTransId="{47648B8C-45D1-44E7-8105-AF507BD0E056}" sibTransId="{DD6E6DC2-2A6B-46C6-A980-9081EF02DDAA}"/>
    <dgm:cxn modelId="{BC1D3EC8-33E5-4FCC-B61D-870A02C98E32}" type="presOf" srcId="{5000155E-F399-4757-B4ED-D2EDB3B72496}" destId="{6DDA2E08-B38B-4D3D-8148-5FB743DB2946}" srcOrd="0" destOrd="0" presId="urn:microsoft.com/office/officeart/2008/layout/HorizontalMultiLevelHierarchy"/>
    <dgm:cxn modelId="{7EEE5808-ECFA-4A8D-9458-227517DAD6F7}" srcId="{B175C72D-0099-408B-86FE-06496C679B4E}" destId="{1422D2F7-FBF4-4F22-9AE9-26A732F8D953}" srcOrd="4" destOrd="0" parTransId="{EF4BF13C-3019-4982-B1D0-1CED42E60542}" sibTransId="{217F449B-AE29-419D-AE9F-D9AC1C1ADF27}"/>
    <dgm:cxn modelId="{8DA11472-3D54-4C47-A6EB-E6770C08EB92}" type="presOf" srcId="{95BEBBB8-6FFF-414B-87D3-67DDA81B0FCA}" destId="{4EEE8EF0-7C64-4496-B0B5-D982153D8FFA}" srcOrd="0" destOrd="0" presId="urn:microsoft.com/office/officeart/2008/layout/HorizontalMultiLevelHierarchy"/>
    <dgm:cxn modelId="{D4819E07-3F2D-4599-8C34-675DACB38058}" type="presOf" srcId="{3906B8E7-A6FD-4CDC-86F3-D541487DC285}" destId="{147E5D02-0FB7-4998-9D32-F854E749664F}" srcOrd="1" destOrd="0" presId="urn:microsoft.com/office/officeart/2008/layout/HorizontalMultiLevelHierarchy"/>
    <dgm:cxn modelId="{CB95BC0D-351A-4D7E-A31A-30349BA80922}" type="presOf" srcId="{27556496-85F0-4687-8EF8-972351CAFCC6}" destId="{B03BD297-E524-435B-99BA-82C78222545C}" srcOrd="1" destOrd="0" presId="urn:microsoft.com/office/officeart/2008/layout/HorizontalMultiLevelHierarchy"/>
    <dgm:cxn modelId="{8473D545-5076-4920-A330-55F3F338A2B8}" srcId="{B175C72D-0099-408B-86FE-06496C679B4E}" destId="{A21EA0E4-7AAB-4907-83ED-44BE53B0B878}" srcOrd="3" destOrd="0" parTransId="{3906B8E7-A6FD-4CDC-86F3-D541487DC285}" sibTransId="{4D00FB76-416B-4CE3-8B02-8B846E7CDDF1}"/>
    <dgm:cxn modelId="{EAEEC9B2-95B8-4562-A7D3-2610C16ED3B6}" type="presOf" srcId="{B5C22D8C-D758-4CAE-A74F-FC675D327868}" destId="{C9A68097-3715-4226-8372-EF99B2E5009A}" srcOrd="0" destOrd="0" presId="urn:microsoft.com/office/officeart/2008/layout/HorizontalMultiLevelHierarchy"/>
    <dgm:cxn modelId="{EB6E0936-0086-4067-B357-A83F0FE4FC67}" type="presOf" srcId="{47648B8C-45D1-44E7-8105-AF507BD0E056}" destId="{A5F02BB5-3A89-45FE-805D-9A95AF572BD7}" srcOrd="0" destOrd="0" presId="urn:microsoft.com/office/officeart/2008/layout/HorizontalMultiLevelHierarchy"/>
    <dgm:cxn modelId="{CBE5DE5C-4537-4F67-BAB1-50341B92BC61}" type="presOf" srcId="{B5C22D8C-D758-4CAE-A74F-FC675D327868}" destId="{7C7D6446-70FF-4EA9-A192-6EFF2912EAD6}" srcOrd="1" destOrd="0" presId="urn:microsoft.com/office/officeart/2008/layout/HorizontalMultiLevelHierarchy"/>
    <dgm:cxn modelId="{7D54C151-28FB-4369-B1D1-FEDF90DD14F1}" type="presOf" srcId="{6F7980C0-D5DC-415E-8123-76AB00A9559E}" destId="{FC2B7B93-A172-460E-9769-D6FE5E26BB4D}" srcOrd="0" destOrd="0" presId="urn:microsoft.com/office/officeart/2008/layout/HorizontalMultiLevelHierarchy"/>
    <dgm:cxn modelId="{24D959D0-77EA-438B-9817-597550A6922A}" type="presOf" srcId="{1422D2F7-FBF4-4F22-9AE9-26A732F8D953}" destId="{138DA5B4-5E39-49FA-8B82-5203BD92D8C9}" srcOrd="0" destOrd="0" presId="urn:microsoft.com/office/officeart/2008/layout/HorizontalMultiLevelHierarchy"/>
    <dgm:cxn modelId="{C2A9F8D1-ACB5-4DE8-B344-350CE58353B4}" srcId="{DBA7FCEC-0A50-40AA-A36F-05DB26012D05}" destId="{A5E42551-FF9A-47C1-AC0E-4D2D0FA695AB}" srcOrd="1" destOrd="0" parTransId="{4B0C7872-6C01-48DE-83A8-A1FB7EB1730B}" sibTransId="{85AAD94E-399A-407F-9849-2ACAB31B8914}"/>
    <dgm:cxn modelId="{22953322-BF6C-40E6-A42F-15F43B474512}" type="presOf" srcId="{7FC121E3-2438-415C-9AF7-D3863994F597}" destId="{9402D566-65D8-435F-9775-A598C9F33776}" srcOrd="0" destOrd="0" presId="urn:microsoft.com/office/officeart/2008/layout/HorizontalMultiLevelHierarchy"/>
    <dgm:cxn modelId="{1FDBB401-7C63-40A9-B0E2-0B9C2EE42A29}" type="presOf" srcId="{95BEBBB8-6FFF-414B-87D3-67DDA81B0FCA}" destId="{4B3775A1-0443-4FBD-A22E-08FDA5CAC911}" srcOrd="1" destOrd="0" presId="urn:microsoft.com/office/officeart/2008/layout/HorizontalMultiLevelHierarchy"/>
    <dgm:cxn modelId="{0C12EFD6-2446-4AC8-8954-2B0282A910F7}" type="presOf" srcId="{F616D076-F2F8-4255-A22D-84DEA9E5AE78}" destId="{175EB076-79BE-42B6-B43B-6C5E84B522B3}" srcOrd="0" destOrd="0" presId="urn:microsoft.com/office/officeart/2008/layout/HorizontalMultiLevelHierarchy"/>
    <dgm:cxn modelId="{4CBC0E16-013F-4342-81A4-1C0DC4FFFA13}" type="presOf" srcId="{EF4BF13C-3019-4982-B1D0-1CED42E60542}" destId="{38FCDFEC-F7D1-40C8-9F70-223A27A44A80}" srcOrd="1" destOrd="0" presId="urn:microsoft.com/office/officeart/2008/layout/HorizontalMultiLevelHierarchy"/>
    <dgm:cxn modelId="{6118A986-54E0-4072-B4AA-E35FE8B3C9B0}" type="presOf" srcId="{4B0C7872-6C01-48DE-83A8-A1FB7EB1730B}" destId="{542CC793-1EB0-40A5-ADC4-2005CF92C57F}" srcOrd="1" destOrd="0" presId="urn:microsoft.com/office/officeart/2008/layout/HorizontalMultiLevelHierarchy"/>
    <dgm:cxn modelId="{2C45FD13-9EFC-4330-8D18-5D30B0CACA57}" type="presOf" srcId="{3148E544-9EA2-4AA6-B3B9-D96105DC6CEE}" destId="{8D059FA8-6A34-442B-9BE6-CBB1F73D3849}" srcOrd="0" destOrd="0" presId="urn:microsoft.com/office/officeart/2008/layout/HorizontalMultiLevelHierarchy"/>
    <dgm:cxn modelId="{2521A125-C138-41C8-AA0A-61C89D0D226A}" type="presOf" srcId="{6C411F6B-9676-4D68-9C14-D96FCD61A339}" destId="{BF91DFEA-E8D6-4666-9E26-3A8AB87936A1}" srcOrd="1" destOrd="0" presId="urn:microsoft.com/office/officeart/2008/layout/HorizontalMultiLevelHierarchy"/>
    <dgm:cxn modelId="{FE436C29-2216-4967-8B97-B4AC4329C29E}" type="presOf" srcId="{27556496-85F0-4687-8EF8-972351CAFCC6}" destId="{A83C69EA-B03F-48DE-8C15-E2562D961E3F}" srcOrd="0" destOrd="0" presId="urn:microsoft.com/office/officeart/2008/layout/HorizontalMultiLevelHierarchy"/>
    <dgm:cxn modelId="{4F3742A2-8AD5-41B2-B491-F543FC0B6705}" type="presParOf" srcId="{BD1E91CB-E0C7-44FD-AF42-34DF35FF70DF}" destId="{9C404BC9-16DD-4306-8A75-E77D35716265}" srcOrd="0" destOrd="0" presId="urn:microsoft.com/office/officeart/2008/layout/HorizontalMultiLevelHierarchy"/>
    <dgm:cxn modelId="{28CC68C4-C1D8-4E53-BD45-FAE85C46FB6F}" type="presParOf" srcId="{9C404BC9-16DD-4306-8A75-E77D35716265}" destId="{F904B88C-CA83-44EC-9BF5-74F4F3CF8750}" srcOrd="0" destOrd="0" presId="urn:microsoft.com/office/officeart/2008/layout/HorizontalMultiLevelHierarchy"/>
    <dgm:cxn modelId="{4A2B04B7-B1F7-407B-A9CE-9335E4BA4DD6}" type="presParOf" srcId="{9C404BC9-16DD-4306-8A75-E77D35716265}" destId="{60AF6011-7912-448A-80F3-F7DA986A1692}" srcOrd="1" destOrd="0" presId="urn:microsoft.com/office/officeart/2008/layout/HorizontalMultiLevelHierarchy"/>
    <dgm:cxn modelId="{B262FBA0-15AA-4B56-992E-DB4A1BA23D76}" type="presParOf" srcId="{60AF6011-7912-448A-80F3-F7DA986A1692}" destId="{4EEE8EF0-7C64-4496-B0B5-D982153D8FFA}" srcOrd="0" destOrd="0" presId="urn:microsoft.com/office/officeart/2008/layout/HorizontalMultiLevelHierarchy"/>
    <dgm:cxn modelId="{9584280B-0737-4544-8BED-897EC7B32DFD}" type="presParOf" srcId="{4EEE8EF0-7C64-4496-B0B5-D982153D8FFA}" destId="{4B3775A1-0443-4FBD-A22E-08FDA5CAC911}" srcOrd="0" destOrd="0" presId="urn:microsoft.com/office/officeart/2008/layout/HorizontalMultiLevelHierarchy"/>
    <dgm:cxn modelId="{32AF1D3C-D103-4EF2-B8BC-DDF44F6C9DE6}" type="presParOf" srcId="{60AF6011-7912-448A-80F3-F7DA986A1692}" destId="{45B9F829-BE53-44F7-A2F1-9B8D5E643AEF}" srcOrd="1" destOrd="0" presId="urn:microsoft.com/office/officeart/2008/layout/HorizontalMultiLevelHierarchy"/>
    <dgm:cxn modelId="{EDF19334-78C0-443A-BBE0-3CA1A26C26F7}" type="presParOf" srcId="{45B9F829-BE53-44F7-A2F1-9B8D5E643AEF}" destId="{FC2B7B93-A172-460E-9769-D6FE5E26BB4D}" srcOrd="0" destOrd="0" presId="urn:microsoft.com/office/officeart/2008/layout/HorizontalMultiLevelHierarchy"/>
    <dgm:cxn modelId="{F610BE5A-E86A-46CB-BBE5-759D12124D28}" type="presParOf" srcId="{45B9F829-BE53-44F7-A2F1-9B8D5E643AEF}" destId="{967CBF59-B102-40C7-BAB7-52D5F9B2DBBA}" srcOrd="1" destOrd="0" presId="urn:microsoft.com/office/officeart/2008/layout/HorizontalMultiLevelHierarchy"/>
    <dgm:cxn modelId="{10C36667-4DC3-48A0-96FE-C63D7105356F}" type="presParOf" srcId="{967CBF59-B102-40C7-BAB7-52D5F9B2DBBA}" destId="{9402D566-65D8-435F-9775-A598C9F33776}" srcOrd="0" destOrd="0" presId="urn:microsoft.com/office/officeart/2008/layout/HorizontalMultiLevelHierarchy"/>
    <dgm:cxn modelId="{5669BA8B-8384-48C5-8534-8280D51EC390}" type="presParOf" srcId="{9402D566-65D8-435F-9775-A598C9F33776}" destId="{99FECB7C-168F-4815-BC60-40F5C3185CC8}" srcOrd="0" destOrd="0" presId="urn:microsoft.com/office/officeart/2008/layout/HorizontalMultiLevelHierarchy"/>
    <dgm:cxn modelId="{F1F6EF62-775C-4820-BBC8-40F1A711D607}" type="presParOf" srcId="{967CBF59-B102-40C7-BAB7-52D5F9B2DBBA}" destId="{980C50FE-E675-4A81-B59C-EB3BF72D111A}" srcOrd="1" destOrd="0" presId="urn:microsoft.com/office/officeart/2008/layout/HorizontalMultiLevelHierarchy"/>
    <dgm:cxn modelId="{D5671A8C-E449-4602-B99E-8776144222D9}" type="presParOf" srcId="{980C50FE-E675-4A81-B59C-EB3BF72D111A}" destId="{8D059FA8-6A34-442B-9BE6-CBB1F73D3849}" srcOrd="0" destOrd="0" presId="urn:microsoft.com/office/officeart/2008/layout/HorizontalMultiLevelHierarchy"/>
    <dgm:cxn modelId="{52717B48-48E8-4A82-8810-71731E6B93F3}" type="presParOf" srcId="{980C50FE-E675-4A81-B59C-EB3BF72D111A}" destId="{DB2CC4D3-879D-404E-A49F-F2211A3EBF64}" srcOrd="1" destOrd="0" presId="urn:microsoft.com/office/officeart/2008/layout/HorizontalMultiLevelHierarchy"/>
    <dgm:cxn modelId="{783D886B-78CE-405B-8E58-7187A9256C08}" type="presParOf" srcId="{967CBF59-B102-40C7-BAB7-52D5F9B2DBBA}" destId="{3400E5DE-C3C4-4823-AB75-945499F3170E}" srcOrd="2" destOrd="0" presId="urn:microsoft.com/office/officeart/2008/layout/HorizontalMultiLevelHierarchy"/>
    <dgm:cxn modelId="{279AA101-30DF-45FA-A169-FBCA84531CB4}" type="presParOf" srcId="{3400E5DE-C3C4-4823-AB75-945499F3170E}" destId="{3A18E4E9-D842-472E-A53B-F8C95443E69C}" srcOrd="0" destOrd="0" presId="urn:microsoft.com/office/officeart/2008/layout/HorizontalMultiLevelHierarchy"/>
    <dgm:cxn modelId="{55002D36-9FEB-4785-B284-ABE35F3A25C2}" type="presParOf" srcId="{967CBF59-B102-40C7-BAB7-52D5F9B2DBBA}" destId="{72B9A128-1CA1-4DAA-BD7B-D02B5E20385E}" srcOrd="3" destOrd="0" presId="urn:microsoft.com/office/officeart/2008/layout/HorizontalMultiLevelHierarchy"/>
    <dgm:cxn modelId="{5132A34E-0E4F-465D-9C37-3F5F188CA2C0}" type="presParOf" srcId="{72B9A128-1CA1-4DAA-BD7B-D02B5E20385E}" destId="{50213771-C516-4302-ADBA-432108297891}" srcOrd="0" destOrd="0" presId="urn:microsoft.com/office/officeart/2008/layout/HorizontalMultiLevelHierarchy"/>
    <dgm:cxn modelId="{0FA9143D-1688-48CB-8365-2EB13CED89EE}" type="presParOf" srcId="{72B9A128-1CA1-4DAA-BD7B-D02B5E20385E}" destId="{974EF15B-39DF-4CC5-BE5C-763CA5774C5F}" srcOrd="1" destOrd="0" presId="urn:microsoft.com/office/officeart/2008/layout/HorizontalMultiLevelHierarchy"/>
    <dgm:cxn modelId="{0327ED33-AD18-4410-A26A-116C0F83CE7B}" type="presParOf" srcId="{967CBF59-B102-40C7-BAB7-52D5F9B2DBBA}" destId="{A83C69EA-B03F-48DE-8C15-E2562D961E3F}" srcOrd="4" destOrd="0" presId="urn:microsoft.com/office/officeart/2008/layout/HorizontalMultiLevelHierarchy"/>
    <dgm:cxn modelId="{D14D33DD-DD94-4DB7-99F7-94E86CDA2CF2}" type="presParOf" srcId="{A83C69EA-B03F-48DE-8C15-E2562D961E3F}" destId="{B03BD297-E524-435B-99BA-82C78222545C}" srcOrd="0" destOrd="0" presId="urn:microsoft.com/office/officeart/2008/layout/HorizontalMultiLevelHierarchy"/>
    <dgm:cxn modelId="{CABF9ADE-BFE5-4DD8-B645-3C86F5958BE3}" type="presParOf" srcId="{967CBF59-B102-40C7-BAB7-52D5F9B2DBBA}" destId="{E54EF939-C5F6-4B99-8195-3FCD6BD2E269}" srcOrd="5" destOrd="0" presId="urn:microsoft.com/office/officeart/2008/layout/HorizontalMultiLevelHierarchy"/>
    <dgm:cxn modelId="{28A8E6DD-D0E4-4E6E-974B-7883BEE42528}" type="presParOf" srcId="{E54EF939-C5F6-4B99-8195-3FCD6BD2E269}" destId="{4B6031D6-A688-4369-843B-F1B1D34FF08C}" srcOrd="0" destOrd="0" presId="urn:microsoft.com/office/officeart/2008/layout/HorizontalMultiLevelHierarchy"/>
    <dgm:cxn modelId="{F28DF705-FDC4-4C09-B4AF-BEFD8D9FCD8C}" type="presParOf" srcId="{E54EF939-C5F6-4B99-8195-3FCD6BD2E269}" destId="{887038D8-92C7-439B-88C7-5015C3C18633}" srcOrd="1" destOrd="0" presId="urn:microsoft.com/office/officeart/2008/layout/HorizontalMultiLevelHierarchy"/>
    <dgm:cxn modelId="{5A7EE212-B977-4B36-8CF4-28F40BBBEC70}" type="presParOf" srcId="{60AF6011-7912-448A-80F3-F7DA986A1692}" destId="{28FC97F8-3A25-4105-BAD0-BBE2C5A336CF}" srcOrd="2" destOrd="0" presId="urn:microsoft.com/office/officeart/2008/layout/HorizontalMultiLevelHierarchy"/>
    <dgm:cxn modelId="{CD488292-5778-421E-BD50-12CFB5BCAB64}" type="presParOf" srcId="{28FC97F8-3A25-4105-BAD0-BBE2C5A336CF}" destId="{319F623D-AC26-43B8-A38F-2B6661E79BE7}" srcOrd="0" destOrd="0" presId="urn:microsoft.com/office/officeart/2008/layout/HorizontalMultiLevelHierarchy"/>
    <dgm:cxn modelId="{232B40B1-855F-497A-9FE5-03AE59FBA79F}" type="presParOf" srcId="{60AF6011-7912-448A-80F3-F7DA986A1692}" destId="{B3CD8218-B220-485E-9B94-AC12A7052F37}" srcOrd="3" destOrd="0" presId="urn:microsoft.com/office/officeart/2008/layout/HorizontalMultiLevelHierarchy"/>
    <dgm:cxn modelId="{BF404A79-90E5-4183-9378-E01C923C3BB7}" type="presParOf" srcId="{B3CD8218-B220-485E-9B94-AC12A7052F37}" destId="{6DDA2E08-B38B-4D3D-8148-5FB743DB2946}" srcOrd="0" destOrd="0" presId="urn:microsoft.com/office/officeart/2008/layout/HorizontalMultiLevelHierarchy"/>
    <dgm:cxn modelId="{8E94F148-452A-4BFD-935D-882E4C8A80FE}" type="presParOf" srcId="{B3CD8218-B220-485E-9B94-AC12A7052F37}" destId="{2EB3ABE2-C1D3-4EB9-B31C-8C9066E848F1}" srcOrd="1" destOrd="0" presId="urn:microsoft.com/office/officeart/2008/layout/HorizontalMultiLevelHierarchy"/>
    <dgm:cxn modelId="{FF6833B1-A671-40A3-B71C-41981106FBB1}" type="presParOf" srcId="{60AF6011-7912-448A-80F3-F7DA986A1692}" destId="{A0CB3FF1-DF2D-479F-8645-F5AC94905CC1}" srcOrd="4" destOrd="0" presId="urn:microsoft.com/office/officeart/2008/layout/HorizontalMultiLevelHierarchy"/>
    <dgm:cxn modelId="{06C4CB93-7689-43AE-A0CD-27ED028037C8}" type="presParOf" srcId="{A0CB3FF1-DF2D-479F-8645-F5AC94905CC1}" destId="{F2530F61-A7AC-40A0-B5A9-1BD97D14C548}" srcOrd="0" destOrd="0" presId="urn:microsoft.com/office/officeart/2008/layout/HorizontalMultiLevelHierarchy"/>
    <dgm:cxn modelId="{ADB226E4-80A5-4F82-9AB2-0D0929100F49}" type="presParOf" srcId="{60AF6011-7912-448A-80F3-F7DA986A1692}" destId="{4D98707B-F3FA-4F0E-B373-A12645F9C4DD}" srcOrd="5" destOrd="0" presId="urn:microsoft.com/office/officeart/2008/layout/HorizontalMultiLevelHierarchy"/>
    <dgm:cxn modelId="{58BF1AD9-2F1E-41D0-B2B3-9EAA11219AF4}" type="presParOf" srcId="{4D98707B-F3FA-4F0E-B373-A12645F9C4DD}" destId="{E5A7FFEE-8552-4F42-A2D0-F24ED377329E}" srcOrd="0" destOrd="0" presId="urn:microsoft.com/office/officeart/2008/layout/HorizontalMultiLevelHierarchy"/>
    <dgm:cxn modelId="{C3FE3DCC-6E3F-4274-910C-D8B0F233B011}" type="presParOf" srcId="{4D98707B-F3FA-4F0E-B373-A12645F9C4DD}" destId="{C31B5F5B-D3C7-487D-A7A3-6B4AF57D2B26}" srcOrd="1" destOrd="0" presId="urn:microsoft.com/office/officeart/2008/layout/HorizontalMultiLevelHierarchy"/>
    <dgm:cxn modelId="{FDA29B3B-FC4D-403C-A896-457CFC96D8A2}" type="presParOf" srcId="{C31B5F5B-D3C7-487D-A7A3-6B4AF57D2B26}" destId="{D5D0FEE3-4717-46C5-9CB6-60A9403DC9AF}" srcOrd="0" destOrd="0" presId="urn:microsoft.com/office/officeart/2008/layout/HorizontalMultiLevelHierarchy"/>
    <dgm:cxn modelId="{ECB56726-5F26-4F5A-9B0A-DE005E1168CC}" type="presParOf" srcId="{D5D0FEE3-4717-46C5-9CB6-60A9403DC9AF}" destId="{BF91DFEA-E8D6-4666-9E26-3A8AB87936A1}" srcOrd="0" destOrd="0" presId="urn:microsoft.com/office/officeart/2008/layout/HorizontalMultiLevelHierarchy"/>
    <dgm:cxn modelId="{DF77078D-6D7D-44CC-9407-978331F836DC}" type="presParOf" srcId="{C31B5F5B-D3C7-487D-A7A3-6B4AF57D2B26}" destId="{590E5B14-0A27-4CC4-88F7-117876E6F750}" srcOrd="1" destOrd="0" presId="urn:microsoft.com/office/officeart/2008/layout/HorizontalMultiLevelHierarchy"/>
    <dgm:cxn modelId="{06366350-A3A2-456F-86BC-21AC7205FA4B}" type="presParOf" srcId="{590E5B14-0A27-4CC4-88F7-117876E6F750}" destId="{8C6124D7-6E9A-4973-89B8-29EBA9652C34}" srcOrd="0" destOrd="0" presId="urn:microsoft.com/office/officeart/2008/layout/HorizontalMultiLevelHierarchy"/>
    <dgm:cxn modelId="{528B8615-E70A-410D-9717-E2919E96C646}" type="presParOf" srcId="{590E5B14-0A27-4CC4-88F7-117876E6F750}" destId="{87F83456-51BE-4A2D-A3BF-1A43F651E4D2}" srcOrd="1" destOrd="0" presId="urn:microsoft.com/office/officeart/2008/layout/HorizontalMultiLevelHierarchy"/>
    <dgm:cxn modelId="{617E0F06-F234-4802-8126-DA294103ABD8}" type="presParOf" srcId="{C31B5F5B-D3C7-487D-A7A3-6B4AF57D2B26}" destId="{8F952284-7428-4125-A18A-E4318B27376A}" srcOrd="2" destOrd="0" presId="urn:microsoft.com/office/officeart/2008/layout/HorizontalMultiLevelHierarchy"/>
    <dgm:cxn modelId="{590B9E2F-A18F-4B15-8EE5-03F6706F1A4A}" type="presParOf" srcId="{8F952284-7428-4125-A18A-E4318B27376A}" destId="{542CC793-1EB0-40A5-ADC4-2005CF92C57F}" srcOrd="0" destOrd="0" presId="urn:microsoft.com/office/officeart/2008/layout/HorizontalMultiLevelHierarchy"/>
    <dgm:cxn modelId="{4AD6A161-6E9D-4AD1-9341-4D5216863421}" type="presParOf" srcId="{C31B5F5B-D3C7-487D-A7A3-6B4AF57D2B26}" destId="{AC943B60-DD35-4797-97FE-685550E31C32}" srcOrd="3" destOrd="0" presId="urn:microsoft.com/office/officeart/2008/layout/HorizontalMultiLevelHierarchy"/>
    <dgm:cxn modelId="{476F82AB-2315-4748-B9C4-3B800F685FCF}" type="presParOf" srcId="{AC943B60-DD35-4797-97FE-685550E31C32}" destId="{7BECB984-311D-4275-AD49-3B60838620BB}" srcOrd="0" destOrd="0" presId="urn:microsoft.com/office/officeart/2008/layout/HorizontalMultiLevelHierarchy"/>
    <dgm:cxn modelId="{3D1CABB5-5E7D-43BF-A503-67CA14987C16}" type="presParOf" srcId="{AC943B60-DD35-4797-97FE-685550E31C32}" destId="{FDFFFF6D-730E-4294-AE5A-97264CBE92A1}" srcOrd="1" destOrd="0" presId="urn:microsoft.com/office/officeart/2008/layout/HorizontalMultiLevelHierarchy"/>
    <dgm:cxn modelId="{9ABAD914-CD4F-42DB-9586-561C37A7805B}" type="presParOf" srcId="{60AF6011-7912-448A-80F3-F7DA986A1692}" destId="{C37AF6FE-C804-4FBF-A532-FC0D468E052C}" srcOrd="6" destOrd="0" presId="urn:microsoft.com/office/officeart/2008/layout/HorizontalMultiLevelHierarchy"/>
    <dgm:cxn modelId="{73BA9D97-CDC8-4034-AC78-CEB3D0C179EB}" type="presParOf" srcId="{C37AF6FE-C804-4FBF-A532-FC0D468E052C}" destId="{147E5D02-0FB7-4998-9D32-F854E749664F}" srcOrd="0" destOrd="0" presId="urn:microsoft.com/office/officeart/2008/layout/HorizontalMultiLevelHierarchy"/>
    <dgm:cxn modelId="{FD25D077-DD33-4826-A210-1CC363455A00}" type="presParOf" srcId="{60AF6011-7912-448A-80F3-F7DA986A1692}" destId="{4B243372-8C2E-43E8-B48D-2BD0F7B3CCDC}" srcOrd="7" destOrd="0" presId="urn:microsoft.com/office/officeart/2008/layout/HorizontalMultiLevelHierarchy"/>
    <dgm:cxn modelId="{6438C0C6-DCB5-4C23-B157-090E5B3AE537}" type="presParOf" srcId="{4B243372-8C2E-43E8-B48D-2BD0F7B3CCDC}" destId="{DADFD424-5E98-449D-87F3-AAF5DB8BCDBE}" srcOrd="0" destOrd="0" presId="urn:microsoft.com/office/officeart/2008/layout/HorizontalMultiLevelHierarchy"/>
    <dgm:cxn modelId="{C850B930-28D5-4F2A-81A2-2AB0548B532D}" type="presParOf" srcId="{4B243372-8C2E-43E8-B48D-2BD0F7B3CCDC}" destId="{21331011-A782-417A-9950-3A5919192D12}" srcOrd="1" destOrd="0" presId="urn:microsoft.com/office/officeart/2008/layout/HorizontalMultiLevelHierarchy"/>
    <dgm:cxn modelId="{520A2A63-5B9D-45D8-8975-BB069B627E20}" type="presParOf" srcId="{60AF6011-7912-448A-80F3-F7DA986A1692}" destId="{111444B9-64F9-4AFD-9AE4-5F9E7E05D342}" srcOrd="8" destOrd="0" presId="urn:microsoft.com/office/officeart/2008/layout/HorizontalMultiLevelHierarchy"/>
    <dgm:cxn modelId="{2B61551E-A9DA-4D3B-A8D4-3E946D2A15F9}" type="presParOf" srcId="{111444B9-64F9-4AFD-9AE4-5F9E7E05D342}" destId="{38FCDFEC-F7D1-40C8-9F70-223A27A44A80}" srcOrd="0" destOrd="0" presId="urn:microsoft.com/office/officeart/2008/layout/HorizontalMultiLevelHierarchy"/>
    <dgm:cxn modelId="{61B30237-AB3C-4EB6-8450-CB2D902E566D}" type="presParOf" srcId="{60AF6011-7912-448A-80F3-F7DA986A1692}" destId="{16E9A8AD-A4EC-45BA-A3CC-C05470E9BA4A}" srcOrd="9" destOrd="0" presId="urn:microsoft.com/office/officeart/2008/layout/HorizontalMultiLevelHierarchy"/>
    <dgm:cxn modelId="{C584AA31-CB7C-4C1C-B196-EF682AE4F2CC}" type="presParOf" srcId="{16E9A8AD-A4EC-45BA-A3CC-C05470E9BA4A}" destId="{138DA5B4-5E39-49FA-8B82-5203BD92D8C9}" srcOrd="0" destOrd="0" presId="urn:microsoft.com/office/officeart/2008/layout/HorizontalMultiLevelHierarchy"/>
    <dgm:cxn modelId="{3707DDA2-4EBA-44C0-A029-E816583D0FD9}" type="presParOf" srcId="{16E9A8AD-A4EC-45BA-A3CC-C05470E9BA4A}" destId="{41E6A390-AAF0-44AA-89A1-545195B17D64}" srcOrd="1" destOrd="0" presId="urn:microsoft.com/office/officeart/2008/layout/HorizontalMultiLevelHierarchy"/>
    <dgm:cxn modelId="{DDA0B533-4243-40B6-BFC5-28568012C065}" type="presParOf" srcId="{41E6A390-AAF0-44AA-89A1-545195B17D64}" destId="{A5F02BB5-3A89-45FE-805D-9A95AF572BD7}" srcOrd="0" destOrd="0" presId="urn:microsoft.com/office/officeart/2008/layout/HorizontalMultiLevelHierarchy"/>
    <dgm:cxn modelId="{0CC02757-28FB-4533-9309-05E34A04526C}" type="presParOf" srcId="{A5F02BB5-3A89-45FE-805D-9A95AF572BD7}" destId="{B62D0857-F90D-417D-86CA-12C979F40123}" srcOrd="0" destOrd="0" presId="urn:microsoft.com/office/officeart/2008/layout/HorizontalMultiLevelHierarchy"/>
    <dgm:cxn modelId="{98C9CE34-DA0A-46EC-90F1-02F2E2515ED8}" type="presParOf" srcId="{41E6A390-AAF0-44AA-89A1-545195B17D64}" destId="{65167697-E206-4E21-ACE2-DD3BA95CAB23}" srcOrd="1" destOrd="0" presId="urn:microsoft.com/office/officeart/2008/layout/HorizontalMultiLevelHierarchy"/>
    <dgm:cxn modelId="{0E9A4D96-2E47-45AD-8608-28407981FABC}" type="presParOf" srcId="{65167697-E206-4E21-ACE2-DD3BA95CAB23}" destId="{75DBF101-2283-4614-9B29-A78232CC1525}" srcOrd="0" destOrd="0" presId="urn:microsoft.com/office/officeart/2008/layout/HorizontalMultiLevelHierarchy"/>
    <dgm:cxn modelId="{398D099F-20D8-4742-A3EF-34E45E7E5E81}" type="presParOf" srcId="{65167697-E206-4E21-ACE2-DD3BA95CAB23}" destId="{CC7686AB-0DA9-49D6-AE26-5013914BC2C2}" srcOrd="1" destOrd="0" presId="urn:microsoft.com/office/officeart/2008/layout/HorizontalMultiLevelHierarchy"/>
    <dgm:cxn modelId="{9CA7E732-CE5E-4C69-9DAA-984ADE029D4D}" type="presParOf" srcId="{41E6A390-AAF0-44AA-89A1-545195B17D64}" destId="{C9A68097-3715-4226-8372-EF99B2E5009A}" srcOrd="2" destOrd="0" presId="urn:microsoft.com/office/officeart/2008/layout/HorizontalMultiLevelHierarchy"/>
    <dgm:cxn modelId="{2B2E59DA-99CF-421D-BDC8-337B01B80BD1}" type="presParOf" srcId="{C9A68097-3715-4226-8372-EF99B2E5009A}" destId="{7C7D6446-70FF-4EA9-A192-6EFF2912EAD6}" srcOrd="0" destOrd="0" presId="urn:microsoft.com/office/officeart/2008/layout/HorizontalMultiLevelHierarchy"/>
    <dgm:cxn modelId="{758CFD6C-3250-48E1-B3BC-F7ECA005D5ED}" type="presParOf" srcId="{41E6A390-AAF0-44AA-89A1-545195B17D64}" destId="{3BD978AF-23A1-4027-82F7-B1BD4AD9EC95}" srcOrd="3" destOrd="0" presId="urn:microsoft.com/office/officeart/2008/layout/HorizontalMultiLevelHierarchy"/>
    <dgm:cxn modelId="{4E865B47-03BD-4D33-AE3C-3A62B8C8C22F}" type="presParOf" srcId="{3BD978AF-23A1-4027-82F7-B1BD4AD9EC95}" destId="{175EB076-79BE-42B6-B43B-6C5E84B522B3}" srcOrd="0" destOrd="0" presId="urn:microsoft.com/office/officeart/2008/layout/HorizontalMultiLevelHierarchy"/>
    <dgm:cxn modelId="{BF75BDE0-4898-4DE0-8015-28D8334A211C}" type="presParOf" srcId="{3BD978AF-23A1-4027-82F7-B1BD4AD9EC95}" destId="{A03B5D08-E690-4AB3-92C2-90FA7AFCA550}" srcOrd="1" destOrd="0" presId="urn:microsoft.com/office/officeart/2008/layout/HorizontalMultiLevelHierarchy"/>
    <dgm:cxn modelId="{3E72F6B3-7C24-42D5-B13D-3822A53C100F}" type="presParOf" srcId="{41E6A390-AAF0-44AA-89A1-545195B17D64}" destId="{C2346A18-1A28-4D56-9ED2-14D8EF9C6151}" srcOrd="4" destOrd="0" presId="urn:microsoft.com/office/officeart/2008/layout/HorizontalMultiLevelHierarchy"/>
    <dgm:cxn modelId="{ECF01447-867B-4202-B8C6-AE6A7078FC48}" type="presParOf" srcId="{C2346A18-1A28-4D56-9ED2-14D8EF9C6151}" destId="{9234180D-EE55-4DE5-AF94-D76154B64FDC}" srcOrd="0" destOrd="0" presId="urn:microsoft.com/office/officeart/2008/layout/HorizontalMultiLevelHierarchy"/>
    <dgm:cxn modelId="{128A8DF4-8B1E-4941-8AA8-5B15D5E15A81}" type="presParOf" srcId="{41E6A390-AAF0-44AA-89A1-545195B17D64}" destId="{43725BF1-B8B3-4834-974B-FF67E25BF3AF}" srcOrd="5" destOrd="0" presId="urn:microsoft.com/office/officeart/2008/layout/HorizontalMultiLevelHierarchy"/>
    <dgm:cxn modelId="{0383453A-683D-4D4A-B56C-B2A5C9850380}" type="presParOf" srcId="{43725BF1-B8B3-4834-974B-FF67E25BF3AF}" destId="{A12AA01B-886C-48C4-8AC3-97D233FDD585}" srcOrd="0" destOrd="0" presId="urn:microsoft.com/office/officeart/2008/layout/HorizontalMultiLevelHierarchy"/>
    <dgm:cxn modelId="{17C88182-8EF1-4C37-8C62-8CB6523D57CB}" type="presParOf" srcId="{43725BF1-B8B3-4834-974B-FF67E25BF3AF}" destId="{382BAB23-02AC-4CCA-A6B0-6531F9165896}" srcOrd="1" destOrd="0" presId="urn:microsoft.com/office/officeart/2008/layout/HorizontalMultiLevelHierarchy"/>
  </dgm:cxnLst>
  <dgm:bg>
    <a:noFill/>
  </dgm:bg>
  <dgm:whole>
    <a:ln w="9525" cap="flat" cmpd="sng" algn="ctr">
      <a:noFill/>
      <a:prstDash val="solid"/>
      <a:round/>
      <a:headEnd type="none" w="med" len="med"/>
      <a:tailEnd type="none" w="med" len="med"/>
    </a:ln>
  </dgm:whole>
</dgm:dataModel>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086F4A2-6347-48B5-9335-B7C0535C8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7520</Words>
  <Characters>40609</Characters>
  <Application>Microsoft Office Word</Application>
  <DocSecurity>0</DocSecurity>
  <Lines>338</Lines>
  <Paragraphs>96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DELL-PC</dc:creator>
  <cp:lastModifiedBy>ALOISIO</cp:lastModifiedBy>
  <cp:revision>2</cp:revision>
  <dcterms:created xsi:type="dcterms:W3CDTF">2022-07-10T10:48:00Z</dcterms:created>
  <dcterms:modified xsi:type="dcterms:W3CDTF">2022-07-10T10:48:00Z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1046-11.2.0.11130</vt:lpwstr>
  </property>
  <property fmtid="{D5CDD505-2E9C-101B-9397-08002B2CF9AE}" pid="3" name="ICV">
    <vt:lpwstr>F823C2174BA04F349E8757594F333FDC</vt:lpwstr>
  </property>
</Properties>
</file>