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4C59F" w14:textId="2B67F8C2" w:rsidR="00921791" w:rsidRPr="008B16E4" w:rsidRDefault="00921791" w:rsidP="002949C5">
      <w:pPr>
        <w:widowControl w:val="0"/>
        <w:spacing w:after="0" w:line="360" w:lineRule="auto"/>
        <w:jc w:val="center"/>
        <w:rPr>
          <w:rFonts w:ascii="Times New Roman" w:hAnsi="Times New Roman" w:cs="Times New Roman"/>
          <w:b/>
          <w:bCs/>
          <w:sz w:val="28"/>
          <w:szCs w:val="28"/>
        </w:rPr>
      </w:pPr>
      <w:r w:rsidRPr="008B16E4">
        <w:rPr>
          <w:rFonts w:ascii="Times New Roman" w:hAnsi="Times New Roman" w:cs="Times New Roman"/>
          <w:b/>
          <w:bCs/>
          <w:sz w:val="28"/>
          <w:szCs w:val="28"/>
        </w:rPr>
        <w:t>EDUCAÇÃO PROFISSIONAL E TECNOLÓGICA</w:t>
      </w:r>
      <w:r>
        <w:rPr>
          <w:rFonts w:ascii="Times New Roman" w:hAnsi="Times New Roman" w:cs="Times New Roman"/>
          <w:b/>
          <w:bCs/>
          <w:sz w:val="28"/>
          <w:szCs w:val="28"/>
        </w:rPr>
        <w:t xml:space="preserve">: </w:t>
      </w:r>
      <w:r w:rsidR="0087649E">
        <w:rPr>
          <w:rFonts w:ascii="Times New Roman" w:hAnsi="Times New Roman" w:cs="Times New Roman"/>
          <w:b/>
          <w:bCs/>
          <w:sz w:val="28"/>
          <w:szCs w:val="28"/>
        </w:rPr>
        <w:t xml:space="preserve">Expansão da Rede </w:t>
      </w:r>
      <w:r w:rsidR="00AA3CB0">
        <w:rPr>
          <w:rFonts w:ascii="Times New Roman" w:hAnsi="Times New Roman" w:cs="Times New Roman"/>
          <w:b/>
          <w:bCs/>
          <w:sz w:val="28"/>
          <w:szCs w:val="28"/>
        </w:rPr>
        <w:t xml:space="preserve">Federal </w:t>
      </w:r>
      <w:r w:rsidR="0087649E">
        <w:rPr>
          <w:rFonts w:ascii="Times New Roman" w:hAnsi="Times New Roman" w:cs="Times New Roman"/>
          <w:b/>
          <w:bCs/>
          <w:sz w:val="28"/>
          <w:szCs w:val="28"/>
        </w:rPr>
        <w:t>e contribuição para o desenvolvimento</w:t>
      </w:r>
    </w:p>
    <w:p w14:paraId="22FF1918" w14:textId="77777777" w:rsidR="00BC2367" w:rsidRDefault="00BC2367">
      <w:pPr>
        <w:spacing w:after="0" w:line="360" w:lineRule="auto"/>
        <w:jc w:val="center"/>
        <w:rPr>
          <w:rFonts w:ascii="Times New Roman" w:hAnsi="Times New Roman" w:cs="Times New Roman"/>
          <w:sz w:val="28"/>
          <w:szCs w:val="28"/>
        </w:rPr>
      </w:pPr>
    </w:p>
    <w:p w14:paraId="2F7281B7" w14:textId="77777777" w:rsidR="00BC2367" w:rsidRDefault="00CA018B">
      <w:pPr>
        <w:pStyle w:val="Ttulo"/>
        <w:jc w:val="both"/>
        <w:rPr>
          <w:rFonts w:ascii="Times New Roman" w:hAnsi="Times New Roman"/>
          <w:sz w:val="24"/>
        </w:rPr>
      </w:pPr>
      <w:r>
        <w:rPr>
          <w:rFonts w:ascii="Times New Roman" w:hAnsi="Times New Roman"/>
          <w:sz w:val="24"/>
        </w:rPr>
        <w:t>RESUMO</w:t>
      </w:r>
    </w:p>
    <w:p w14:paraId="5AF2A6C9" w14:textId="68B13AF5" w:rsidR="002949C5" w:rsidRPr="00AE33AF" w:rsidRDefault="00921791" w:rsidP="002949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 artigo tematiza a educação e o desenvolvimento. Para isso buscou </w:t>
      </w:r>
      <w:r w:rsidRPr="00180F8C">
        <w:rPr>
          <w:rFonts w:ascii="Times New Roman" w:hAnsi="Times New Roman" w:cs="Times New Roman"/>
          <w:sz w:val="24"/>
          <w:szCs w:val="24"/>
        </w:rPr>
        <w:t>identifica</w:t>
      </w:r>
      <w:r>
        <w:rPr>
          <w:rFonts w:ascii="Times New Roman" w:hAnsi="Times New Roman" w:cs="Times New Roman"/>
          <w:sz w:val="24"/>
          <w:szCs w:val="24"/>
        </w:rPr>
        <w:t>r</w:t>
      </w:r>
      <w:r w:rsidRPr="00180F8C">
        <w:rPr>
          <w:rFonts w:ascii="Times New Roman" w:hAnsi="Times New Roman" w:cs="Times New Roman"/>
          <w:sz w:val="24"/>
          <w:szCs w:val="24"/>
        </w:rPr>
        <w:t xml:space="preserve"> os critérios </w:t>
      </w:r>
      <w:r>
        <w:rPr>
          <w:rFonts w:ascii="Times New Roman" w:hAnsi="Times New Roman" w:cs="Times New Roman"/>
          <w:sz w:val="24"/>
          <w:szCs w:val="24"/>
        </w:rPr>
        <w:t xml:space="preserve">do </w:t>
      </w:r>
      <w:r w:rsidRPr="00180F8C">
        <w:rPr>
          <w:rFonts w:ascii="Times New Roman" w:hAnsi="Times New Roman" w:cs="Times New Roman"/>
          <w:sz w:val="24"/>
          <w:szCs w:val="24"/>
        </w:rPr>
        <w:t>Ministério da Educação para expansão da Rede Federal de Educação Profissional</w:t>
      </w:r>
      <w:r>
        <w:rPr>
          <w:rFonts w:ascii="Times New Roman" w:hAnsi="Times New Roman" w:cs="Times New Roman"/>
          <w:sz w:val="24"/>
          <w:szCs w:val="24"/>
        </w:rPr>
        <w:t xml:space="preserve"> e Tecnológica; bem como </w:t>
      </w:r>
      <w:r w:rsidRPr="00180F8C">
        <w:rPr>
          <w:rFonts w:ascii="Times New Roman" w:hAnsi="Times New Roman" w:cs="Times New Roman"/>
          <w:sz w:val="24"/>
          <w:szCs w:val="24"/>
        </w:rPr>
        <w:t>analisa</w:t>
      </w:r>
      <w:r>
        <w:rPr>
          <w:rFonts w:ascii="Times New Roman" w:hAnsi="Times New Roman" w:cs="Times New Roman"/>
          <w:sz w:val="24"/>
          <w:szCs w:val="24"/>
        </w:rPr>
        <w:t>r</w:t>
      </w:r>
      <w:r w:rsidRPr="00180F8C">
        <w:rPr>
          <w:rFonts w:ascii="Times New Roman" w:hAnsi="Times New Roman" w:cs="Times New Roman"/>
          <w:sz w:val="24"/>
          <w:szCs w:val="24"/>
        </w:rPr>
        <w:t xml:space="preserve"> essa expansão </w:t>
      </w:r>
      <w:r>
        <w:rPr>
          <w:rFonts w:ascii="Times New Roman" w:hAnsi="Times New Roman" w:cs="Times New Roman"/>
          <w:sz w:val="24"/>
          <w:szCs w:val="24"/>
        </w:rPr>
        <w:t>e a oferta da Educação Profissional no IFPR.</w:t>
      </w:r>
      <w:r w:rsidRPr="00180F8C">
        <w:rPr>
          <w:rFonts w:ascii="Times New Roman" w:hAnsi="Times New Roman" w:cs="Times New Roman"/>
          <w:sz w:val="24"/>
          <w:szCs w:val="24"/>
        </w:rPr>
        <w:t xml:space="preserve"> </w:t>
      </w:r>
      <w:r>
        <w:rPr>
          <w:rFonts w:ascii="Times New Roman" w:hAnsi="Times New Roman" w:cs="Times New Roman"/>
          <w:sz w:val="24"/>
          <w:szCs w:val="24"/>
        </w:rPr>
        <w:t>Com a pesquisa documental v</w:t>
      </w:r>
      <w:r w:rsidRPr="00180F8C">
        <w:rPr>
          <w:rFonts w:ascii="Times New Roman" w:hAnsi="Times New Roman" w:cs="Times New Roman"/>
          <w:sz w:val="24"/>
          <w:szCs w:val="24"/>
        </w:rPr>
        <w:t>erific</w:t>
      </w:r>
      <w:r>
        <w:rPr>
          <w:rFonts w:ascii="Times New Roman" w:hAnsi="Times New Roman" w:cs="Times New Roman"/>
          <w:sz w:val="24"/>
          <w:szCs w:val="24"/>
        </w:rPr>
        <w:t>ou</w:t>
      </w:r>
      <w:r w:rsidRPr="00180F8C">
        <w:rPr>
          <w:rFonts w:ascii="Times New Roman" w:hAnsi="Times New Roman" w:cs="Times New Roman"/>
          <w:sz w:val="24"/>
          <w:szCs w:val="24"/>
        </w:rPr>
        <w:t xml:space="preserve">-se </w:t>
      </w:r>
      <w:r>
        <w:rPr>
          <w:rFonts w:ascii="Times New Roman" w:hAnsi="Times New Roman" w:cs="Times New Roman"/>
          <w:sz w:val="24"/>
          <w:szCs w:val="24"/>
        </w:rPr>
        <w:t>a orientação para i</w:t>
      </w:r>
      <w:r w:rsidRPr="00180F8C">
        <w:rPr>
          <w:rFonts w:ascii="Times New Roman" w:hAnsi="Times New Roman" w:cs="Times New Roman"/>
          <w:sz w:val="24"/>
          <w:szCs w:val="24"/>
        </w:rPr>
        <w:t>nstala</w:t>
      </w:r>
      <w:r>
        <w:rPr>
          <w:rFonts w:ascii="Times New Roman" w:hAnsi="Times New Roman" w:cs="Times New Roman"/>
          <w:sz w:val="24"/>
          <w:szCs w:val="24"/>
        </w:rPr>
        <w:t xml:space="preserve">ção de unidades </w:t>
      </w:r>
      <w:r w:rsidRPr="00180F8C">
        <w:rPr>
          <w:rFonts w:ascii="Times New Roman" w:hAnsi="Times New Roman" w:cs="Times New Roman"/>
          <w:sz w:val="24"/>
          <w:szCs w:val="24"/>
        </w:rPr>
        <w:t>d</w:t>
      </w:r>
      <w:r>
        <w:rPr>
          <w:rFonts w:ascii="Times New Roman" w:hAnsi="Times New Roman" w:cs="Times New Roman"/>
          <w:sz w:val="24"/>
          <w:szCs w:val="24"/>
        </w:rPr>
        <w:t xml:space="preserve">essa </w:t>
      </w:r>
      <w:r w:rsidRPr="00180F8C">
        <w:rPr>
          <w:rFonts w:ascii="Times New Roman" w:hAnsi="Times New Roman" w:cs="Times New Roman"/>
          <w:sz w:val="24"/>
          <w:szCs w:val="24"/>
        </w:rPr>
        <w:t>R</w:t>
      </w:r>
      <w:r>
        <w:rPr>
          <w:rFonts w:ascii="Times New Roman" w:hAnsi="Times New Roman" w:cs="Times New Roman"/>
          <w:sz w:val="24"/>
          <w:szCs w:val="24"/>
        </w:rPr>
        <w:t xml:space="preserve">ede de modo a </w:t>
      </w:r>
      <w:r w:rsidRPr="00180F8C">
        <w:rPr>
          <w:rFonts w:ascii="Times New Roman" w:hAnsi="Times New Roman" w:cs="Times New Roman"/>
          <w:sz w:val="24"/>
          <w:szCs w:val="24"/>
        </w:rPr>
        <w:t>atender regiões com maior vulnerabilidade socioeconômica</w:t>
      </w:r>
      <w:r>
        <w:rPr>
          <w:rFonts w:ascii="Times New Roman" w:hAnsi="Times New Roman" w:cs="Times New Roman"/>
          <w:sz w:val="24"/>
          <w:szCs w:val="24"/>
        </w:rPr>
        <w:t xml:space="preserve">, para </w:t>
      </w:r>
      <w:r w:rsidRPr="00180F8C">
        <w:rPr>
          <w:rFonts w:ascii="Times New Roman" w:hAnsi="Times New Roman" w:cs="Times New Roman"/>
          <w:sz w:val="24"/>
          <w:szCs w:val="24"/>
        </w:rPr>
        <w:t xml:space="preserve">promover a interiorização </w:t>
      </w:r>
      <w:r>
        <w:rPr>
          <w:rFonts w:ascii="Times New Roman" w:hAnsi="Times New Roman" w:cs="Times New Roman"/>
          <w:sz w:val="24"/>
          <w:szCs w:val="24"/>
        </w:rPr>
        <w:t>do ensino profissional e estimular fatores de desenvolvimento</w:t>
      </w:r>
      <w:r w:rsidRPr="00180F8C">
        <w:rPr>
          <w:rFonts w:ascii="Times New Roman" w:hAnsi="Times New Roman" w:cs="Times New Roman"/>
          <w:sz w:val="24"/>
          <w:szCs w:val="24"/>
        </w:rPr>
        <w:t xml:space="preserve">. </w:t>
      </w:r>
      <w:r>
        <w:rPr>
          <w:rFonts w:ascii="Times New Roman" w:hAnsi="Times New Roman" w:cs="Times New Roman"/>
          <w:sz w:val="24"/>
          <w:szCs w:val="24"/>
        </w:rPr>
        <w:t xml:space="preserve">Na relação entre as políticas públicas de Educação e Desenvolvimento Regional apurou-se que </w:t>
      </w:r>
      <w:r w:rsidRPr="00180F8C">
        <w:rPr>
          <w:rFonts w:ascii="Times New Roman" w:hAnsi="Times New Roman" w:cs="Times New Roman"/>
          <w:sz w:val="24"/>
          <w:szCs w:val="24"/>
        </w:rPr>
        <w:t xml:space="preserve">foram contemplados 3 dos 4 </w:t>
      </w:r>
      <w:r>
        <w:rPr>
          <w:rFonts w:ascii="Times New Roman" w:hAnsi="Times New Roman" w:cs="Times New Roman"/>
          <w:sz w:val="24"/>
          <w:szCs w:val="24"/>
        </w:rPr>
        <w:t>T</w:t>
      </w:r>
      <w:r w:rsidRPr="00180F8C">
        <w:rPr>
          <w:rFonts w:ascii="Times New Roman" w:hAnsi="Times New Roman" w:cs="Times New Roman"/>
          <w:sz w:val="24"/>
          <w:szCs w:val="24"/>
        </w:rPr>
        <w:t xml:space="preserve">erritórios da </w:t>
      </w:r>
      <w:r>
        <w:rPr>
          <w:rFonts w:ascii="Times New Roman" w:hAnsi="Times New Roman" w:cs="Times New Roman"/>
          <w:sz w:val="24"/>
          <w:szCs w:val="24"/>
        </w:rPr>
        <w:t>C</w:t>
      </w:r>
      <w:r w:rsidRPr="00180F8C">
        <w:rPr>
          <w:rFonts w:ascii="Times New Roman" w:hAnsi="Times New Roman" w:cs="Times New Roman"/>
          <w:sz w:val="24"/>
          <w:szCs w:val="24"/>
        </w:rPr>
        <w:t xml:space="preserve">idadania </w:t>
      </w:r>
      <w:r>
        <w:rPr>
          <w:rFonts w:ascii="Times New Roman" w:hAnsi="Times New Roman" w:cs="Times New Roman"/>
          <w:sz w:val="24"/>
          <w:szCs w:val="24"/>
        </w:rPr>
        <w:t>paranaenses</w:t>
      </w:r>
      <w:r w:rsidRPr="00180F8C">
        <w:rPr>
          <w:rFonts w:ascii="Times New Roman" w:hAnsi="Times New Roman" w:cs="Times New Roman"/>
          <w:sz w:val="24"/>
          <w:szCs w:val="24"/>
        </w:rPr>
        <w:t>.</w:t>
      </w:r>
      <w:r>
        <w:rPr>
          <w:rFonts w:ascii="Times New Roman" w:hAnsi="Times New Roman" w:cs="Times New Roman"/>
          <w:sz w:val="24"/>
          <w:szCs w:val="24"/>
        </w:rPr>
        <w:t xml:space="preserve"> O Paraná </w:t>
      </w:r>
      <w:r w:rsidRPr="00180F8C">
        <w:rPr>
          <w:rFonts w:ascii="Times New Roman" w:hAnsi="Times New Roman" w:cs="Times New Roman"/>
          <w:sz w:val="24"/>
          <w:szCs w:val="24"/>
        </w:rPr>
        <w:t>possui</w:t>
      </w:r>
      <w:r>
        <w:rPr>
          <w:rFonts w:ascii="Times New Roman" w:hAnsi="Times New Roman" w:cs="Times New Roman"/>
          <w:sz w:val="24"/>
          <w:szCs w:val="24"/>
        </w:rPr>
        <w:t xml:space="preserve"> duas </w:t>
      </w:r>
      <w:r w:rsidRPr="00180F8C">
        <w:rPr>
          <w:rFonts w:ascii="Times New Roman" w:hAnsi="Times New Roman" w:cs="Times New Roman"/>
          <w:sz w:val="24"/>
          <w:szCs w:val="24"/>
        </w:rPr>
        <w:t>instituições</w:t>
      </w:r>
      <w:r>
        <w:rPr>
          <w:rFonts w:ascii="Times New Roman" w:hAnsi="Times New Roman" w:cs="Times New Roman"/>
          <w:sz w:val="24"/>
          <w:szCs w:val="24"/>
        </w:rPr>
        <w:t xml:space="preserve"> integrantes dessa Rede</w:t>
      </w:r>
      <w:r w:rsidRPr="00180F8C">
        <w:rPr>
          <w:rFonts w:ascii="Times New Roman" w:hAnsi="Times New Roman" w:cs="Times New Roman"/>
          <w:sz w:val="24"/>
          <w:szCs w:val="24"/>
        </w:rPr>
        <w:t>: a UTFPR e o IFPR</w:t>
      </w:r>
      <w:r>
        <w:rPr>
          <w:rFonts w:ascii="Times New Roman" w:hAnsi="Times New Roman" w:cs="Times New Roman"/>
          <w:sz w:val="24"/>
          <w:szCs w:val="24"/>
        </w:rPr>
        <w:t xml:space="preserve">, que estão em todas as </w:t>
      </w:r>
      <w:r w:rsidRPr="00180F8C">
        <w:rPr>
          <w:rFonts w:ascii="Times New Roman" w:hAnsi="Times New Roman" w:cs="Times New Roman"/>
          <w:sz w:val="24"/>
          <w:szCs w:val="24"/>
        </w:rPr>
        <w:t>mesorregiões</w:t>
      </w:r>
      <w:r>
        <w:rPr>
          <w:rFonts w:ascii="Times New Roman" w:hAnsi="Times New Roman" w:cs="Times New Roman"/>
          <w:sz w:val="24"/>
          <w:szCs w:val="24"/>
        </w:rPr>
        <w:t xml:space="preserve"> do Estado</w:t>
      </w:r>
      <w:r w:rsidRPr="00180F8C">
        <w:rPr>
          <w:rFonts w:ascii="Times New Roman" w:hAnsi="Times New Roman" w:cs="Times New Roman"/>
          <w:sz w:val="24"/>
          <w:szCs w:val="24"/>
        </w:rPr>
        <w:t xml:space="preserve"> e </w:t>
      </w:r>
      <w:r>
        <w:rPr>
          <w:rFonts w:ascii="Times New Roman" w:hAnsi="Times New Roman" w:cs="Times New Roman"/>
          <w:sz w:val="24"/>
          <w:szCs w:val="24"/>
        </w:rPr>
        <w:t xml:space="preserve">em </w:t>
      </w:r>
      <w:r w:rsidRPr="00180F8C">
        <w:rPr>
          <w:rFonts w:ascii="Times New Roman" w:hAnsi="Times New Roman" w:cs="Times New Roman"/>
          <w:sz w:val="24"/>
          <w:szCs w:val="24"/>
        </w:rPr>
        <w:t>26 das 39 microrregiões</w:t>
      </w:r>
      <w:r>
        <w:rPr>
          <w:rFonts w:ascii="Times New Roman" w:hAnsi="Times New Roman" w:cs="Times New Roman"/>
          <w:sz w:val="24"/>
          <w:szCs w:val="24"/>
        </w:rPr>
        <w:t>.</w:t>
      </w:r>
      <w:r w:rsidRPr="00180F8C">
        <w:rPr>
          <w:rFonts w:ascii="Times New Roman" w:hAnsi="Times New Roman" w:cs="Times New Roman"/>
          <w:sz w:val="24"/>
          <w:szCs w:val="24"/>
        </w:rPr>
        <w:t xml:space="preserve"> </w:t>
      </w:r>
      <w:r w:rsidR="0010791D">
        <w:rPr>
          <w:rFonts w:ascii="Times New Roman" w:hAnsi="Times New Roman" w:cs="Times New Roman"/>
          <w:sz w:val="24"/>
          <w:szCs w:val="24"/>
        </w:rPr>
        <w:t>A</w:t>
      </w:r>
      <w:r w:rsidRPr="00180F8C">
        <w:rPr>
          <w:rFonts w:ascii="Times New Roman" w:hAnsi="Times New Roman" w:cs="Times New Roman"/>
          <w:sz w:val="24"/>
          <w:szCs w:val="24"/>
        </w:rPr>
        <w:t xml:space="preserve"> maioria dos cursos e matrículas </w:t>
      </w:r>
      <w:r>
        <w:rPr>
          <w:rFonts w:ascii="Times New Roman" w:hAnsi="Times New Roman" w:cs="Times New Roman"/>
          <w:sz w:val="24"/>
          <w:szCs w:val="24"/>
        </w:rPr>
        <w:t>asseguradas pelo IFPR f</w:t>
      </w:r>
      <w:r w:rsidRPr="00180F8C">
        <w:rPr>
          <w:rFonts w:ascii="Times New Roman" w:hAnsi="Times New Roman" w:cs="Times New Roman"/>
          <w:sz w:val="24"/>
          <w:szCs w:val="24"/>
        </w:rPr>
        <w:t>oram nos eixos</w:t>
      </w:r>
      <w:r>
        <w:rPr>
          <w:rFonts w:ascii="Times New Roman" w:hAnsi="Times New Roman" w:cs="Times New Roman"/>
          <w:sz w:val="24"/>
          <w:szCs w:val="24"/>
        </w:rPr>
        <w:t xml:space="preserve">: </w:t>
      </w:r>
      <w:r w:rsidRPr="00180F8C">
        <w:rPr>
          <w:rFonts w:ascii="Times New Roman" w:hAnsi="Times New Roman" w:cs="Times New Roman"/>
          <w:sz w:val="24"/>
          <w:szCs w:val="24"/>
        </w:rPr>
        <w:t>Desenvolvimento Educacional e Social, Informação e Comunicação e Gestão e Negócios.</w:t>
      </w:r>
    </w:p>
    <w:p w14:paraId="7A124BAD" w14:textId="79715E60" w:rsidR="00BC2367" w:rsidRDefault="00CA018B" w:rsidP="002949C5">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Palavras-chave</w:t>
      </w:r>
      <w:r>
        <w:rPr>
          <w:rFonts w:ascii="Times New Roman" w:hAnsi="Times New Roman" w:cs="Times New Roman"/>
          <w:sz w:val="24"/>
          <w:szCs w:val="24"/>
        </w:rPr>
        <w:t xml:space="preserve">: </w:t>
      </w:r>
      <w:r w:rsidR="00921791">
        <w:rPr>
          <w:rFonts w:ascii="Times New Roman" w:hAnsi="Times New Roman" w:cs="Times New Roman"/>
          <w:sz w:val="24"/>
          <w:szCs w:val="24"/>
        </w:rPr>
        <w:t xml:space="preserve">Política Educacional; </w:t>
      </w:r>
      <w:r w:rsidR="00921791" w:rsidRPr="00D756BD">
        <w:rPr>
          <w:rFonts w:ascii="Times New Roman" w:eastAsia="Times New Roman" w:hAnsi="Times New Roman" w:cs="Times New Roman"/>
          <w:sz w:val="24"/>
          <w:szCs w:val="24"/>
        </w:rPr>
        <w:t>Educação Profissional e Tecnológica</w:t>
      </w:r>
      <w:r w:rsidR="00921791">
        <w:rPr>
          <w:rFonts w:ascii="Times New Roman" w:eastAsia="Times New Roman" w:hAnsi="Times New Roman" w:cs="Times New Roman"/>
          <w:sz w:val="24"/>
          <w:szCs w:val="24"/>
        </w:rPr>
        <w:t xml:space="preserve">; </w:t>
      </w:r>
      <w:r w:rsidR="00921791">
        <w:rPr>
          <w:rFonts w:ascii="Times New Roman" w:hAnsi="Times New Roman" w:cs="Times New Roman"/>
          <w:sz w:val="24"/>
          <w:szCs w:val="24"/>
        </w:rPr>
        <w:t>Expansão;</w:t>
      </w:r>
      <w:r w:rsidR="00921791">
        <w:rPr>
          <w:rFonts w:ascii="Times New Roman" w:eastAsia="Times New Roman" w:hAnsi="Times New Roman" w:cs="Times New Roman"/>
          <w:sz w:val="24"/>
          <w:szCs w:val="24"/>
        </w:rPr>
        <w:t xml:space="preserve"> Institutos Federais; Paraná.</w:t>
      </w:r>
    </w:p>
    <w:p w14:paraId="2AEE2994" w14:textId="77777777" w:rsidR="00BC2367" w:rsidRDefault="00BC2367" w:rsidP="00AE33AF">
      <w:pPr>
        <w:spacing w:after="0" w:line="360" w:lineRule="auto"/>
        <w:jc w:val="both"/>
        <w:rPr>
          <w:rFonts w:ascii="Times New Roman" w:hAnsi="Times New Roman" w:cs="Times New Roman"/>
          <w:sz w:val="24"/>
          <w:szCs w:val="24"/>
        </w:rPr>
      </w:pPr>
    </w:p>
    <w:p w14:paraId="0DBDE4D1" w14:textId="286622F3" w:rsidR="00BC2367" w:rsidRDefault="00CA018B" w:rsidP="00AE33AF">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GT No </w:t>
      </w:r>
      <w:r w:rsidR="00B101C5">
        <w:rPr>
          <w:rFonts w:ascii="Times New Roman" w:hAnsi="Times New Roman" w:cs="Times New Roman"/>
          <w:b/>
          <w:bCs/>
          <w:sz w:val="24"/>
          <w:szCs w:val="24"/>
        </w:rPr>
        <w:t>6</w:t>
      </w:r>
      <w:r>
        <w:rPr>
          <w:rFonts w:ascii="Times New Roman" w:hAnsi="Times New Roman" w:cs="Times New Roman"/>
          <w:sz w:val="24"/>
          <w:szCs w:val="24"/>
        </w:rPr>
        <w:t xml:space="preserve">: </w:t>
      </w:r>
      <w:r w:rsidR="00B101C5" w:rsidRPr="00B101C5">
        <w:rPr>
          <w:rFonts w:ascii="Times New Roman" w:hAnsi="Times New Roman" w:cs="Times New Roman"/>
          <w:sz w:val="24"/>
          <w:szCs w:val="24"/>
        </w:rPr>
        <w:t>Estado, Políticas Públicas e Desenvolvimento Regional em um cenário pós-Pandemia</w:t>
      </w:r>
    </w:p>
    <w:p w14:paraId="48FFD56E" w14:textId="77777777" w:rsidR="00BC2367" w:rsidRDefault="00BC2367" w:rsidP="00AE33AF">
      <w:pPr>
        <w:spacing w:after="0" w:line="360" w:lineRule="auto"/>
        <w:jc w:val="both"/>
        <w:rPr>
          <w:rFonts w:ascii="Times New Roman" w:hAnsi="Times New Roman" w:cs="Times New Roman"/>
          <w:sz w:val="24"/>
          <w:szCs w:val="24"/>
        </w:rPr>
      </w:pPr>
    </w:p>
    <w:p w14:paraId="19ABBCF2" w14:textId="77777777" w:rsidR="00BC2367" w:rsidRDefault="00CA018B" w:rsidP="0061005C">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3DEC21B5" w14:textId="77777777" w:rsidR="00921791" w:rsidRPr="00D756BD" w:rsidRDefault="00921791" w:rsidP="0061005C">
      <w:pPr>
        <w:widowControl w:val="0"/>
        <w:spacing w:after="0" w:line="360" w:lineRule="auto"/>
        <w:ind w:firstLine="709"/>
        <w:jc w:val="both"/>
        <w:rPr>
          <w:rFonts w:ascii="Times New Roman" w:hAnsi="Times New Roman" w:cs="Times New Roman"/>
          <w:sz w:val="24"/>
          <w:szCs w:val="24"/>
        </w:rPr>
      </w:pPr>
      <w:r w:rsidRPr="00D756BD">
        <w:rPr>
          <w:rFonts w:ascii="Times New Roman" w:hAnsi="Times New Roman" w:cs="Times New Roman"/>
          <w:sz w:val="24"/>
          <w:szCs w:val="24"/>
        </w:rPr>
        <w:t xml:space="preserve">A oferta de </w:t>
      </w:r>
      <w:r w:rsidRPr="00D756BD">
        <w:rPr>
          <w:rFonts w:ascii="Times New Roman" w:eastAsia="Times New Roman" w:hAnsi="Times New Roman" w:cs="Times New Roman"/>
          <w:sz w:val="24"/>
          <w:szCs w:val="24"/>
        </w:rPr>
        <w:t>Educação Profissional e Tecnológica (EPT)</w:t>
      </w:r>
      <w:r w:rsidRPr="00D756BD">
        <w:rPr>
          <w:rFonts w:ascii="Times New Roman" w:hAnsi="Times New Roman" w:cs="Times New Roman"/>
          <w:sz w:val="24"/>
          <w:szCs w:val="24"/>
        </w:rPr>
        <w:t xml:space="preserve"> pelo Governo Federal passou por expressivas mudanças a partir de 2005, dentre as quais se destacam o Plano de Expansão da Rede Federal e a criação dos Institutos Federais</w:t>
      </w:r>
      <w:r>
        <w:rPr>
          <w:rFonts w:ascii="Times New Roman" w:hAnsi="Times New Roman" w:cs="Times New Roman"/>
          <w:sz w:val="24"/>
          <w:szCs w:val="24"/>
        </w:rPr>
        <w:t xml:space="preserve"> </w:t>
      </w:r>
      <w:r w:rsidRPr="00D756BD">
        <w:rPr>
          <w:rFonts w:ascii="Times New Roman" w:hAnsi="Times New Roman" w:cs="Times New Roman"/>
          <w:sz w:val="24"/>
          <w:szCs w:val="24"/>
        </w:rPr>
        <w:t xml:space="preserve">(IFs). A Ação </w:t>
      </w:r>
      <w:r>
        <w:rPr>
          <w:rFonts w:ascii="Times New Roman" w:hAnsi="Times New Roman" w:cs="Times New Roman"/>
          <w:sz w:val="24"/>
          <w:szCs w:val="24"/>
        </w:rPr>
        <w:t xml:space="preserve">de </w:t>
      </w:r>
      <w:r w:rsidRPr="00D756BD">
        <w:rPr>
          <w:rFonts w:ascii="Times New Roman" w:hAnsi="Times New Roman" w:cs="Times New Roman"/>
          <w:sz w:val="24"/>
          <w:szCs w:val="24"/>
        </w:rPr>
        <w:t xml:space="preserve">Expansão da Rede Federal </w:t>
      </w:r>
      <w:r>
        <w:rPr>
          <w:rFonts w:ascii="Times New Roman" w:hAnsi="Times New Roman" w:cs="Times New Roman"/>
          <w:sz w:val="24"/>
          <w:szCs w:val="24"/>
        </w:rPr>
        <w:t xml:space="preserve">e </w:t>
      </w:r>
      <w:r w:rsidRPr="00D756BD">
        <w:rPr>
          <w:rFonts w:ascii="Times New Roman" w:hAnsi="Times New Roman" w:cs="Times New Roman"/>
          <w:sz w:val="24"/>
          <w:szCs w:val="24"/>
        </w:rPr>
        <w:t xml:space="preserve">do Programa de Desenvolvimento da Educação Profissional e Tecnológica teve como objetivo a ampliação da oferta de vagas da EPT, visando a formação de cidadãos críticos e profissionais competentes, com autonomia ética, política, intelectual e tecnológica. A execução da </w:t>
      </w:r>
      <w:r>
        <w:rPr>
          <w:rFonts w:ascii="Times New Roman" w:hAnsi="Times New Roman" w:cs="Times New Roman"/>
          <w:sz w:val="24"/>
          <w:szCs w:val="24"/>
        </w:rPr>
        <w:t>A</w:t>
      </w:r>
      <w:r w:rsidRPr="00D756BD">
        <w:rPr>
          <w:rFonts w:ascii="Times New Roman" w:hAnsi="Times New Roman" w:cs="Times New Roman"/>
          <w:sz w:val="24"/>
          <w:szCs w:val="24"/>
        </w:rPr>
        <w:t>ção se deu pela implantação de novas unidades de ensino (CGU, 2013).</w:t>
      </w:r>
    </w:p>
    <w:p w14:paraId="26D5E49D" w14:textId="77777777" w:rsidR="00921791" w:rsidRPr="00D756BD" w:rsidRDefault="00921791" w:rsidP="0061005C">
      <w:pPr>
        <w:widowControl w:val="0"/>
        <w:spacing w:after="0" w:line="360" w:lineRule="auto"/>
        <w:ind w:firstLine="709"/>
        <w:jc w:val="both"/>
        <w:rPr>
          <w:rFonts w:ascii="Times New Roman" w:eastAsia="Times New Roman" w:hAnsi="Times New Roman" w:cs="Times New Roman"/>
          <w:sz w:val="24"/>
          <w:szCs w:val="24"/>
        </w:rPr>
      </w:pPr>
      <w:r w:rsidRPr="00D756BD">
        <w:rPr>
          <w:rFonts w:ascii="Times New Roman" w:eastAsia="Times New Roman" w:hAnsi="Times New Roman" w:cs="Times New Roman"/>
          <w:sz w:val="24"/>
          <w:szCs w:val="24"/>
        </w:rPr>
        <w:t xml:space="preserve">O </w:t>
      </w:r>
      <w:r w:rsidRPr="00D756BD">
        <w:rPr>
          <w:rFonts w:ascii="Times New Roman" w:hAnsi="Times New Roman" w:cs="Times New Roman"/>
          <w:sz w:val="24"/>
          <w:szCs w:val="24"/>
        </w:rPr>
        <w:t xml:space="preserve">Plano de Expansão </w:t>
      </w:r>
      <w:r>
        <w:rPr>
          <w:rFonts w:ascii="Times New Roman" w:hAnsi="Times New Roman" w:cs="Times New Roman"/>
          <w:sz w:val="24"/>
          <w:szCs w:val="24"/>
        </w:rPr>
        <w:t xml:space="preserve">da Rede </w:t>
      </w:r>
      <w:r w:rsidRPr="00D756BD">
        <w:rPr>
          <w:rFonts w:ascii="Times New Roman" w:eastAsia="Times New Roman" w:hAnsi="Times New Roman" w:cs="Times New Roman"/>
          <w:sz w:val="24"/>
          <w:szCs w:val="24"/>
        </w:rPr>
        <w:t xml:space="preserve">foi </w:t>
      </w:r>
      <w:r>
        <w:rPr>
          <w:rFonts w:ascii="Times New Roman" w:eastAsia="Times New Roman" w:hAnsi="Times New Roman" w:cs="Times New Roman"/>
          <w:sz w:val="24"/>
          <w:szCs w:val="24"/>
        </w:rPr>
        <w:t>implementado</w:t>
      </w:r>
      <w:r w:rsidRPr="00D756BD">
        <w:rPr>
          <w:rFonts w:ascii="Times New Roman" w:eastAsia="Times New Roman" w:hAnsi="Times New Roman" w:cs="Times New Roman"/>
          <w:sz w:val="24"/>
          <w:szCs w:val="24"/>
        </w:rPr>
        <w:t xml:space="preserve"> em três fases: Fase I</w:t>
      </w:r>
      <w:r>
        <w:rPr>
          <w:rFonts w:ascii="Times New Roman" w:eastAsia="Times New Roman" w:hAnsi="Times New Roman" w:cs="Times New Roman"/>
          <w:sz w:val="24"/>
          <w:szCs w:val="24"/>
        </w:rPr>
        <w:t>, do final de</w:t>
      </w:r>
      <w:r w:rsidRPr="00D756BD">
        <w:rPr>
          <w:rFonts w:ascii="Times New Roman" w:eastAsia="Times New Roman" w:hAnsi="Times New Roman" w:cs="Times New Roman"/>
          <w:sz w:val="24"/>
          <w:szCs w:val="24"/>
        </w:rPr>
        <w:t xml:space="preserve"> 2005 </w:t>
      </w:r>
      <w:r>
        <w:rPr>
          <w:rFonts w:ascii="Times New Roman" w:eastAsia="Times New Roman" w:hAnsi="Times New Roman" w:cs="Times New Roman"/>
          <w:sz w:val="24"/>
          <w:szCs w:val="24"/>
        </w:rPr>
        <w:t>a</w:t>
      </w:r>
      <w:r w:rsidRPr="00D756BD">
        <w:rPr>
          <w:rFonts w:ascii="Times New Roman" w:eastAsia="Times New Roman" w:hAnsi="Times New Roman" w:cs="Times New Roman"/>
          <w:sz w:val="24"/>
          <w:szCs w:val="24"/>
        </w:rPr>
        <w:t xml:space="preserve"> 2006</w:t>
      </w:r>
      <w:r>
        <w:rPr>
          <w:rFonts w:ascii="Times New Roman" w:eastAsia="Times New Roman" w:hAnsi="Times New Roman" w:cs="Times New Roman"/>
          <w:sz w:val="24"/>
          <w:szCs w:val="24"/>
        </w:rPr>
        <w:t>;</w:t>
      </w:r>
      <w:r w:rsidRPr="00D756BD">
        <w:rPr>
          <w:rFonts w:ascii="Times New Roman" w:eastAsia="Times New Roman" w:hAnsi="Times New Roman" w:cs="Times New Roman"/>
          <w:sz w:val="24"/>
          <w:szCs w:val="24"/>
        </w:rPr>
        <w:t xml:space="preserve"> Fase II</w:t>
      </w:r>
      <w:r>
        <w:rPr>
          <w:rFonts w:ascii="Times New Roman" w:eastAsia="Times New Roman" w:hAnsi="Times New Roman" w:cs="Times New Roman"/>
          <w:sz w:val="24"/>
          <w:szCs w:val="24"/>
        </w:rPr>
        <w:t xml:space="preserve">, de </w:t>
      </w:r>
      <w:r w:rsidRPr="00D756BD">
        <w:rPr>
          <w:rFonts w:ascii="Times New Roman" w:eastAsia="Times New Roman" w:hAnsi="Times New Roman" w:cs="Times New Roman"/>
          <w:sz w:val="24"/>
          <w:szCs w:val="24"/>
        </w:rPr>
        <w:t>2007 a 2010</w:t>
      </w:r>
      <w:r>
        <w:rPr>
          <w:rFonts w:ascii="Times New Roman" w:eastAsia="Times New Roman" w:hAnsi="Times New Roman" w:cs="Times New Roman"/>
          <w:sz w:val="24"/>
          <w:szCs w:val="24"/>
        </w:rPr>
        <w:t>;</w:t>
      </w:r>
      <w:r w:rsidRPr="00D756BD">
        <w:rPr>
          <w:rFonts w:ascii="Times New Roman" w:eastAsia="Times New Roman" w:hAnsi="Times New Roman" w:cs="Times New Roman"/>
          <w:sz w:val="24"/>
          <w:szCs w:val="24"/>
        </w:rPr>
        <w:t xml:space="preserve"> e Fase III </w:t>
      </w:r>
      <w:r>
        <w:rPr>
          <w:rFonts w:ascii="Times New Roman" w:eastAsia="Times New Roman" w:hAnsi="Times New Roman" w:cs="Times New Roman"/>
          <w:sz w:val="24"/>
          <w:szCs w:val="24"/>
        </w:rPr>
        <w:t>de</w:t>
      </w:r>
      <w:r w:rsidRPr="00D756BD">
        <w:rPr>
          <w:rFonts w:ascii="Times New Roman" w:eastAsia="Times New Roman" w:hAnsi="Times New Roman" w:cs="Times New Roman"/>
          <w:sz w:val="24"/>
          <w:szCs w:val="24"/>
        </w:rPr>
        <w:t xml:space="preserve"> 2011 a 2014. O Ministério da Educação</w:t>
      </w:r>
      <w:r>
        <w:rPr>
          <w:rFonts w:ascii="Times New Roman" w:eastAsia="Times New Roman" w:hAnsi="Times New Roman" w:cs="Times New Roman"/>
          <w:sz w:val="24"/>
          <w:szCs w:val="24"/>
        </w:rPr>
        <w:t xml:space="preserve"> (MEC)</w:t>
      </w:r>
      <w:r w:rsidRPr="00D756BD">
        <w:rPr>
          <w:rFonts w:ascii="Times New Roman" w:eastAsia="Times New Roman" w:hAnsi="Times New Roman" w:cs="Times New Roman"/>
          <w:sz w:val="24"/>
          <w:szCs w:val="24"/>
        </w:rPr>
        <w:t>, por meio da Secretaria de Educação Profissional e Tecnológica (SETEC/MEC)</w:t>
      </w:r>
      <w:r w:rsidRPr="00D756BD">
        <w:rPr>
          <w:rFonts w:ascii="Times New Roman" w:hAnsi="Times New Roman" w:cs="Times New Roman"/>
          <w:sz w:val="24"/>
          <w:szCs w:val="24"/>
        </w:rPr>
        <w:t xml:space="preserve">, estabeleceu diretrizes para </w:t>
      </w:r>
      <w:r>
        <w:rPr>
          <w:rFonts w:ascii="Times New Roman" w:hAnsi="Times New Roman" w:cs="Times New Roman"/>
          <w:sz w:val="24"/>
          <w:szCs w:val="24"/>
        </w:rPr>
        <w:t xml:space="preserve">instalação </w:t>
      </w:r>
      <w:r w:rsidRPr="00D756BD">
        <w:rPr>
          <w:rFonts w:ascii="Times New Roman" w:hAnsi="Times New Roman" w:cs="Times New Roman"/>
          <w:sz w:val="24"/>
          <w:szCs w:val="24"/>
        </w:rPr>
        <w:t>das novas unidades, visando melhorar a distribuição espacial</w:t>
      </w:r>
      <w:r w:rsidRPr="00D756BD">
        <w:rPr>
          <w:rFonts w:ascii="Times New Roman" w:eastAsia="Times New Roman" w:hAnsi="Times New Roman" w:cs="Times New Roman"/>
          <w:sz w:val="24"/>
          <w:szCs w:val="24"/>
        </w:rPr>
        <w:t xml:space="preserve"> e </w:t>
      </w:r>
      <w:r>
        <w:rPr>
          <w:rFonts w:ascii="Times New Roman" w:eastAsia="Times New Roman" w:hAnsi="Times New Roman" w:cs="Times New Roman"/>
          <w:sz w:val="24"/>
          <w:szCs w:val="24"/>
        </w:rPr>
        <w:t xml:space="preserve">ampliar a </w:t>
      </w:r>
      <w:r w:rsidRPr="00D756BD">
        <w:rPr>
          <w:rFonts w:ascii="Times New Roman" w:eastAsia="Times New Roman" w:hAnsi="Times New Roman" w:cs="Times New Roman"/>
          <w:sz w:val="24"/>
          <w:szCs w:val="24"/>
        </w:rPr>
        <w:t>cobertura das instituições de ensino no país.</w:t>
      </w:r>
    </w:p>
    <w:p w14:paraId="76B015ED" w14:textId="77777777" w:rsidR="00921791" w:rsidRPr="00D756BD" w:rsidRDefault="00921791" w:rsidP="0061005C">
      <w:pPr>
        <w:widowControl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Em 2008, d</w:t>
      </w:r>
      <w:r w:rsidRPr="00D756BD">
        <w:rPr>
          <w:rFonts w:ascii="Times New Roman" w:hAnsi="Times New Roman" w:cs="Times New Roman"/>
          <w:sz w:val="24"/>
          <w:szCs w:val="24"/>
        </w:rPr>
        <w:t>urante a Fase</w:t>
      </w:r>
      <w:r>
        <w:rPr>
          <w:rFonts w:ascii="Times New Roman" w:hAnsi="Times New Roman" w:cs="Times New Roman"/>
          <w:sz w:val="24"/>
          <w:szCs w:val="24"/>
        </w:rPr>
        <w:t xml:space="preserve"> II</w:t>
      </w:r>
      <w:r w:rsidRPr="00D756BD">
        <w:rPr>
          <w:rFonts w:ascii="Times New Roman" w:hAnsi="Times New Roman" w:cs="Times New Roman"/>
          <w:sz w:val="24"/>
          <w:szCs w:val="24"/>
        </w:rPr>
        <w:t xml:space="preserve">, foi realizada uma reestruturação da Rede Federal de Educação Profissional, Científica e Tecnológica (RFEPCT) e </w:t>
      </w:r>
      <w:r>
        <w:rPr>
          <w:rFonts w:ascii="Times New Roman" w:hAnsi="Times New Roman" w:cs="Times New Roman"/>
          <w:sz w:val="24"/>
          <w:szCs w:val="24"/>
        </w:rPr>
        <w:t>houve a criação d</w:t>
      </w:r>
      <w:r w:rsidRPr="00D756BD">
        <w:rPr>
          <w:rFonts w:ascii="Times New Roman" w:hAnsi="Times New Roman" w:cs="Times New Roman"/>
          <w:sz w:val="24"/>
          <w:szCs w:val="24"/>
        </w:rPr>
        <w:t>os IFs. A RFEPCT é composta por 38 IFs, pela Universidade Tecnológica Federal do Paraná (UTFPR), por 2 Centros Federais de Educação Tecnológica (CEFETs), 22 Escolas Técnicas vinculadas às universidades federais e pelo Colégio Pedro II (BRASIL, 2020).</w:t>
      </w:r>
    </w:p>
    <w:p w14:paraId="5C461C75" w14:textId="77777777" w:rsidR="00921791" w:rsidRPr="00D756BD" w:rsidRDefault="00921791" w:rsidP="0061005C">
      <w:pPr>
        <w:widowControl w:val="0"/>
        <w:tabs>
          <w:tab w:val="left" w:pos="-170"/>
          <w:tab w:val="left" w:pos="561"/>
          <w:tab w:val="left" w:pos="8547"/>
        </w:tabs>
        <w:spacing w:after="0" w:line="360" w:lineRule="auto"/>
        <w:ind w:firstLine="709"/>
        <w:jc w:val="both"/>
        <w:rPr>
          <w:rFonts w:ascii="Times New Roman" w:eastAsia="Times New Roman" w:hAnsi="Times New Roman" w:cs="Times New Roman"/>
          <w:sz w:val="24"/>
          <w:szCs w:val="24"/>
        </w:rPr>
      </w:pPr>
      <w:r w:rsidRPr="00D756BD">
        <w:rPr>
          <w:rFonts w:ascii="Times New Roman" w:eastAsia="Times New Roman" w:hAnsi="Times New Roman" w:cs="Times New Roman"/>
          <w:sz w:val="24"/>
          <w:szCs w:val="24"/>
        </w:rPr>
        <w:t xml:space="preserve">Os IFs, dotados de “nova institucionalidade”, são organizações de educação superior, básica e profissional, pluricurriculares e multicampi, especializados na oferta de EPT. São equiparados às universidades federais para fins de regulação, avaliação e supervisão dos cursos superiores. </w:t>
      </w:r>
      <w:r>
        <w:rPr>
          <w:rFonts w:ascii="Times New Roman" w:eastAsia="Times New Roman" w:hAnsi="Times New Roman" w:cs="Times New Roman"/>
          <w:sz w:val="24"/>
          <w:szCs w:val="24"/>
        </w:rPr>
        <w:t>De</w:t>
      </w:r>
      <w:r w:rsidRPr="00D756BD">
        <w:rPr>
          <w:rFonts w:ascii="Times New Roman" w:eastAsia="Times New Roman" w:hAnsi="Times New Roman" w:cs="Times New Roman"/>
          <w:sz w:val="24"/>
          <w:szCs w:val="24"/>
        </w:rPr>
        <w:t xml:space="preserve">ntre </w:t>
      </w:r>
      <w:r>
        <w:rPr>
          <w:rFonts w:ascii="Times New Roman" w:eastAsia="Times New Roman" w:hAnsi="Times New Roman" w:cs="Times New Roman"/>
          <w:sz w:val="24"/>
          <w:szCs w:val="24"/>
        </w:rPr>
        <w:t>su</w:t>
      </w:r>
      <w:r w:rsidRPr="00D756BD">
        <w:rPr>
          <w:rFonts w:ascii="Times New Roman" w:eastAsia="Times New Roman" w:hAnsi="Times New Roman" w:cs="Times New Roman"/>
          <w:sz w:val="24"/>
          <w:szCs w:val="24"/>
        </w:rPr>
        <w:t xml:space="preserve">as características e finalidades estão a oferta de educação com ênfase no desenvolvimento socioeconômico local, regional e nacional e a busca da consolidação e fortalecimento dos arranjos produtivos, sociais e culturais locais, identificados no </w:t>
      </w:r>
      <w:r>
        <w:rPr>
          <w:rFonts w:ascii="Times New Roman" w:eastAsia="Times New Roman" w:hAnsi="Times New Roman" w:cs="Times New Roman"/>
          <w:sz w:val="24"/>
          <w:szCs w:val="24"/>
        </w:rPr>
        <w:t>seu território de</w:t>
      </w:r>
      <w:r w:rsidRPr="00D756BD">
        <w:rPr>
          <w:rFonts w:ascii="Times New Roman" w:eastAsia="Times New Roman" w:hAnsi="Times New Roman" w:cs="Times New Roman"/>
          <w:sz w:val="24"/>
          <w:szCs w:val="24"/>
        </w:rPr>
        <w:t xml:space="preserve"> atuação (BRASIL, 2008a).</w:t>
      </w:r>
    </w:p>
    <w:p w14:paraId="08BE9BFC" w14:textId="77777777" w:rsidR="00921791" w:rsidRPr="00D756BD" w:rsidRDefault="00921791" w:rsidP="0061005C">
      <w:pPr>
        <w:widowControl w:val="0"/>
        <w:tabs>
          <w:tab w:val="left" w:pos="-170"/>
          <w:tab w:val="left" w:pos="561"/>
          <w:tab w:val="left" w:pos="8547"/>
        </w:tabs>
        <w:spacing w:after="0" w:line="360" w:lineRule="auto"/>
        <w:ind w:firstLine="709"/>
        <w:jc w:val="both"/>
        <w:rPr>
          <w:rFonts w:ascii="Times New Roman" w:eastAsia="Times New Roman" w:hAnsi="Times New Roman" w:cs="Times New Roman"/>
          <w:sz w:val="24"/>
          <w:szCs w:val="24"/>
        </w:rPr>
      </w:pPr>
      <w:r w:rsidRPr="00D756BD">
        <w:rPr>
          <w:rFonts w:ascii="Times New Roman" w:eastAsia="Times New Roman" w:hAnsi="Times New Roman" w:cs="Times New Roman"/>
          <w:sz w:val="24"/>
          <w:szCs w:val="24"/>
        </w:rPr>
        <w:t>O estado do Paraná possui duas instituições da Rede: a UTFPR e o Instituto Federal do Paraná (IFPR). D</w:t>
      </w:r>
      <w:r>
        <w:rPr>
          <w:rFonts w:ascii="Times New Roman" w:eastAsia="Times New Roman" w:hAnsi="Times New Roman" w:cs="Times New Roman"/>
          <w:sz w:val="24"/>
          <w:szCs w:val="24"/>
        </w:rPr>
        <w:t xml:space="preserve">adas </w:t>
      </w:r>
      <w:r w:rsidRPr="00D756BD">
        <w:rPr>
          <w:rFonts w:ascii="Times New Roman" w:eastAsia="Times New Roman" w:hAnsi="Times New Roman" w:cs="Times New Roman"/>
          <w:sz w:val="24"/>
          <w:szCs w:val="24"/>
        </w:rPr>
        <w:t xml:space="preserve">essas considerações preliminares, </w:t>
      </w:r>
      <w:r>
        <w:rPr>
          <w:rFonts w:ascii="Times New Roman" w:eastAsia="Times New Roman" w:hAnsi="Times New Roman" w:cs="Times New Roman"/>
          <w:sz w:val="24"/>
          <w:szCs w:val="24"/>
        </w:rPr>
        <w:t>o texto d</w:t>
      </w:r>
      <w:r w:rsidRPr="00D756BD">
        <w:rPr>
          <w:rFonts w:ascii="Times New Roman" w:eastAsia="Times New Roman" w:hAnsi="Times New Roman" w:cs="Times New Roman"/>
          <w:sz w:val="24"/>
          <w:szCs w:val="24"/>
        </w:rPr>
        <w:t xml:space="preserve">esse trabalho </w:t>
      </w:r>
      <w:r>
        <w:rPr>
          <w:rFonts w:ascii="Times New Roman" w:eastAsia="Times New Roman" w:hAnsi="Times New Roman" w:cs="Times New Roman"/>
          <w:sz w:val="24"/>
          <w:szCs w:val="24"/>
        </w:rPr>
        <w:t xml:space="preserve">explicita os resultados de uma pesquisa documental cujo objetivo foi o de </w:t>
      </w:r>
      <w:r w:rsidRPr="00D756BD">
        <w:rPr>
          <w:rFonts w:ascii="Times New Roman" w:eastAsia="Times New Roman" w:hAnsi="Times New Roman" w:cs="Times New Roman"/>
          <w:sz w:val="24"/>
          <w:szCs w:val="24"/>
        </w:rPr>
        <w:t>identificar os critérios adotados para expansão da Rede Federal de Educação Profissional</w:t>
      </w:r>
      <w:r>
        <w:rPr>
          <w:rFonts w:ascii="Times New Roman" w:eastAsia="Times New Roman" w:hAnsi="Times New Roman" w:cs="Times New Roman"/>
          <w:sz w:val="24"/>
          <w:szCs w:val="24"/>
        </w:rPr>
        <w:t xml:space="preserve">; bem como </w:t>
      </w:r>
      <w:r w:rsidRPr="00D756BD">
        <w:rPr>
          <w:rFonts w:ascii="Times New Roman" w:eastAsia="Times New Roman" w:hAnsi="Times New Roman" w:cs="Times New Roman"/>
          <w:sz w:val="24"/>
          <w:szCs w:val="24"/>
        </w:rPr>
        <w:t>analisar como ocorreu essa expansão no Paraná</w:t>
      </w:r>
      <w:r>
        <w:rPr>
          <w:rFonts w:ascii="Times New Roman" w:eastAsia="Times New Roman" w:hAnsi="Times New Roman" w:cs="Times New Roman"/>
          <w:sz w:val="24"/>
          <w:szCs w:val="24"/>
        </w:rPr>
        <w:t xml:space="preserve"> e apresentar informações sobre a oferta de EPT pelo</w:t>
      </w:r>
      <w:r w:rsidRPr="00D756BD">
        <w:rPr>
          <w:rFonts w:ascii="Times New Roman" w:eastAsia="Times New Roman" w:hAnsi="Times New Roman" w:cs="Times New Roman"/>
          <w:sz w:val="24"/>
          <w:szCs w:val="24"/>
        </w:rPr>
        <w:t xml:space="preserve"> IFPR. A metodologia </w:t>
      </w:r>
      <w:r>
        <w:rPr>
          <w:rFonts w:ascii="Times New Roman" w:eastAsia="Times New Roman" w:hAnsi="Times New Roman" w:cs="Times New Roman"/>
          <w:sz w:val="24"/>
          <w:szCs w:val="24"/>
        </w:rPr>
        <w:t xml:space="preserve">referenciou-se na </w:t>
      </w:r>
      <w:r w:rsidRPr="00D756BD">
        <w:rPr>
          <w:rFonts w:ascii="Times New Roman" w:eastAsia="Times New Roman" w:hAnsi="Times New Roman" w:cs="Times New Roman"/>
          <w:sz w:val="24"/>
          <w:szCs w:val="24"/>
        </w:rPr>
        <w:t xml:space="preserve">abordagem qualitativa, utilizando-se </w:t>
      </w:r>
      <w:r>
        <w:rPr>
          <w:rFonts w:ascii="Times New Roman" w:eastAsia="Times New Roman" w:hAnsi="Times New Roman" w:cs="Times New Roman"/>
          <w:sz w:val="24"/>
          <w:szCs w:val="24"/>
        </w:rPr>
        <w:t xml:space="preserve">fontes </w:t>
      </w:r>
      <w:r w:rsidRPr="00D756BD">
        <w:rPr>
          <w:rFonts w:ascii="Times New Roman" w:eastAsia="Times New Roman" w:hAnsi="Times New Roman" w:cs="Times New Roman"/>
          <w:sz w:val="24"/>
          <w:szCs w:val="24"/>
        </w:rPr>
        <w:t>bibliográfic</w:t>
      </w:r>
      <w:r>
        <w:rPr>
          <w:rFonts w:ascii="Times New Roman" w:eastAsia="Times New Roman" w:hAnsi="Times New Roman" w:cs="Times New Roman"/>
          <w:sz w:val="24"/>
          <w:szCs w:val="24"/>
        </w:rPr>
        <w:t>a</w:t>
      </w:r>
      <w:r w:rsidRPr="00D756BD">
        <w:rPr>
          <w:rFonts w:ascii="Times New Roman" w:eastAsia="Times New Roman" w:hAnsi="Times New Roman" w:cs="Times New Roman"/>
          <w:sz w:val="24"/>
          <w:szCs w:val="24"/>
        </w:rPr>
        <w:t>s e documentais.</w:t>
      </w:r>
    </w:p>
    <w:p w14:paraId="1372C01B" w14:textId="60A77233" w:rsidR="00921791" w:rsidRDefault="00921791" w:rsidP="0061005C">
      <w:pPr>
        <w:widowControl w:val="0"/>
        <w:tabs>
          <w:tab w:val="left" w:pos="-170"/>
          <w:tab w:val="left" w:pos="561"/>
          <w:tab w:val="left" w:pos="8547"/>
        </w:tabs>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a visibilidade dos resultados obtidos, o </w:t>
      </w:r>
      <w:r w:rsidRPr="00D756BD">
        <w:rPr>
          <w:rFonts w:ascii="Times New Roman" w:eastAsia="Times New Roman" w:hAnsi="Times New Roman" w:cs="Times New Roman"/>
          <w:sz w:val="24"/>
          <w:szCs w:val="24"/>
        </w:rPr>
        <w:t xml:space="preserve">texto está dividido em quatro seções, além desta introdução. Na primeira, intitulada “Histórico da Educação Profissional Tecnológica (EPT) Brasileira”, é realizada uma exposição dos fatos que marcaram a evolução da EPT no Brasil. Chamada “Plano de Expansão da Rede Federal de Educação Profissional e Tecnológica”, a segunda seção busca identificar as </w:t>
      </w:r>
      <w:r>
        <w:rPr>
          <w:rFonts w:ascii="Times New Roman" w:eastAsia="Times New Roman" w:hAnsi="Times New Roman" w:cs="Times New Roman"/>
          <w:sz w:val="24"/>
          <w:szCs w:val="24"/>
        </w:rPr>
        <w:t xml:space="preserve">orientações </w:t>
      </w:r>
      <w:r w:rsidRPr="00D756BD">
        <w:rPr>
          <w:rFonts w:ascii="Times New Roman" w:eastAsia="Times New Roman" w:hAnsi="Times New Roman" w:cs="Times New Roman"/>
          <w:sz w:val="24"/>
          <w:szCs w:val="24"/>
        </w:rPr>
        <w:t>estabelecidas</w:t>
      </w:r>
      <w:r>
        <w:rPr>
          <w:rFonts w:ascii="Times New Roman" w:eastAsia="Times New Roman" w:hAnsi="Times New Roman" w:cs="Times New Roman"/>
          <w:sz w:val="24"/>
          <w:szCs w:val="24"/>
        </w:rPr>
        <w:t xml:space="preserve"> pela</w:t>
      </w:r>
      <w:r w:rsidRPr="00D756BD">
        <w:rPr>
          <w:rFonts w:ascii="Times New Roman" w:eastAsia="Times New Roman" w:hAnsi="Times New Roman" w:cs="Times New Roman"/>
          <w:sz w:val="24"/>
          <w:szCs w:val="24"/>
        </w:rPr>
        <w:t xml:space="preserve"> SETEC/MEC para implantação das unidades </w:t>
      </w:r>
      <w:r>
        <w:rPr>
          <w:rFonts w:ascii="Times New Roman" w:eastAsia="Times New Roman" w:hAnsi="Times New Roman" w:cs="Times New Roman"/>
          <w:sz w:val="24"/>
          <w:szCs w:val="24"/>
        </w:rPr>
        <w:t>federais</w:t>
      </w:r>
      <w:r w:rsidRPr="00D756B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w:t>
      </w:r>
      <w:r w:rsidRPr="00D756BD">
        <w:rPr>
          <w:rFonts w:ascii="Times New Roman" w:eastAsia="Times New Roman" w:hAnsi="Times New Roman" w:cs="Times New Roman"/>
          <w:sz w:val="24"/>
          <w:szCs w:val="24"/>
        </w:rPr>
        <w:t>“</w:t>
      </w:r>
      <w:r w:rsidR="005D4F9A" w:rsidRPr="005D4F9A">
        <w:rPr>
          <w:rFonts w:ascii="Times New Roman" w:eastAsia="Times New Roman" w:hAnsi="Times New Roman" w:cs="Times New Roman"/>
          <w:sz w:val="24"/>
          <w:szCs w:val="24"/>
        </w:rPr>
        <w:t>Expansão da Rede Federal no estado do Paraná e a atuação do IFPR</w:t>
      </w:r>
      <w:r w:rsidRPr="00D756BD">
        <w:rPr>
          <w:rFonts w:ascii="Times New Roman" w:eastAsia="Times New Roman" w:hAnsi="Times New Roman" w:cs="Times New Roman"/>
          <w:sz w:val="24"/>
          <w:szCs w:val="24"/>
        </w:rPr>
        <w:t xml:space="preserve">” constitui a terceira seção do artigo, em que são analisadas a distribuição das unidades no Estado e apresentados dados sobre o IFPR. Por fim, são realizadas algumas “Considerações Finais” sobre essa expansão da oferta de EPT no Brasil e no </w:t>
      </w:r>
      <w:r>
        <w:rPr>
          <w:rFonts w:ascii="Times New Roman" w:eastAsia="Times New Roman" w:hAnsi="Times New Roman" w:cs="Times New Roman"/>
          <w:sz w:val="24"/>
          <w:szCs w:val="24"/>
        </w:rPr>
        <w:t>estado</w:t>
      </w:r>
      <w:r w:rsidRPr="00D756BD">
        <w:rPr>
          <w:rFonts w:ascii="Times New Roman" w:eastAsia="Times New Roman" w:hAnsi="Times New Roman" w:cs="Times New Roman"/>
          <w:sz w:val="24"/>
          <w:szCs w:val="24"/>
        </w:rPr>
        <w:t xml:space="preserve"> paranaense.</w:t>
      </w:r>
    </w:p>
    <w:p w14:paraId="78B366FD" w14:textId="77777777" w:rsidR="00975DE6" w:rsidRPr="00D756BD" w:rsidRDefault="00975DE6" w:rsidP="00921791">
      <w:pPr>
        <w:widowControl w:val="0"/>
        <w:tabs>
          <w:tab w:val="left" w:pos="-170"/>
          <w:tab w:val="left" w:pos="561"/>
          <w:tab w:val="left" w:pos="8547"/>
        </w:tabs>
        <w:spacing w:after="0" w:line="360" w:lineRule="auto"/>
        <w:ind w:firstLine="851"/>
        <w:jc w:val="both"/>
        <w:rPr>
          <w:rFonts w:ascii="Times New Roman" w:eastAsia="Times New Roman" w:hAnsi="Times New Roman" w:cs="Times New Roman"/>
          <w:sz w:val="24"/>
          <w:szCs w:val="24"/>
        </w:rPr>
      </w:pPr>
    </w:p>
    <w:p w14:paraId="686A45C7" w14:textId="6C5C2464" w:rsidR="00921791" w:rsidRPr="000625AD" w:rsidRDefault="00975DE6" w:rsidP="0061005C">
      <w:pPr>
        <w:pStyle w:val="TTULO3ABNT"/>
        <w:rPr>
          <w:b/>
          <w:bCs/>
        </w:rPr>
      </w:pPr>
      <w:r>
        <w:rPr>
          <w:b/>
          <w:bCs/>
        </w:rPr>
        <w:lastRenderedPageBreak/>
        <w:t xml:space="preserve">2 </w:t>
      </w:r>
      <w:r w:rsidRPr="00D756BD">
        <w:rPr>
          <w:b/>
          <w:bCs/>
        </w:rPr>
        <w:t>HISTÓRICO DA EDUCAÇÃO PROFISSIONAL TECNOLÓGICA (EPT) BRASILEIRA</w:t>
      </w:r>
    </w:p>
    <w:p w14:paraId="5003E1EC" w14:textId="77777777" w:rsidR="00921791" w:rsidRPr="00D756BD" w:rsidRDefault="00921791"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D756BD">
        <w:rPr>
          <w:rFonts w:ascii="Times New Roman" w:eastAsia="Times New Roman" w:hAnsi="Times New Roman" w:cs="Times New Roman"/>
          <w:sz w:val="24"/>
          <w:szCs w:val="24"/>
        </w:rPr>
        <w:t>O marco inicial da EPT como política pública no Brasil é representado pelo Decreto nº 7.566, assinado em 23 de setembro de 1909 pelo presidente Nilo Peçanha, o qual criou dezenove Escolas de Aprendizes Artífices (EAA), destinadas ao ensino profissional, primário e gratuito (BRASIL, 2018). Segundo Cunha (2000), essa Rede de escolas não inovou muito em termos ideológicos e pedagógicos, mas trouxe uma novidade em relação à estrutura do ensino, por constituir-se no primeiro sistema educacional de abrangência nacional.</w:t>
      </w:r>
    </w:p>
    <w:p w14:paraId="3FFEF386" w14:textId="77777777" w:rsidR="00921791" w:rsidRPr="00D756BD" w:rsidRDefault="00921791"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D756BD">
        <w:rPr>
          <w:rFonts w:ascii="Times New Roman" w:eastAsia="Times New Roman" w:hAnsi="Times New Roman" w:cs="Times New Roman"/>
          <w:sz w:val="24"/>
          <w:szCs w:val="24"/>
        </w:rPr>
        <w:t xml:space="preserve">As </w:t>
      </w:r>
      <w:r>
        <w:rPr>
          <w:rFonts w:ascii="Times New Roman" w:eastAsia="Times New Roman" w:hAnsi="Times New Roman" w:cs="Times New Roman"/>
          <w:sz w:val="24"/>
          <w:szCs w:val="24"/>
        </w:rPr>
        <w:t>EAA</w:t>
      </w:r>
      <w:r w:rsidRPr="00D756BD">
        <w:rPr>
          <w:rFonts w:ascii="Times New Roman" w:eastAsia="Times New Roman" w:hAnsi="Times New Roman" w:cs="Times New Roman"/>
          <w:sz w:val="24"/>
          <w:szCs w:val="24"/>
        </w:rPr>
        <w:t xml:space="preserve"> foram instituídas nas capitais dos estados, obedecendo mais a um critério político do que econômico, pois poucas capitais contavam com um parque industrial desenvolvido. Foram, portanto, um mecanismo de presença e barganha do </w:t>
      </w:r>
      <w:r>
        <w:rPr>
          <w:rFonts w:ascii="Times New Roman" w:eastAsia="Times New Roman" w:hAnsi="Times New Roman" w:cs="Times New Roman"/>
          <w:sz w:val="24"/>
          <w:szCs w:val="24"/>
        </w:rPr>
        <w:t>g</w:t>
      </w:r>
      <w:r w:rsidRPr="00D756BD">
        <w:rPr>
          <w:rFonts w:ascii="Times New Roman" w:eastAsia="Times New Roman" w:hAnsi="Times New Roman" w:cs="Times New Roman"/>
          <w:sz w:val="24"/>
          <w:szCs w:val="24"/>
        </w:rPr>
        <w:t xml:space="preserve">overno </w:t>
      </w:r>
      <w:r>
        <w:rPr>
          <w:rFonts w:ascii="Times New Roman" w:eastAsia="Times New Roman" w:hAnsi="Times New Roman" w:cs="Times New Roman"/>
          <w:sz w:val="24"/>
          <w:szCs w:val="24"/>
        </w:rPr>
        <w:t>f</w:t>
      </w:r>
      <w:r w:rsidRPr="00D756BD">
        <w:rPr>
          <w:rFonts w:ascii="Times New Roman" w:eastAsia="Times New Roman" w:hAnsi="Times New Roman" w:cs="Times New Roman"/>
          <w:sz w:val="24"/>
          <w:szCs w:val="24"/>
        </w:rPr>
        <w:t>ederal junto às oligarquias locais (MANFREDI, 2002).</w:t>
      </w:r>
    </w:p>
    <w:p w14:paraId="32D13EE3" w14:textId="77777777" w:rsidR="00921791" w:rsidRPr="00D756BD" w:rsidRDefault="00921791"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D756BD">
        <w:rPr>
          <w:rFonts w:ascii="Times New Roman" w:eastAsia="Times New Roman" w:hAnsi="Times New Roman" w:cs="Times New Roman"/>
          <w:sz w:val="24"/>
          <w:szCs w:val="24"/>
        </w:rPr>
        <w:t xml:space="preserve">O Decreto de criação desses estabelecimentos trazia as razões para a fundação das </w:t>
      </w:r>
      <w:r>
        <w:rPr>
          <w:rFonts w:ascii="Times New Roman" w:eastAsia="Times New Roman" w:hAnsi="Times New Roman" w:cs="Times New Roman"/>
          <w:sz w:val="24"/>
          <w:szCs w:val="24"/>
        </w:rPr>
        <w:t>Escolas</w:t>
      </w:r>
      <w:r w:rsidRPr="00D756BD">
        <w:rPr>
          <w:rFonts w:ascii="Times New Roman" w:eastAsia="Times New Roman" w:hAnsi="Times New Roman" w:cs="Times New Roman"/>
          <w:sz w:val="24"/>
          <w:szCs w:val="24"/>
        </w:rPr>
        <w:t xml:space="preserve">, sendo: o crescimento da população urbana demandava auxílio para as classes proletárias de modo que essas tivessem condição de vencer os crescentes desafios da luta existencial; era necessário habilitar os filhos dos </w:t>
      </w:r>
      <w:r>
        <w:rPr>
          <w:rFonts w:ascii="Times New Roman" w:eastAsia="Times New Roman" w:hAnsi="Times New Roman" w:cs="Times New Roman"/>
          <w:sz w:val="24"/>
          <w:szCs w:val="24"/>
        </w:rPr>
        <w:t xml:space="preserve">trabalhadores </w:t>
      </w:r>
      <w:r w:rsidRPr="00D756BD">
        <w:rPr>
          <w:rFonts w:ascii="Times New Roman" w:eastAsia="Times New Roman" w:hAnsi="Times New Roman" w:cs="Times New Roman"/>
          <w:sz w:val="24"/>
          <w:szCs w:val="24"/>
        </w:rPr>
        <w:t>com preparo técnico e intelectual; era dever do governo formar cidadãos úteis à nação. A formação de mão de obra qualificada para atender às exigências do processo de industrialização estava ausente nas motivações, apesar de ter sido manifestada constantemente, nos anos seguintes, pelo presidente Nilo Peçanha e pela burocracia ministerial (CUNHA, 2000).</w:t>
      </w:r>
    </w:p>
    <w:p w14:paraId="206650D3" w14:textId="77777777" w:rsidR="00921791" w:rsidRPr="00D756BD" w:rsidRDefault="00921791"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D756BD">
        <w:rPr>
          <w:rFonts w:ascii="Times New Roman" w:eastAsia="Times New Roman" w:hAnsi="Times New Roman" w:cs="Times New Roman"/>
          <w:sz w:val="24"/>
          <w:szCs w:val="24"/>
        </w:rPr>
        <w:t>As EAA atingiram o volume máximo de alunos na década de 1920, entrando em decadência nos anos posteriores. Os ofícios ensinados eram os de marcenaria, alfaiataria e sapataria, portanto mais artesanais do que propriamente manufatureiros, mostrando a distância entre os propósitos industrialistas de seus criadores e a realidade diversa de sua vinculação com o trabalho fabril (CUNHA, 2000).</w:t>
      </w:r>
    </w:p>
    <w:p w14:paraId="103777A3" w14:textId="77777777" w:rsidR="00921791" w:rsidRPr="00D756BD" w:rsidRDefault="00921791"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D756BD">
        <w:rPr>
          <w:rFonts w:ascii="Times New Roman" w:eastAsia="Times New Roman" w:hAnsi="Times New Roman" w:cs="Times New Roman"/>
          <w:sz w:val="24"/>
          <w:szCs w:val="24"/>
        </w:rPr>
        <w:t xml:space="preserve">Durante o Estado Novo, período em que foram realizados pesados investimentos públicos na criação de infraestrutura para o desenvolvimento do parque industrial brasileiro, a política educacional legitimou a separação entre trabalho manual e intelectual. Dessa forma, o ensino secundário foi destinado às elites e o ensino médio profissionalizante às classes menos </w:t>
      </w:r>
      <w:r w:rsidRPr="00D756BD">
        <w:rPr>
          <w:rFonts w:ascii="Times New Roman" w:eastAsia="Times New Roman" w:hAnsi="Times New Roman" w:cs="Times New Roman"/>
          <w:sz w:val="24"/>
          <w:szCs w:val="24"/>
        </w:rPr>
        <w:lastRenderedPageBreak/>
        <w:t>favorecidas (MANFREDI, 2002).</w:t>
      </w:r>
    </w:p>
    <w:p w14:paraId="3AF5588B" w14:textId="77777777" w:rsidR="00921791" w:rsidRPr="00D756BD" w:rsidRDefault="00921791"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D756BD">
        <w:rPr>
          <w:rFonts w:ascii="Times New Roman" w:eastAsia="Times New Roman" w:hAnsi="Times New Roman" w:cs="Times New Roman"/>
          <w:sz w:val="24"/>
          <w:szCs w:val="24"/>
        </w:rPr>
        <w:t>Nessa época, a Reforma Capanema</w:t>
      </w:r>
      <w:r>
        <w:rPr>
          <w:rFonts w:ascii="Times New Roman" w:eastAsia="Times New Roman" w:hAnsi="Times New Roman" w:cs="Times New Roman"/>
          <w:sz w:val="24"/>
          <w:szCs w:val="24"/>
        </w:rPr>
        <w:t xml:space="preserve"> (</w:t>
      </w:r>
      <w:r w:rsidRPr="00E258D2">
        <w:rPr>
          <w:rFonts w:ascii="Times New Roman" w:eastAsia="Times New Roman" w:hAnsi="Times New Roman" w:cs="Times New Roman"/>
          <w:sz w:val="24"/>
          <w:szCs w:val="24"/>
        </w:rPr>
        <w:t>reforma do sistema educacional realizada sob o comando do Ministro da Educação e Saúde Gustavo Capanema</w:t>
      </w:r>
      <w:r>
        <w:rPr>
          <w:rFonts w:ascii="Times New Roman" w:eastAsia="Times New Roman" w:hAnsi="Times New Roman" w:cs="Times New Roman"/>
          <w:sz w:val="24"/>
          <w:szCs w:val="24"/>
        </w:rPr>
        <w:t>)</w:t>
      </w:r>
      <w:r w:rsidRPr="00D756BD">
        <w:rPr>
          <w:rFonts w:ascii="Times New Roman" w:eastAsia="Times New Roman" w:hAnsi="Times New Roman" w:cs="Times New Roman"/>
          <w:sz w:val="24"/>
          <w:szCs w:val="24"/>
        </w:rPr>
        <w:t xml:space="preserve"> normatizou o ensino através de </w:t>
      </w:r>
      <w:r>
        <w:rPr>
          <w:rFonts w:ascii="Times New Roman" w:eastAsia="Times New Roman" w:hAnsi="Times New Roman" w:cs="Times New Roman"/>
          <w:sz w:val="24"/>
          <w:szCs w:val="24"/>
        </w:rPr>
        <w:t>l</w:t>
      </w:r>
      <w:r w:rsidRPr="00D756BD">
        <w:rPr>
          <w:rFonts w:ascii="Times New Roman" w:eastAsia="Times New Roman" w:hAnsi="Times New Roman" w:cs="Times New Roman"/>
          <w:sz w:val="24"/>
          <w:szCs w:val="24"/>
        </w:rPr>
        <w:t xml:space="preserve">eis </w:t>
      </w:r>
      <w:r>
        <w:rPr>
          <w:rFonts w:ascii="Times New Roman" w:eastAsia="Times New Roman" w:hAnsi="Times New Roman" w:cs="Times New Roman"/>
          <w:sz w:val="24"/>
          <w:szCs w:val="24"/>
        </w:rPr>
        <w:t>o</w:t>
      </w:r>
      <w:r w:rsidRPr="00D756BD">
        <w:rPr>
          <w:rFonts w:ascii="Times New Roman" w:eastAsia="Times New Roman" w:hAnsi="Times New Roman" w:cs="Times New Roman"/>
          <w:sz w:val="24"/>
          <w:szCs w:val="24"/>
        </w:rPr>
        <w:t xml:space="preserve">rgânicas do </w:t>
      </w:r>
      <w:r>
        <w:rPr>
          <w:rFonts w:ascii="Times New Roman" w:eastAsia="Times New Roman" w:hAnsi="Times New Roman" w:cs="Times New Roman"/>
          <w:sz w:val="24"/>
          <w:szCs w:val="24"/>
        </w:rPr>
        <w:t>e</w:t>
      </w:r>
      <w:r w:rsidRPr="00D756BD">
        <w:rPr>
          <w:rFonts w:ascii="Times New Roman" w:eastAsia="Times New Roman" w:hAnsi="Times New Roman" w:cs="Times New Roman"/>
          <w:sz w:val="24"/>
          <w:szCs w:val="24"/>
        </w:rPr>
        <w:t xml:space="preserve">nsino exaradas por </w:t>
      </w:r>
      <w:r>
        <w:rPr>
          <w:rFonts w:ascii="Times New Roman" w:eastAsia="Times New Roman" w:hAnsi="Times New Roman" w:cs="Times New Roman"/>
          <w:sz w:val="24"/>
          <w:szCs w:val="24"/>
        </w:rPr>
        <w:t>d</w:t>
      </w:r>
      <w:r w:rsidRPr="00D756BD">
        <w:rPr>
          <w:rFonts w:ascii="Times New Roman" w:eastAsia="Times New Roman" w:hAnsi="Times New Roman" w:cs="Times New Roman"/>
          <w:sz w:val="24"/>
          <w:szCs w:val="24"/>
        </w:rPr>
        <w:t>ecretos‐</w:t>
      </w:r>
      <w:r>
        <w:rPr>
          <w:rFonts w:ascii="Times New Roman" w:eastAsia="Times New Roman" w:hAnsi="Times New Roman" w:cs="Times New Roman"/>
          <w:sz w:val="24"/>
          <w:szCs w:val="24"/>
        </w:rPr>
        <w:t>l</w:t>
      </w:r>
      <w:r w:rsidRPr="00D756BD">
        <w:rPr>
          <w:rFonts w:ascii="Times New Roman" w:eastAsia="Times New Roman" w:hAnsi="Times New Roman" w:cs="Times New Roman"/>
          <w:sz w:val="24"/>
          <w:szCs w:val="24"/>
        </w:rPr>
        <w:t>ei, os quais estruturaram o ensino industrial, reformaram o ensino comercial, alteraram o ensino secundário, criaram o Serviço Nacional de Aprendizagem Industrial (SENAI) e o Serviço Nacional de Aprendizagem Comercial (SENAC). Como consequência se teve o fortalecimento da dualidade educacional, pois havia forte restrição para o acesso ao ensino superior, na medida em que egressos da educação profissional somente poderiam ingressar em cursos superiores da mesma carreira. Já os egressos do ensino secundário não tinham restrição alguma (ROMANELLI, 1986).</w:t>
      </w:r>
    </w:p>
    <w:p w14:paraId="7152AC67" w14:textId="77777777" w:rsidR="00921791" w:rsidRPr="00D756BD" w:rsidRDefault="00921791"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D756BD">
        <w:rPr>
          <w:rFonts w:ascii="Times New Roman" w:eastAsia="Times New Roman" w:hAnsi="Times New Roman" w:cs="Times New Roman"/>
          <w:sz w:val="24"/>
          <w:szCs w:val="24"/>
        </w:rPr>
        <w:t>Romanelli (1986) explica que as camadas sociais médias e superiores procuravam o ensino secundário e superior como meio de adquirir</w:t>
      </w:r>
      <w:r w:rsidRPr="00D756BD">
        <w:rPr>
          <w:rFonts w:ascii="Times New Roman" w:eastAsia="Times New Roman" w:hAnsi="Times New Roman" w:cs="Times New Roman"/>
          <w:i/>
          <w:sz w:val="24"/>
          <w:szCs w:val="24"/>
        </w:rPr>
        <w:t xml:space="preserve"> status.</w:t>
      </w:r>
      <w:r w:rsidRPr="00D756BD">
        <w:rPr>
          <w:rFonts w:ascii="Times New Roman" w:eastAsia="Times New Roman" w:hAnsi="Times New Roman" w:cs="Times New Roman"/>
          <w:sz w:val="24"/>
          <w:szCs w:val="24"/>
        </w:rPr>
        <w:t xml:space="preserve"> Por outro lado, as camadas populares procuravam o ensino profissional, preferencialmente os cursos rápidos de aprendizagem, para ingresso no mercado de trabalho, </w:t>
      </w:r>
      <w:r>
        <w:rPr>
          <w:rFonts w:ascii="Times New Roman" w:eastAsia="Times New Roman" w:hAnsi="Times New Roman" w:cs="Times New Roman"/>
          <w:sz w:val="24"/>
          <w:szCs w:val="24"/>
        </w:rPr>
        <w:t>e</w:t>
      </w:r>
      <w:r w:rsidRPr="00D756BD">
        <w:rPr>
          <w:rFonts w:ascii="Times New Roman" w:eastAsia="Times New Roman" w:hAnsi="Times New Roman" w:cs="Times New Roman"/>
          <w:sz w:val="24"/>
          <w:szCs w:val="24"/>
        </w:rPr>
        <w:t xml:space="preserve"> aqueles que já estavam empregados (e fora do sistema escolar oficial) buscavam esses cursos a fim de obter melhor remuneração.</w:t>
      </w:r>
    </w:p>
    <w:p w14:paraId="0BACD871" w14:textId="77777777" w:rsidR="00921791" w:rsidRPr="00D756BD" w:rsidRDefault="00921791"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D756BD">
        <w:rPr>
          <w:rFonts w:ascii="Times New Roman" w:eastAsia="Times New Roman" w:hAnsi="Times New Roman" w:cs="Times New Roman"/>
          <w:sz w:val="24"/>
          <w:szCs w:val="24"/>
        </w:rPr>
        <w:t xml:space="preserve">Segundo a autora, com a criação do SENAI e SENAC o sistema oficial de educação ocupou-se, predominantemente, de cursos de formação de curta duração. Mesmo as </w:t>
      </w:r>
      <w:r>
        <w:rPr>
          <w:rFonts w:ascii="Times New Roman" w:eastAsia="Times New Roman" w:hAnsi="Times New Roman" w:cs="Times New Roman"/>
          <w:sz w:val="24"/>
          <w:szCs w:val="24"/>
        </w:rPr>
        <w:t>l</w:t>
      </w:r>
      <w:r w:rsidRPr="00D756BD">
        <w:rPr>
          <w:rFonts w:ascii="Times New Roman" w:eastAsia="Times New Roman" w:hAnsi="Times New Roman" w:cs="Times New Roman"/>
          <w:sz w:val="24"/>
          <w:szCs w:val="24"/>
        </w:rPr>
        <w:t xml:space="preserve">eis </w:t>
      </w:r>
      <w:r>
        <w:rPr>
          <w:rFonts w:ascii="Times New Roman" w:eastAsia="Times New Roman" w:hAnsi="Times New Roman" w:cs="Times New Roman"/>
          <w:sz w:val="24"/>
          <w:szCs w:val="24"/>
        </w:rPr>
        <w:t>o</w:t>
      </w:r>
      <w:r w:rsidRPr="00D756BD">
        <w:rPr>
          <w:rFonts w:ascii="Times New Roman" w:eastAsia="Times New Roman" w:hAnsi="Times New Roman" w:cs="Times New Roman"/>
          <w:sz w:val="24"/>
          <w:szCs w:val="24"/>
        </w:rPr>
        <w:t xml:space="preserve">rgânicas permitindo a oferta pelo sistema oficial de vários tipos de formação, não havia condições para comandar o treinamento ágil de mão de obra necessária à expansão econômica da época, bem como acompanhar o ritmo do desenvolvimento tecnológico. Por isso, o SENAI e SENAC </w:t>
      </w:r>
      <w:r>
        <w:rPr>
          <w:rFonts w:ascii="Times New Roman" w:eastAsia="Times New Roman" w:hAnsi="Times New Roman" w:cs="Times New Roman"/>
          <w:sz w:val="24"/>
          <w:szCs w:val="24"/>
        </w:rPr>
        <w:t xml:space="preserve">(Sistema S) </w:t>
      </w:r>
      <w:r w:rsidRPr="00D756BD">
        <w:rPr>
          <w:rFonts w:ascii="Times New Roman" w:eastAsia="Times New Roman" w:hAnsi="Times New Roman" w:cs="Times New Roman"/>
          <w:sz w:val="24"/>
          <w:szCs w:val="24"/>
        </w:rPr>
        <w:t>tiveram mais êxito na preparação dos trabalhadores, ocupando-se de cursos de aprendizagem elementar e rápida, além de serem as únicas escolas nas quais os alunos recebiam incentivos financeiros para estudar, o que funcionou como um atrativo para as populações pobres (ROMANELLI, 1986).</w:t>
      </w:r>
    </w:p>
    <w:p w14:paraId="00F8259F" w14:textId="77777777" w:rsidR="00921791" w:rsidRPr="00D756BD" w:rsidRDefault="00921791"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D756BD">
        <w:rPr>
          <w:rFonts w:ascii="Times New Roman" w:eastAsia="Times New Roman" w:hAnsi="Times New Roman" w:cs="Times New Roman"/>
          <w:sz w:val="24"/>
          <w:szCs w:val="24"/>
        </w:rPr>
        <w:t>Entre 1945 e 1964, os governos brasileiros continuaram sendo protagonistas dos planos, projetos e programas que alicerçaram os empresários e o parque industrial. Com a promulgação da Lei de Diretrizes e Bases da Educação Nacional (LDB)</w:t>
      </w:r>
      <w:r>
        <w:rPr>
          <w:rFonts w:ascii="Times New Roman" w:eastAsia="Times New Roman" w:hAnsi="Times New Roman" w:cs="Times New Roman"/>
          <w:sz w:val="24"/>
          <w:szCs w:val="24"/>
        </w:rPr>
        <w:t>,</w:t>
      </w:r>
      <w:r w:rsidRPr="00D756BD">
        <w:rPr>
          <w:rFonts w:ascii="Times New Roman" w:eastAsia="Times New Roman" w:hAnsi="Times New Roman" w:cs="Times New Roman"/>
          <w:sz w:val="24"/>
          <w:szCs w:val="24"/>
        </w:rPr>
        <w:t xml:space="preserve"> em 1961, a dualidade estrutural persistiu, mesmo com maior flexibilidade. As entidades do Sistema S foram mantidas como um sistema paralelo e tiveram grande expansão, principalmente a partir da ascensão dos militares </w:t>
      </w:r>
      <w:r w:rsidRPr="00D756BD">
        <w:rPr>
          <w:rFonts w:ascii="Times New Roman" w:eastAsia="Times New Roman" w:hAnsi="Times New Roman" w:cs="Times New Roman"/>
          <w:sz w:val="24"/>
          <w:szCs w:val="24"/>
        </w:rPr>
        <w:lastRenderedPageBreak/>
        <w:t>ao poder (MANFREDI, 2002). Essa LDB permitiu a equivalência entre a educação geral e o ensino profissionalizante para fins de prosseguimento nos estudos, representando um avanço para a educação brasileira.</w:t>
      </w:r>
    </w:p>
    <w:p w14:paraId="4AC7EB93" w14:textId="77777777" w:rsidR="00921791" w:rsidRPr="00D756BD" w:rsidRDefault="00921791"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D756BD">
        <w:rPr>
          <w:rFonts w:ascii="Times New Roman" w:eastAsia="Times New Roman" w:hAnsi="Times New Roman" w:cs="Times New Roman"/>
          <w:sz w:val="24"/>
          <w:szCs w:val="24"/>
        </w:rPr>
        <w:t>Os governos militares promoveram uma nova Reforma do ensino fundamental e médio através da Lei 5.692/</w:t>
      </w:r>
      <w:r>
        <w:rPr>
          <w:rFonts w:ascii="Times New Roman" w:eastAsia="Times New Roman" w:hAnsi="Times New Roman" w:cs="Times New Roman"/>
          <w:sz w:val="24"/>
          <w:szCs w:val="24"/>
        </w:rPr>
        <w:t>19</w:t>
      </w:r>
      <w:r w:rsidRPr="00D756BD">
        <w:rPr>
          <w:rFonts w:ascii="Times New Roman" w:eastAsia="Times New Roman" w:hAnsi="Times New Roman" w:cs="Times New Roman"/>
          <w:sz w:val="24"/>
          <w:szCs w:val="24"/>
        </w:rPr>
        <w:t>71, a qual instituiu a profissionalização compulsória para o ensino secundário. Segundo Cunha e Góes (2002), o objetivo era de que o ensino secundário profissionalizante tivesse um caráter terminal, promovendo habilitação profissional dos estudantes para ingresso mais cedo no mercado de trabalho, diminuindo também a procura pelo ensino superior. Moura (2007) explica que esses governos tinham um projeto de desenvolvimento para o País baseado no endividamento externo para financiar a industrialização</w:t>
      </w:r>
      <w:r>
        <w:rPr>
          <w:rFonts w:ascii="Times New Roman" w:eastAsia="Times New Roman" w:hAnsi="Times New Roman" w:cs="Times New Roman"/>
          <w:sz w:val="24"/>
          <w:szCs w:val="24"/>
        </w:rPr>
        <w:t xml:space="preserve">, para isso era indispensável o aumento da oferta educacional e acelerar o nível de escolarização dos trabalhadores. O </w:t>
      </w:r>
      <w:r w:rsidRPr="00D756BD">
        <w:rPr>
          <w:rFonts w:ascii="Times New Roman" w:eastAsia="Times New Roman" w:hAnsi="Times New Roman" w:cs="Times New Roman"/>
          <w:sz w:val="24"/>
          <w:szCs w:val="24"/>
        </w:rPr>
        <w:t>período que ficou conhecido como o milagre brasileiro demandou mão de obra qualificada (técnicos de nível médio) para atender a tal crescimento. Então, a estratégia utilizada foi a formação técnica profissionalizante a nível de segundo grau, que “garantiria” a inserção no mercado de trabalho.</w:t>
      </w:r>
    </w:p>
    <w:p w14:paraId="72A543B0" w14:textId="77777777" w:rsidR="00921791" w:rsidRPr="00D756BD" w:rsidRDefault="00921791"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D756BD">
        <w:rPr>
          <w:rFonts w:ascii="Times New Roman" w:eastAsia="Times New Roman" w:hAnsi="Times New Roman" w:cs="Times New Roman"/>
          <w:sz w:val="24"/>
          <w:szCs w:val="24"/>
        </w:rPr>
        <w:t xml:space="preserve">Cabe destacar que no período de regime militar o MEC e seus órgãos </w:t>
      </w:r>
      <w:r>
        <w:rPr>
          <w:rFonts w:ascii="Times New Roman" w:eastAsia="Times New Roman" w:hAnsi="Times New Roman" w:cs="Times New Roman"/>
          <w:sz w:val="24"/>
          <w:szCs w:val="24"/>
        </w:rPr>
        <w:t xml:space="preserve">correlatos </w:t>
      </w:r>
      <w:r w:rsidRPr="00D756BD">
        <w:rPr>
          <w:rFonts w:ascii="Times New Roman" w:eastAsia="Times New Roman" w:hAnsi="Times New Roman" w:cs="Times New Roman"/>
          <w:sz w:val="24"/>
          <w:szCs w:val="24"/>
        </w:rPr>
        <w:t xml:space="preserve">assinaram uma série de convênios com a </w:t>
      </w:r>
      <w:r w:rsidRPr="00D756BD">
        <w:rPr>
          <w:rFonts w:ascii="Times New Roman" w:eastAsia="Times New Roman" w:hAnsi="Times New Roman" w:cs="Times New Roman"/>
          <w:i/>
          <w:sz w:val="24"/>
          <w:szCs w:val="24"/>
        </w:rPr>
        <w:t>Agency for International Development</w:t>
      </w:r>
      <w:r w:rsidRPr="00D756BD">
        <w:rPr>
          <w:rFonts w:ascii="Times New Roman" w:eastAsia="Times New Roman" w:hAnsi="Times New Roman" w:cs="Times New Roman"/>
          <w:sz w:val="24"/>
          <w:szCs w:val="24"/>
        </w:rPr>
        <w:t xml:space="preserve">, conhecidos como “Acordos MEC-USAID” para assistência técnica e cooperação financeira dessa Agência à reorganização do sistema educacional brasileiro. Os convênios lançaram as principais bases das reformas que </w:t>
      </w:r>
      <w:r>
        <w:rPr>
          <w:rFonts w:ascii="Times New Roman" w:eastAsia="Times New Roman" w:hAnsi="Times New Roman" w:cs="Times New Roman"/>
          <w:sz w:val="24"/>
          <w:szCs w:val="24"/>
        </w:rPr>
        <w:t>s</w:t>
      </w:r>
      <w:r w:rsidRPr="00D756BD">
        <w:rPr>
          <w:rFonts w:ascii="Times New Roman" w:eastAsia="Times New Roman" w:hAnsi="Times New Roman" w:cs="Times New Roman"/>
          <w:sz w:val="24"/>
          <w:szCs w:val="24"/>
        </w:rPr>
        <w:t>erviram de fundamento para a definição da política educacional (ROMANELLI, 1986).</w:t>
      </w:r>
    </w:p>
    <w:p w14:paraId="4922A1B6" w14:textId="77777777" w:rsidR="00921791" w:rsidRPr="00D756BD" w:rsidRDefault="00921791"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D756BD">
        <w:rPr>
          <w:rFonts w:ascii="Times New Roman" w:eastAsia="Times New Roman" w:hAnsi="Times New Roman" w:cs="Times New Roman"/>
          <w:sz w:val="24"/>
          <w:szCs w:val="24"/>
        </w:rPr>
        <w:t>Porém, essa Reforma fracassou e foi sofrendo alterações até que em 1982 foi retirada a obrigatoriedade da habilitação profissional no segundo grau. Como consequência desse p</w:t>
      </w:r>
      <w:r>
        <w:rPr>
          <w:rFonts w:ascii="Times New Roman" w:eastAsia="Times New Roman" w:hAnsi="Times New Roman" w:cs="Times New Roman"/>
          <w:sz w:val="24"/>
          <w:szCs w:val="24"/>
        </w:rPr>
        <w:t>rocesso</w:t>
      </w:r>
      <w:r w:rsidRPr="00D756BD">
        <w:rPr>
          <w:rFonts w:ascii="Times New Roman" w:eastAsia="Times New Roman" w:hAnsi="Times New Roman" w:cs="Times New Roman"/>
          <w:sz w:val="24"/>
          <w:szCs w:val="24"/>
        </w:rPr>
        <w:t>, o ensino público de caráter geral teve sua qualidade deteriorada e as escolas técnicas industriais, que conseguiram manter um ensino de alta qualidade, foram procuradas pelos estudantes como opção de preparação gratuita para os vestibulares (CUNHA; GÓES, 2002).</w:t>
      </w:r>
    </w:p>
    <w:p w14:paraId="50A296D0" w14:textId="77777777" w:rsidR="00921791" w:rsidRPr="00D756BD" w:rsidRDefault="00921791"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D756BD">
        <w:rPr>
          <w:rFonts w:ascii="Times New Roman" w:eastAsia="Times New Roman" w:hAnsi="Times New Roman" w:cs="Times New Roman"/>
          <w:sz w:val="24"/>
          <w:szCs w:val="24"/>
        </w:rPr>
        <w:t xml:space="preserve">O processo de redemocratização pelo qual o Brasil passou ensejou fortes debates e participação da comunidade científica nos rumos da educação nacional, culminando na Constituição Federal de 1988, mas também foi marcado por seguidas crises política e </w:t>
      </w:r>
      <w:r w:rsidRPr="00D756BD">
        <w:rPr>
          <w:rFonts w:ascii="Times New Roman" w:eastAsia="Times New Roman" w:hAnsi="Times New Roman" w:cs="Times New Roman"/>
          <w:sz w:val="24"/>
          <w:szCs w:val="24"/>
        </w:rPr>
        <w:lastRenderedPageBreak/>
        <w:t xml:space="preserve">econômica resultando em medidas de caráter neoliberal, como o avanço das privatizações e a redução do papel do Estado. </w:t>
      </w:r>
      <w:r>
        <w:rPr>
          <w:rFonts w:ascii="Times New Roman" w:eastAsia="Times New Roman" w:hAnsi="Times New Roman" w:cs="Times New Roman"/>
          <w:sz w:val="24"/>
          <w:szCs w:val="24"/>
        </w:rPr>
        <w:t>N</w:t>
      </w:r>
      <w:r w:rsidRPr="00D756BD">
        <w:rPr>
          <w:rFonts w:ascii="Times New Roman" w:eastAsia="Times New Roman" w:hAnsi="Times New Roman" w:cs="Times New Roman"/>
          <w:sz w:val="24"/>
          <w:szCs w:val="24"/>
        </w:rPr>
        <w:t xml:space="preserve">os anos 1990, a reorganização produtiva levou à emergência de uma lógica de competição mundial entre as empresas, que passaram a exigir trabalhadores mais flexíveis e polivalentes (BRAZOROTTO; VENCO, 2021). </w:t>
      </w:r>
    </w:p>
    <w:p w14:paraId="08807F49" w14:textId="77777777" w:rsidR="00921791" w:rsidRPr="00D756BD" w:rsidRDefault="00921791"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D756BD">
        <w:rPr>
          <w:rFonts w:ascii="Times New Roman" w:eastAsia="Times New Roman" w:hAnsi="Times New Roman" w:cs="Times New Roman"/>
          <w:sz w:val="24"/>
          <w:szCs w:val="24"/>
        </w:rPr>
        <w:t xml:space="preserve">Durante a primeira metade dos anos 1990 vários projetos de reestruturação do ensino médio e profissional estiveram em tramitação na Câmara e no Senado </w:t>
      </w:r>
      <w:r>
        <w:rPr>
          <w:rFonts w:ascii="Times New Roman" w:eastAsia="Times New Roman" w:hAnsi="Times New Roman" w:cs="Times New Roman"/>
          <w:sz w:val="24"/>
          <w:szCs w:val="24"/>
        </w:rPr>
        <w:t xml:space="preserve">Federal </w:t>
      </w:r>
      <w:r w:rsidRPr="00D756BD">
        <w:rPr>
          <w:rFonts w:ascii="Times New Roman" w:eastAsia="Times New Roman" w:hAnsi="Times New Roman" w:cs="Times New Roman"/>
          <w:sz w:val="24"/>
          <w:szCs w:val="24"/>
        </w:rPr>
        <w:t>e foram objeto de debate</w:t>
      </w:r>
      <w:r>
        <w:rPr>
          <w:rFonts w:ascii="Times New Roman" w:eastAsia="Times New Roman" w:hAnsi="Times New Roman" w:cs="Times New Roman"/>
          <w:sz w:val="24"/>
          <w:szCs w:val="24"/>
        </w:rPr>
        <w:t>s</w:t>
      </w:r>
      <w:r w:rsidRPr="00D756BD">
        <w:rPr>
          <w:rFonts w:ascii="Times New Roman" w:eastAsia="Times New Roman" w:hAnsi="Times New Roman" w:cs="Times New Roman"/>
          <w:sz w:val="24"/>
          <w:szCs w:val="24"/>
        </w:rPr>
        <w:t xml:space="preserve"> e enfrentamento</w:t>
      </w:r>
      <w:r>
        <w:rPr>
          <w:rFonts w:ascii="Times New Roman" w:eastAsia="Times New Roman" w:hAnsi="Times New Roman" w:cs="Times New Roman"/>
          <w:sz w:val="24"/>
          <w:szCs w:val="24"/>
        </w:rPr>
        <w:t>s</w:t>
      </w:r>
      <w:r w:rsidRPr="00D756BD">
        <w:rPr>
          <w:rFonts w:ascii="Times New Roman" w:eastAsia="Times New Roman" w:hAnsi="Times New Roman" w:cs="Times New Roman"/>
          <w:sz w:val="24"/>
          <w:szCs w:val="24"/>
        </w:rPr>
        <w:t>, representando as aspirações e propostas de diferentes grupos sociais (MANFREDI, 2002).</w:t>
      </w:r>
    </w:p>
    <w:p w14:paraId="449FBF34" w14:textId="77777777" w:rsidR="00921791" w:rsidRPr="00D756BD" w:rsidRDefault="00921791"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D756BD">
        <w:rPr>
          <w:rFonts w:ascii="Times New Roman" w:eastAsia="Times New Roman" w:hAnsi="Times New Roman" w:cs="Times New Roman"/>
          <w:sz w:val="24"/>
          <w:szCs w:val="24"/>
        </w:rPr>
        <w:t xml:space="preserve">A versão inicial da LDB sancionada em 1996 (Lei nº 9.394/1996) destinou um capítulo específico para a EPT, porém definiu de forma simples e pouco direta os princípios para essa educação profissional. Por esse motivo, as definições para a EPT foram determinadas por meio de </w:t>
      </w:r>
      <w:r>
        <w:rPr>
          <w:rFonts w:ascii="Times New Roman" w:eastAsia="Times New Roman" w:hAnsi="Times New Roman" w:cs="Times New Roman"/>
          <w:sz w:val="24"/>
          <w:szCs w:val="24"/>
        </w:rPr>
        <w:t xml:space="preserve">diversas normativas, como: </w:t>
      </w:r>
      <w:r w:rsidRPr="00D756BD">
        <w:rPr>
          <w:rFonts w:ascii="Times New Roman" w:eastAsia="Times New Roman" w:hAnsi="Times New Roman" w:cs="Times New Roman"/>
          <w:sz w:val="24"/>
          <w:szCs w:val="24"/>
        </w:rPr>
        <w:t>leis complementares ou de forma temporária/transitória através de decretos, portarias ministeriais ou resoluções.</w:t>
      </w:r>
    </w:p>
    <w:p w14:paraId="3F7703C2" w14:textId="77777777" w:rsidR="00921791" w:rsidRPr="00D756BD" w:rsidRDefault="00921791"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D756BD">
        <w:rPr>
          <w:rFonts w:ascii="Times New Roman" w:eastAsia="Times New Roman" w:hAnsi="Times New Roman" w:cs="Times New Roman"/>
          <w:sz w:val="24"/>
          <w:szCs w:val="24"/>
        </w:rPr>
        <w:t xml:space="preserve">Dentre tais normatizações ressalta-se o Decreto 2.208/1997, mediante ao qual o governo de Fernando Henrique Cardoso (FHC) regulamentou os objetivos da educação profissional, as suas formas de articulação, seus níveis, diretrizes curriculares, formas de estruturação dos currículos e outros aspectos. Foram estabelecidos três níveis para a educação profissional: o básico, o técnico e o tecnológico. </w:t>
      </w:r>
      <w:r>
        <w:rPr>
          <w:rFonts w:ascii="Times New Roman" w:eastAsia="Times New Roman" w:hAnsi="Times New Roman" w:cs="Times New Roman"/>
          <w:sz w:val="24"/>
          <w:szCs w:val="24"/>
        </w:rPr>
        <w:t xml:space="preserve">Com </w:t>
      </w:r>
      <w:r w:rsidRPr="00D756BD">
        <w:rPr>
          <w:rFonts w:ascii="Times New Roman" w:eastAsia="Times New Roman" w:hAnsi="Times New Roman" w:cs="Times New Roman"/>
          <w:sz w:val="24"/>
          <w:szCs w:val="24"/>
        </w:rPr>
        <w:t xml:space="preserve">esse Decreto </w:t>
      </w:r>
      <w:r>
        <w:rPr>
          <w:rFonts w:ascii="Times New Roman" w:eastAsia="Times New Roman" w:hAnsi="Times New Roman" w:cs="Times New Roman"/>
          <w:sz w:val="24"/>
          <w:szCs w:val="24"/>
        </w:rPr>
        <w:t xml:space="preserve">se </w:t>
      </w:r>
      <w:r w:rsidRPr="00D756BD">
        <w:rPr>
          <w:rFonts w:ascii="Times New Roman" w:eastAsia="Times New Roman" w:hAnsi="Times New Roman" w:cs="Times New Roman"/>
          <w:sz w:val="24"/>
          <w:szCs w:val="24"/>
        </w:rPr>
        <w:t>extingui</w:t>
      </w:r>
      <w:r>
        <w:rPr>
          <w:rFonts w:ascii="Times New Roman" w:eastAsia="Times New Roman" w:hAnsi="Times New Roman" w:cs="Times New Roman"/>
          <w:sz w:val="24"/>
          <w:szCs w:val="24"/>
        </w:rPr>
        <w:t>u</w:t>
      </w:r>
      <w:r w:rsidRPr="00D756BD">
        <w:rPr>
          <w:rFonts w:ascii="Times New Roman" w:eastAsia="Times New Roman" w:hAnsi="Times New Roman" w:cs="Times New Roman"/>
          <w:sz w:val="24"/>
          <w:szCs w:val="24"/>
        </w:rPr>
        <w:t xml:space="preserve"> a possibilidade de formação técnica integrada ao ensino médio (BRASIL, 1997). Para Afonso e Gonzalez (2016) isso deixou claro o compromisso da política de governo FHC com uma formação tecnicista voltada para o mercado de trabalho e flexível de acordo com os interesses econômicos, excluindo a possibilidade de uma formação mais humanística e unitária.</w:t>
      </w:r>
    </w:p>
    <w:p w14:paraId="53D80975" w14:textId="77777777" w:rsidR="00921791" w:rsidRPr="00D756BD" w:rsidRDefault="00921791"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D756BD">
        <w:rPr>
          <w:rFonts w:ascii="Times New Roman" w:eastAsia="Times New Roman" w:hAnsi="Times New Roman" w:cs="Times New Roman"/>
          <w:sz w:val="24"/>
          <w:szCs w:val="24"/>
        </w:rPr>
        <w:t xml:space="preserve">Também em 1997 foi criado o Programa de Expansão da Educação Profissional (PROEP), gestionado pelo MEC, com recursos advindos do Fundo de Amparo ao Trabalhador (FAT) e de empréstimos junto ao Banco Interamericano de Desenvolvimento (BID). Segundo Grabowiski (2010), o PROEP tinha entre seus parâmetros de atuação: a separação entre cursos técnicos e educação média regular, redefinição da demanda de cursos para segmentos da população de renda mais baixa e idade mais elevada, investimento em projetos no segmento comunitário em que a sustentação financeira provém da sociedade civil, incluindo-se nesse </w:t>
      </w:r>
      <w:r w:rsidRPr="00D756BD">
        <w:rPr>
          <w:rFonts w:ascii="Times New Roman" w:eastAsia="Times New Roman" w:hAnsi="Times New Roman" w:cs="Times New Roman"/>
          <w:sz w:val="24"/>
          <w:szCs w:val="24"/>
        </w:rPr>
        <w:lastRenderedPageBreak/>
        <w:t xml:space="preserve">segmento o Sistema S. Destaca-se que a implementação do PROEP perpassou as gestões </w:t>
      </w:r>
      <w:r>
        <w:rPr>
          <w:rFonts w:ascii="Times New Roman" w:eastAsia="Times New Roman" w:hAnsi="Times New Roman" w:cs="Times New Roman"/>
          <w:sz w:val="24"/>
          <w:szCs w:val="24"/>
        </w:rPr>
        <w:t xml:space="preserve">dos governos </w:t>
      </w:r>
      <w:r w:rsidRPr="00D756BD">
        <w:rPr>
          <w:rFonts w:ascii="Times New Roman" w:eastAsia="Times New Roman" w:hAnsi="Times New Roman" w:cs="Times New Roman"/>
          <w:sz w:val="24"/>
          <w:szCs w:val="24"/>
        </w:rPr>
        <w:t>de FHC e de Lula.</w:t>
      </w:r>
    </w:p>
    <w:p w14:paraId="21EFC17F" w14:textId="26B5598C" w:rsidR="00921791" w:rsidRDefault="00921791"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D756BD">
        <w:rPr>
          <w:rFonts w:ascii="Times New Roman" w:eastAsia="Times New Roman" w:hAnsi="Times New Roman" w:cs="Times New Roman"/>
          <w:sz w:val="24"/>
          <w:szCs w:val="24"/>
        </w:rPr>
        <w:t>Em 1998 houve uma alteração da Lei nº. 8.948/1994 que havia criado o Sistema Nacional de Educação Tecnológica, com isso várias escolas técnicas e agrotécnicas federais foram transformadas em Centros Federais de Educação Tecnológica (CEFETs). No corpo dessa Lei foi acrescentado um parágrafo que representou um entrave à expansão da Rede Federal, sendo ele:</w:t>
      </w:r>
    </w:p>
    <w:p w14:paraId="16390536" w14:textId="77777777" w:rsidR="009F1C44" w:rsidRPr="00D756BD" w:rsidRDefault="009F1C44"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p>
    <w:p w14:paraId="004C910A" w14:textId="77777777" w:rsidR="009F1C44" w:rsidRPr="009F1C44" w:rsidRDefault="009F1C44" w:rsidP="0061005C">
      <w:pPr>
        <w:widowControl w:val="0"/>
        <w:tabs>
          <w:tab w:val="left" w:pos="1695"/>
        </w:tabs>
        <w:spacing w:after="0" w:line="240" w:lineRule="auto"/>
        <w:ind w:left="2268"/>
        <w:jc w:val="both"/>
        <w:rPr>
          <w:rFonts w:ascii="Times New Roman" w:eastAsia="Times New Roman" w:hAnsi="Times New Roman" w:cs="Times New Roman"/>
          <w:sz w:val="20"/>
          <w:szCs w:val="20"/>
        </w:rPr>
      </w:pPr>
      <w:r w:rsidRPr="009F1C44">
        <w:rPr>
          <w:rFonts w:ascii="Times New Roman" w:eastAsia="Times New Roman" w:hAnsi="Times New Roman" w:cs="Times New Roman"/>
          <w:sz w:val="20"/>
          <w:szCs w:val="20"/>
        </w:rPr>
        <w:t xml:space="preserve">§ 5° A expansão da oferta de educação profissional, mediante a criação de novas unidades de ensino por parte da União, </w:t>
      </w:r>
      <w:r w:rsidRPr="009F1C44">
        <w:rPr>
          <w:rFonts w:ascii="Times New Roman" w:eastAsia="Times New Roman" w:hAnsi="Times New Roman" w:cs="Times New Roman"/>
          <w:b/>
          <w:sz w:val="20"/>
          <w:szCs w:val="20"/>
        </w:rPr>
        <w:t>somente</w:t>
      </w:r>
      <w:r w:rsidRPr="009F1C44">
        <w:rPr>
          <w:rFonts w:ascii="Times New Roman" w:eastAsia="Times New Roman" w:hAnsi="Times New Roman" w:cs="Times New Roman"/>
          <w:sz w:val="20"/>
          <w:szCs w:val="20"/>
        </w:rPr>
        <w:t xml:space="preserve"> poderá ocorrer em parceria com Estados, Municípios, Distrito Federal, setor produtivo ou organizações não governamentais que serão responsáveis pela manutenção e gestão dos novos estabelecimentos de ensino (BRASIL, 1998, grifo nosso).</w:t>
      </w:r>
    </w:p>
    <w:p w14:paraId="1464D300" w14:textId="77777777" w:rsidR="009F1C44" w:rsidRPr="009F1C44" w:rsidRDefault="009F1C44"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p>
    <w:p w14:paraId="7AFF5A79" w14:textId="2489A8AF" w:rsidR="009F1C44" w:rsidRDefault="009F1C44"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Dado a isso, ao que parece, esta Lei promoveu o “congelamento” da Rede Federal o qual vigorou até o ano de 2005, quando o governo Lula a substituiu pela Lei 11.195/2005, cujo conteúdo do parágrafo foi modificado para:</w:t>
      </w:r>
    </w:p>
    <w:p w14:paraId="501900AA" w14:textId="77777777" w:rsidR="009F1C44" w:rsidRPr="009F1C44" w:rsidRDefault="009F1C44"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p>
    <w:p w14:paraId="313EDA5C" w14:textId="77777777" w:rsidR="009F1C44" w:rsidRPr="009F1C44" w:rsidRDefault="009F1C44" w:rsidP="0061005C">
      <w:pPr>
        <w:widowControl w:val="0"/>
        <w:tabs>
          <w:tab w:val="left" w:pos="1695"/>
        </w:tabs>
        <w:spacing w:after="0" w:line="240" w:lineRule="auto"/>
        <w:ind w:left="2268"/>
        <w:jc w:val="both"/>
        <w:rPr>
          <w:rFonts w:ascii="Times New Roman" w:eastAsia="Times New Roman" w:hAnsi="Times New Roman" w:cs="Times New Roman"/>
          <w:sz w:val="20"/>
          <w:szCs w:val="20"/>
        </w:rPr>
      </w:pPr>
      <w:r w:rsidRPr="009F1C44">
        <w:rPr>
          <w:rFonts w:ascii="Times New Roman" w:eastAsia="Times New Roman" w:hAnsi="Times New Roman" w:cs="Times New Roman"/>
          <w:sz w:val="20"/>
          <w:szCs w:val="20"/>
        </w:rPr>
        <w:t xml:space="preserve">§ 5° A expansão da oferta de educação profissional, mediante a criação de novas unidades de ensino por parte da União, ocorrerá, </w:t>
      </w:r>
      <w:r w:rsidRPr="009F1C44">
        <w:rPr>
          <w:rFonts w:ascii="Times New Roman" w:eastAsia="Times New Roman" w:hAnsi="Times New Roman" w:cs="Times New Roman"/>
          <w:b/>
          <w:sz w:val="20"/>
          <w:szCs w:val="20"/>
        </w:rPr>
        <w:t>preferencialmente</w:t>
      </w:r>
      <w:r w:rsidRPr="009F1C44">
        <w:rPr>
          <w:rFonts w:ascii="Times New Roman" w:eastAsia="Times New Roman" w:hAnsi="Times New Roman" w:cs="Times New Roman"/>
          <w:sz w:val="20"/>
          <w:szCs w:val="20"/>
        </w:rPr>
        <w:t>, em parceria com Estados, Municípios, Distrito Federal, setor produtivo ou organizações não governamentais que serão responsáveis pela manutenção e gestão dos novos estabelecimentos de ensino (BRASIL, 2005a, grifo nosso).</w:t>
      </w:r>
    </w:p>
    <w:p w14:paraId="5FCA1653" w14:textId="77777777" w:rsidR="009F1C44" w:rsidRPr="009F1C44" w:rsidRDefault="009F1C44"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p>
    <w:p w14:paraId="66C744EB" w14:textId="77777777" w:rsidR="009F1C44" w:rsidRPr="009F1C44" w:rsidRDefault="009F1C44"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Apesar da preferência para o estabelecimento de parcerias, inclusive com a iniciativa privada, para a criação de novas unidades de ensino por parte da União, a Lei possibilitou a retomada da expansão da Rede. Outra importante alteração já havia sido realizada pelo Decreto nº 5.154/2004, o qual retornou a possibilidade de integração entre o ensino médio e a EPT. Embora tenha mantido os níveis da educação profissional, deu-lhes nova denominação: ao nível básico, denominou de “qualificação profissional, inclusive formação inicial e continuada de trabalhadores”; ao nível técnico, denominou “educação profissional técnica de nível médio”; e ao nível tecnológico, “educação profissional tecnológica de graduação e de pós-graduação”, estendendo a formação profissional até a pós-graduação (BRASIL, 2004).</w:t>
      </w:r>
    </w:p>
    <w:p w14:paraId="05ABD240" w14:textId="77777777" w:rsidR="009F1C44" w:rsidRPr="009F1C44" w:rsidRDefault="009F1C44"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 xml:space="preserve">Para Kuenzer (2007), ao longo do século XX, concomitantemente à escola de formação </w:t>
      </w:r>
      <w:r w:rsidRPr="009F1C44">
        <w:rPr>
          <w:rFonts w:ascii="Times New Roman" w:eastAsia="Times New Roman" w:hAnsi="Times New Roman" w:cs="Times New Roman"/>
          <w:sz w:val="24"/>
          <w:szCs w:val="24"/>
        </w:rPr>
        <w:lastRenderedPageBreak/>
        <w:t>geral, foi se desenvolvendo extensa e diversificada oferta de educação profissional com o objetivo de atender às demandas decorrentes da expansão dos setores industrial, comercial e de serviços. Porém, a crítica da autora em relação a esta expansão é de que ela foi determinada pelo movimento do mercado e se deu de forma caótica, sem responder a uma política especificamente formulada para a educação profissional.</w:t>
      </w:r>
    </w:p>
    <w:p w14:paraId="2BADA3CA" w14:textId="77777777" w:rsidR="009F1C44" w:rsidRPr="009F1C44" w:rsidRDefault="009F1C44"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Durante o governo Lula (2003-2010) houve a defesa da importância da educação profissional como estratégia para o projeto de desenvolvimento do país. Para isso, lançou o Plano de Expansão da Rede Federal que foi implementado em três fases. Na próxima seção é realizada uma exposição dos critérios que delinearam cada fase da expansão da Rede Federal.</w:t>
      </w:r>
    </w:p>
    <w:p w14:paraId="3F713B3F" w14:textId="77777777" w:rsidR="009F1C44" w:rsidRPr="009F1C44" w:rsidRDefault="009F1C44" w:rsidP="0061005C">
      <w:pPr>
        <w:widowControl w:val="0"/>
        <w:tabs>
          <w:tab w:val="left" w:pos="1695"/>
        </w:tabs>
        <w:spacing w:after="0" w:line="360" w:lineRule="auto"/>
        <w:ind w:firstLine="709"/>
        <w:jc w:val="both"/>
        <w:rPr>
          <w:rFonts w:ascii="Times New Roman" w:eastAsia="Times New Roman" w:hAnsi="Times New Roman" w:cs="Times New Roman"/>
          <w:sz w:val="24"/>
          <w:szCs w:val="24"/>
        </w:rPr>
      </w:pPr>
    </w:p>
    <w:p w14:paraId="30FB6BFE" w14:textId="477F7589" w:rsidR="009F1C44" w:rsidRPr="009F1C44" w:rsidRDefault="000625AD" w:rsidP="00506CD8">
      <w:pPr>
        <w:tabs>
          <w:tab w:val="left" w:pos="-170"/>
          <w:tab w:val="left" w:pos="561"/>
          <w:tab w:val="left" w:pos="8547"/>
        </w:tabs>
        <w:suppressAutoHyphens/>
        <w:spacing w:after="0" w:line="360" w:lineRule="auto"/>
        <w:jc w:val="both"/>
        <w:rPr>
          <w:rFonts w:ascii="Times New Roman" w:eastAsia="Times New Roman" w:hAnsi="Times New Roman" w:cs="Times New Roman"/>
          <w:b/>
          <w:bCs/>
          <w:sz w:val="24"/>
          <w:szCs w:val="24"/>
          <w:lang w:eastAsia="pt-BR"/>
        </w:rPr>
      </w:pPr>
      <w:bookmarkStart w:id="0" w:name="_Toc102375193"/>
      <w:r>
        <w:rPr>
          <w:rFonts w:ascii="Times New Roman" w:eastAsia="Times New Roman" w:hAnsi="Times New Roman" w:cs="Times New Roman"/>
          <w:b/>
          <w:bCs/>
          <w:sz w:val="24"/>
          <w:szCs w:val="24"/>
          <w:lang w:eastAsia="pt-BR"/>
        </w:rPr>
        <w:t xml:space="preserve">3 </w:t>
      </w:r>
      <w:r w:rsidR="00975DE6" w:rsidRPr="009F1C44">
        <w:rPr>
          <w:rFonts w:ascii="Times New Roman" w:eastAsia="Times New Roman" w:hAnsi="Times New Roman" w:cs="Times New Roman"/>
          <w:b/>
          <w:bCs/>
          <w:sz w:val="24"/>
          <w:szCs w:val="24"/>
          <w:lang w:eastAsia="pt-BR"/>
        </w:rPr>
        <w:t>PLANO DE EXPANSÃO DA REDE FEDERAL DE EDUCAÇÃO PROFISSIONAL E TECNOLÓGICA</w:t>
      </w:r>
      <w:bookmarkEnd w:id="0"/>
    </w:p>
    <w:p w14:paraId="386AA9CB" w14:textId="77777777" w:rsidR="009F1C44" w:rsidRPr="009F1C44" w:rsidRDefault="009F1C44" w:rsidP="00506CD8">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A expansão da oferta de EPT pelo governo federal esteve articulada com a proposta da Política Nacional de Desenvolvimento Regional (PNDR), lançada pelo Ministério da Integração Nacional, como um esforço para repensar a política regional brasileira. As discussões se iniciaram em 2003 e a PNDR foi institucionalizada em 2007, através do Decreto nº 6.047/2007. Nela, os objetivos principais visavam reduzir as desigualdades regionais e promover a equidade no acesso a oportunidades de desenvolvimento (BRASIL, 2012).</w:t>
      </w:r>
    </w:p>
    <w:p w14:paraId="6F00A543" w14:textId="77777777" w:rsidR="009F1C44" w:rsidRPr="009F1C44" w:rsidRDefault="009F1C44" w:rsidP="00506CD8">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No final de 2005 foi lançado o Plano de Expansão da Rede Federal de Educação Tecnológica, no Documento de apresentação do Plano a Secretaria de Educação Profissional e Tecnológica (SETEC/MEC) argumenta que:</w:t>
      </w:r>
    </w:p>
    <w:p w14:paraId="06D0F75A" w14:textId="77777777" w:rsidR="009F1C44" w:rsidRPr="009F1C44" w:rsidRDefault="009F1C44" w:rsidP="00506CD8">
      <w:pPr>
        <w:widowControl w:val="0"/>
        <w:tabs>
          <w:tab w:val="left" w:pos="1695"/>
        </w:tabs>
        <w:spacing w:after="0" w:line="360" w:lineRule="auto"/>
        <w:ind w:firstLine="709"/>
        <w:jc w:val="both"/>
        <w:rPr>
          <w:rFonts w:ascii="Times New Roman" w:eastAsia="Times New Roman" w:hAnsi="Times New Roman" w:cs="Times New Roman"/>
          <w:sz w:val="24"/>
          <w:szCs w:val="24"/>
        </w:rPr>
      </w:pPr>
    </w:p>
    <w:p w14:paraId="19ADDC7D" w14:textId="77777777" w:rsidR="009F1C44" w:rsidRPr="009F1C44" w:rsidRDefault="009F1C44" w:rsidP="00506CD8">
      <w:pPr>
        <w:widowControl w:val="0"/>
        <w:tabs>
          <w:tab w:val="left" w:pos="1695"/>
        </w:tabs>
        <w:spacing w:after="0" w:line="240" w:lineRule="auto"/>
        <w:ind w:left="2268"/>
        <w:jc w:val="both"/>
        <w:rPr>
          <w:rFonts w:ascii="Times New Roman" w:eastAsia="Times New Roman" w:hAnsi="Times New Roman" w:cs="Times New Roman"/>
          <w:sz w:val="20"/>
          <w:szCs w:val="20"/>
        </w:rPr>
      </w:pPr>
      <w:r w:rsidRPr="009F1C44">
        <w:rPr>
          <w:rFonts w:ascii="Times New Roman" w:eastAsia="Times New Roman" w:hAnsi="Times New Roman" w:cs="Times New Roman"/>
          <w:sz w:val="20"/>
          <w:szCs w:val="20"/>
        </w:rPr>
        <w:t>Esta política pública, além de reafirmar a educação profissional e tecnológica como bem público, condição de desenvolvimento humano, econômico e social, compromete-se com a redução das desigualdades sociais e regionais, vincula-se ao projeto de nação soberana e de desenvolvimento sustentável, incorporando a educação básica como requisito mínimo e direito de todos os trabalhadores, mediados por uma escola pública com qualidade social e tecnológica (BRASIL, 2005b, p. 2).</w:t>
      </w:r>
    </w:p>
    <w:p w14:paraId="3DF06201" w14:textId="77777777" w:rsidR="009F1C44" w:rsidRPr="009F1C44" w:rsidRDefault="009F1C44" w:rsidP="00506CD8">
      <w:pPr>
        <w:widowControl w:val="0"/>
        <w:tabs>
          <w:tab w:val="left" w:pos="1695"/>
        </w:tabs>
        <w:spacing w:after="0" w:line="360" w:lineRule="auto"/>
        <w:ind w:firstLine="709"/>
        <w:jc w:val="both"/>
        <w:rPr>
          <w:rFonts w:ascii="Times New Roman" w:eastAsia="Times New Roman" w:hAnsi="Times New Roman" w:cs="Times New Roman"/>
          <w:sz w:val="24"/>
          <w:szCs w:val="24"/>
        </w:rPr>
      </w:pPr>
    </w:p>
    <w:p w14:paraId="49EC9BDA" w14:textId="77777777" w:rsidR="009F1C44" w:rsidRPr="009F1C44" w:rsidRDefault="009F1C44" w:rsidP="00506CD8">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 xml:space="preserve">O Documento indica que o objetivo do Plano para a Fase I era a criação de 5 Escolas Técnicas Federais, 4 Escolas Agrotécnicas Federais e implantação de 33 novas Unidades de Ensino Descentralizadas nos estados que ainda não possuíam essas instituições. Além de serem </w:t>
      </w:r>
      <w:r w:rsidRPr="009F1C44">
        <w:rPr>
          <w:rFonts w:ascii="Times New Roman" w:eastAsia="Times New Roman" w:hAnsi="Times New Roman" w:cs="Times New Roman"/>
          <w:sz w:val="24"/>
          <w:szCs w:val="24"/>
        </w:rPr>
        <w:lastRenderedPageBreak/>
        <w:t>instaladas preferencialmente em periferias de grandes centros urbanos e municípios interioranos, distantes desses centros. Os cursos oferecidos deveriam ser articulados com as potencialidades locais do mercado de trabalho (BRASIL, 2005b, p. 7).</w:t>
      </w:r>
    </w:p>
    <w:p w14:paraId="1523CBB8" w14:textId="77777777" w:rsidR="009F1C44" w:rsidRPr="009F1C44" w:rsidRDefault="009F1C44" w:rsidP="00506CD8">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 xml:space="preserve">A Fase II foi lançada em 2007, através da Chamada Pública MEC/SETEC n.º 001/2007, para o estabelecimento de parcerias entre o governo federal e os municípios selecionados. Com o slogan </w:t>
      </w:r>
      <w:r w:rsidRPr="009F1C44">
        <w:rPr>
          <w:rFonts w:ascii="Times New Roman" w:eastAsia="Times New Roman" w:hAnsi="Times New Roman" w:cs="Times New Roman"/>
          <w:i/>
          <w:iCs/>
          <w:sz w:val="24"/>
          <w:szCs w:val="24"/>
        </w:rPr>
        <w:t>“uma escola técnica em cada cidade polo do país”</w:t>
      </w:r>
      <w:r w:rsidRPr="009F1C44">
        <w:rPr>
          <w:rFonts w:ascii="Times New Roman" w:eastAsia="Times New Roman" w:hAnsi="Times New Roman" w:cs="Times New Roman"/>
          <w:sz w:val="24"/>
          <w:szCs w:val="24"/>
        </w:rPr>
        <w:t>, o Documento anunciava uma iniciativa para implantar 150 novas unidades na Rede Federal até 2010, oferecendo formação e qualificação profissional nos diversos níveis e modalidades, suporte ao desenvolvimento da atividade produtiva, geração e disseminação de conhecimentos científicos e tecnológicos e estímulo ao desenvolvimento socioeconômico em níveis local e regional. De acordo com a SETEC, a definição das localidades contempladas foi orientada por uma abordagem multidisciplinar em que foram analisadas variáveis geográficas, demográficas, socioambientais, econômicas e culturais (BRASIL, 2007, p. 1-2).</w:t>
      </w:r>
    </w:p>
    <w:p w14:paraId="194B1D4D" w14:textId="77777777" w:rsidR="009F1C44" w:rsidRPr="009F1C44" w:rsidRDefault="009F1C44" w:rsidP="00506CD8">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Ainda durante a Fase II foi publicada a Lei nº 11.892/2008, que instituiu a Rede Federal de Educação Profissional, Científica e Tecnológica e criou os Institutos Federais de Educação, Ciência e Tecnologia. Além dos Institutos, a Rede ficou constituída pela Universidade Tecnológica Federal do Paraná (UTFPR), o CEFET-RJ, o CEFET-MG, as Escolas Técnicas Vinculadas às universidades federais e o Colégio Pedro II (BRASIL, 2008a).</w:t>
      </w:r>
    </w:p>
    <w:p w14:paraId="71AFC313" w14:textId="77777777" w:rsidR="009F1C44" w:rsidRPr="009F1C44" w:rsidRDefault="009F1C44" w:rsidP="00506CD8">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 xml:space="preserve">A Fase III, que ocorreu de 2011 a 2014, teve como objetivo ampliar a presença dos IFs no território nacional, de forma que todas as microrregiões brasileiras tivessem pelo menos um </w:t>
      </w:r>
      <w:r w:rsidRPr="009F1C44">
        <w:rPr>
          <w:rFonts w:ascii="Times New Roman" w:eastAsia="Times New Roman" w:hAnsi="Times New Roman" w:cs="Times New Roman"/>
          <w:i/>
          <w:iCs/>
          <w:sz w:val="24"/>
          <w:szCs w:val="24"/>
        </w:rPr>
        <w:t>campus</w:t>
      </w:r>
      <w:r w:rsidRPr="009F1C44">
        <w:rPr>
          <w:rFonts w:ascii="Times New Roman" w:eastAsia="Times New Roman" w:hAnsi="Times New Roman" w:cs="Times New Roman"/>
          <w:sz w:val="24"/>
          <w:szCs w:val="24"/>
        </w:rPr>
        <w:t xml:space="preserve"> desse Instituto. Como parte da estratégia de expansão da oferta de Educação Profissional e Tecnológica foi criado o </w:t>
      </w:r>
      <w:r w:rsidRPr="009F1C44">
        <w:rPr>
          <w:rFonts w:ascii="Times New Roman" w:eastAsia="Calibri" w:hAnsi="Times New Roman" w:cs="Times New Roman"/>
          <w:sz w:val="24"/>
          <w:szCs w:val="24"/>
          <w:shd w:val="clear" w:color="auto" w:fill="FFFFFF"/>
        </w:rPr>
        <w:t>Programa Nacional de Acesso ao Ensino Técnico e Emprego</w:t>
      </w:r>
      <w:r w:rsidRPr="009F1C44">
        <w:rPr>
          <w:rFonts w:ascii="Times New Roman" w:eastAsia="Times New Roman" w:hAnsi="Times New Roman" w:cs="Times New Roman"/>
          <w:sz w:val="24"/>
          <w:szCs w:val="24"/>
        </w:rPr>
        <w:t> (Pronatec), em 2011, visando ampliar a oferta de vagas, através de programas, projetos e ações de assistência técnica e financeira (BRASIL, 2011).</w:t>
      </w:r>
    </w:p>
    <w:p w14:paraId="7EDBA144" w14:textId="77777777" w:rsidR="009F1C44" w:rsidRPr="009F1C44" w:rsidRDefault="009F1C44" w:rsidP="00506CD8">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 xml:space="preserve">Verifica-se também nessa Fase III a aderência dessa expansão para com as finalidades da PNDR. A Conferência Nacional de Desenvolvimento Regional, realizada em 2012, definiu princípios e diretrizes para a reformulação da PNDR; em cujo Eixo </w:t>
      </w:r>
      <w:r w:rsidRPr="009F1C44">
        <w:rPr>
          <w:rFonts w:ascii="Times New Roman" w:eastAsia="Times New Roman" w:hAnsi="Times New Roman" w:cs="Times New Roman"/>
          <w:i/>
          <w:iCs/>
          <w:sz w:val="24"/>
          <w:szCs w:val="24"/>
        </w:rPr>
        <w:t>vetores de desenvolvimento regional sustentável</w:t>
      </w:r>
      <w:r w:rsidRPr="009F1C44">
        <w:rPr>
          <w:rFonts w:ascii="Times New Roman" w:eastAsia="Times New Roman" w:hAnsi="Times New Roman" w:cs="Times New Roman"/>
          <w:sz w:val="24"/>
          <w:szCs w:val="24"/>
        </w:rPr>
        <w:t xml:space="preserve"> se problematizou e indicou diretrizes para EPT, tais como: a priorização dos espaços elegíveis da PNDR no plano de expansão da Rede; a oferta de cursos em sintonia </w:t>
      </w:r>
      <w:r w:rsidRPr="009F1C44">
        <w:rPr>
          <w:rFonts w:ascii="Times New Roman" w:eastAsia="Times New Roman" w:hAnsi="Times New Roman" w:cs="Times New Roman"/>
          <w:sz w:val="24"/>
          <w:szCs w:val="24"/>
        </w:rPr>
        <w:lastRenderedPageBreak/>
        <w:t>com o sistema produtivo; o atendimento aos interesses e as necessidades das populações do campo, indígenas, quilombolas, afrodescendentes, mulheres de baixa renda e das pessoas portadoras de necessidades especiais; o fortalecimento do componente de extensão técnica e tecnológica da Rede Federal de EPT (BRASIL, 2012).</w:t>
      </w:r>
    </w:p>
    <w:p w14:paraId="4AC6A729" w14:textId="77777777" w:rsidR="009F1C44" w:rsidRPr="009F1C44" w:rsidRDefault="009F1C44" w:rsidP="00506CD8">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Pereira e Cruz (2019) consideram que a citada política de Expansão seguiu dois vetores: a regionalização (possibilitando maior capilaridade na oferta de educação profissional) e a territorialização (buscando reconhecer, articular e incluir as práticas, tradições e experiências locais e regionais no contexto de decisões sociais e econômicas). Portanto, a expansão da Rede Federal fez parte das iniciativas que objetivaram contribuir para a redução da fragmentação e dos hiatos territoriais que marcam a trajetória do desenvolvimento brasileiro.</w:t>
      </w:r>
    </w:p>
    <w:p w14:paraId="4207BAAB" w14:textId="77777777" w:rsidR="009F1C44" w:rsidRPr="009F1C44" w:rsidRDefault="009F1C44" w:rsidP="00506CD8">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No Quadro 1 estão apresentados de modo sintético os critérios definidos pela SETEC/MEC para implantação das unidades federais em cada uma das três fases de Expansão da Rede.</w:t>
      </w:r>
    </w:p>
    <w:p w14:paraId="3D9105BE" w14:textId="77777777" w:rsidR="009F1C44" w:rsidRPr="009F1C44" w:rsidRDefault="009F1C44" w:rsidP="00506CD8">
      <w:pPr>
        <w:widowControl w:val="0"/>
        <w:tabs>
          <w:tab w:val="left" w:pos="1695"/>
        </w:tabs>
        <w:spacing w:after="0" w:line="360" w:lineRule="auto"/>
        <w:ind w:firstLine="709"/>
        <w:jc w:val="both"/>
        <w:rPr>
          <w:rFonts w:ascii="Times New Roman" w:eastAsia="Times New Roman" w:hAnsi="Times New Roman" w:cs="Times New Roman"/>
          <w:sz w:val="24"/>
          <w:szCs w:val="24"/>
        </w:rPr>
      </w:pPr>
    </w:p>
    <w:p w14:paraId="7F9618C5" w14:textId="77777777" w:rsidR="009F1C44" w:rsidRPr="009F1C44" w:rsidRDefault="009F1C44" w:rsidP="009F1C44">
      <w:pPr>
        <w:widowControl w:val="0"/>
        <w:tabs>
          <w:tab w:val="left" w:pos="1695"/>
        </w:tabs>
        <w:spacing w:after="0" w:line="240" w:lineRule="auto"/>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 xml:space="preserve">Quadro 1 – Critérios para implantação de unidades da Rede Federal </w:t>
      </w:r>
    </w:p>
    <w:tbl>
      <w:tblPr>
        <w:tblStyle w:val="Tabelacomgrade"/>
        <w:tblW w:w="0" w:type="auto"/>
        <w:tblLook w:val="04A0" w:firstRow="1" w:lastRow="0" w:firstColumn="1" w:lastColumn="0" w:noHBand="0" w:noVBand="1"/>
      </w:tblPr>
      <w:tblGrid>
        <w:gridCol w:w="1129"/>
        <w:gridCol w:w="1276"/>
        <w:gridCol w:w="6656"/>
      </w:tblGrid>
      <w:tr w:rsidR="009F1C44" w:rsidRPr="0016044D" w14:paraId="5C05D24B" w14:textId="77777777" w:rsidTr="005B0DFB">
        <w:tc>
          <w:tcPr>
            <w:tcW w:w="1129" w:type="dxa"/>
            <w:vAlign w:val="center"/>
          </w:tcPr>
          <w:p w14:paraId="3C413A19" w14:textId="77777777" w:rsidR="009F1C44" w:rsidRPr="0016044D" w:rsidRDefault="009F1C44" w:rsidP="009F1C44">
            <w:pPr>
              <w:widowControl w:val="0"/>
              <w:tabs>
                <w:tab w:val="left" w:pos="1695"/>
              </w:tabs>
              <w:spacing w:after="0" w:line="240" w:lineRule="auto"/>
              <w:jc w:val="center"/>
              <w:rPr>
                <w:rFonts w:ascii="Times New Roman" w:eastAsia="Times New Roman" w:hAnsi="Times New Roman" w:cs="Times New Roman"/>
                <w:b/>
                <w:bCs/>
                <w:sz w:val="24"/>
                <w:szCs w:val="24"/>
              </w:rPr>
            </w:pPr>
            <w:r w:rsidRPr="0016044D">
              <w:rPr>
                <w:rFonts w:ascii="Times New Roman" w:eastAsia="Times New Roman" w:hAnsi="Times New Roman" w:cs="Times New Roman"/>
                <w:b/>
                <w:bCs/>
                <w:sz w:val="24"/>
                <w:szCs w:val="24"/>
              </w:rPr>
              <w:t>Fase</w:t>
            </w:r>
          </w:p>
        </w:tc>
        <w:tc>
          <w:tcPr>
            <w:tcW w:w="1276" w:type="dxa"/>
            <w:vAlign w:val="center"/>
          </w:tcPr>
          <w:p w14:paraId="2D5EA6BA" w14:textId="77777777" w:rsidR="009F1C44" w:rsidRPr="0016044D" w:rsidRDefault="009F1C44" w:rsidP="009F1C44">
            <w:pPr>
              <w:widowControl w:val="0"/>
              <w:tabs>
                <w:tab w:val="left" w:pos="1695"/>
              </w:tabs>
              <w:spacing w:after="0" w:line="240" w:lineRule="auto"/>
              <w:jc w:val="center"/>
              <w:rPr>
                <w:rFonts w:ascii="Times New Roman" w:eastAsia="Times New Roman" w:hAnsi="Times New Roman" w:cs="Times New Roman"/>
                <w:b/>
                <w:bCs/>
                <w:sz w:val="24"/>
                <w:szCs w:val="24"/>
              </w:rPr>
            </w:pPr>
            <w:r w:rsidRPr="0016044D">
              <w:rPr>
                <w:rFonts w:ascii="Times New Roman" w:eastAsia="Times New Roman" w:hAnsi="Times New Roman" w:cs="Times New Roman"/>
                <w:b/>
                <w:bCs/>
                <w:sz w:val="24"/>
                <w:szCs w:val="24"/>
              </w:rPr>
              <w:t>Período</w:t>
            </w:r>
          </w:p>
        </w:tc>
        <w:tc>
          <w:tcPr>
            <w:tcW w:w="6656" w:type="dxa"/>
            <w:vAlign w:val="center"/>
          </w:tcPr>
          <w:p w14:paraId="232EF8A7" w14:textId="77777777" w:rsidR="009F1C44" w:rsidRPr="0016044D" w:rsidRDefault="009F1C44" w:rsidP="009F1C44">
            <w:pPr>
              <w:widowControl w:val="0"/>
              <w:tabs>
                <w:tab w:val="left" w:pos="1695"/>
              </w:tabs>
              <w:spacing w:after="0" w:line="240" w:lineRule="auto"/>
              <w:jc w:val="center"/>
              <w:rPr>
                <w:rFonts w:ascii="Times New Roman" w:eastAsia="Times New Roman" w:hAnsi="Times New Roman" w:cs="Times New Roman"/>
                <w:b/>
                <w:bCs/>
                <w:sz w:val="24"/>
                <w:szCs w:val="24"/>
              </w:rPr>
            </w:pPr>
            <w:r w:rsidRPr="0016044D">
              <w:rPr>
                <w:rFonts w:ascii="Times New Roman" w:eastAsia="Times New Roman" w:hAnsi="Times New Roman" w:cs="Times New Roman"/>
                <w:b/>
                <w:bCs/>
                <w:sz w:val="24"/>
                <w:szCs w:val="24"/>
              </w:rPr>
              <w:t>Critério</w:t>
            </w:r>
          </w:p>
        </w:tc>
      </w:tr>
      <w:tr w:rsidR="009F1C44" w:rsidRPr="009F1C44" w14:paraId="02851E2C" w14:textId="77777777" w:rsidTr="005B0DFB">
        <w:tc>
          <w:tcPr>
            <w:tcW w:w="1129" w:type="dxa"/>
            <w:vAlign w:val="center"/>
          </w:tcPr>
          <w:p w14:paraId="666166DA" w14:textId="77777777" w:rsidR="009F1C44" w:rsidRPr="009F1C44" w:rsidRDefault="009F1C44" w:rsidP="009F1C44">
            <w:pPr>
              <w:widowControl w:val="0"/>
              <w:tabs>
                <w:tab w:val="left" w:pos="1695"/>
              </w:tabs>
              <w:spacing w:after="0" w:line="240" w:lineRule="auto"/>
              <w:jc w:val="center"/>
              <w:rPr>
                <w:rFonts w:ascii="Times New Roman" w:eastAsia="Times New Roman" w:hAnsi="Times New Roman" w:cs="Times New Roman"/>
              </w:rPr>
            </w:pPr>
            <w:r w:rsidRPr="009F1C44">
              <w:rPr>
                <w:rFonts w:ascii="Times New Roman" w:eastAsia="Times New Roman" w:hAnsi="Times New Roman" w:cs="Times New Roman"/>
              </w:rPr>
              <w:t>I</w:t>
            </w:r>
          </w:p>
        </w:tc>
        <w:tc>
          <w:tcPr>
            <w:tcW w:w="1276" w:type="dxa"/>
            <w:vAlign w:val="center"/>
          </w:tcPr>
          <w:p w14:paraId="41B3B0B5" w14:textId="77777777" w:rsidR="009F1C44" w:rsidRPr="009F1C44" w:rsidRDefault="009F1C44" w:rsidP="009F1C44">
            <w:pPr>
              <w:widowControl w:val="0"/>
              <w:tabs>
                <w:tab w:val="left" w:pos="1695"/>
              </w:tabs>
              <w:spacing w:after="0" w:line="240" w:lineRule="auto"/>
              <w:jc w:val="center"/>
              <w:rPr>
                <w:rFonts w:ascii="Times New Roman" w:eastAsia="Times New Roman" w:hAnsi="Times New Roman" w:cs="Times New Roman"/>
              </w:rPr>
            </w:pPr>
            <w:r w:rsidRPr="009F1C44">
              <w:rPr>
                <w:rFonts w:ascii="Times New Roman" w:eastAsia="Times New Roman" w:hAnsi="Times New Roman" w:cs="Times New Roman"/>
              </w:rPr>
              <w:t>2005/2006</w:t>
            </w:r>
          </w:p>
        </w:tc>
        <w:tc>
          <w:tcPr>
            <w:tcW w:w="6656" w:type="dxa"/>
            <w:vAlign w:val="center"/>
          </w:tcPr>
          <w:p w14:paraId="258EDEBB" w14:textId="77777777" w:rsidR="009F1C44" w:rsidRPr="009F1C44" w:rsidRDefault="009F1C44" w:rsidP="009F1C44">
            <w:pPr>
              <w:widowControl w:val="0"/>
              <w:tabs>
                <w:tab w:val="left" w:pos="1695"/>
              </w:tabs>
              <w:spacing w:after="0" w:line="240" w:lineRule="auto"/>
              <w:rPr>
                <w:rFonts w:ascii="Times New Roman" w:eastAsia="Times New Roman" w:hAnsi="Times New Roman" w:cs="Times New Roman"/>
              </w:rPr>
            </w:pPr>
            <w:r w:rsidRPr="009F1C44">
              <w:rPr>
                <w:rFonts w:ascii="Times New Roman" w:eastAsia="Times New Roman" w:hAnsi="Times New Roman" w:cs="Times New Roman"/>
              </w:rPr>
              <w:t>a) Unidades da Federação que não possuíssem nenhuma escola da Rede Federal;</w:t>
            </w:r>
          </w:p>
          <w:p w14:paraId="750370A4" w14:textId="77777777" w:rsidR="009F1C44" w:rsidRPr="009F1C44" w:rsidRDefault="009F1C44" w:rsidP="009F1C44">
            <w:pPr>
              <w:widowControl w:val="0"/>
              <w:tabs>
                <w:tab w:val="left" w:pos="1695"/>
              </w:tabs>
              <w:spacing w:after="0" w:line="240" w:lineRule="auto"/>
              <w:rPr>
                <w:rFonts w:ascii="Times New Roman" w:eastAsia="Times New Roman" w:hAnsi="Times New Roman" w:cs="Times New Roman"/>
              </w:rPr>
            </w:pPr>
            <w:r w:rsidRPr="009F1C44">
              <w:rPr>
                <w:rFonts w:ascii="Times New Roman" w:eastAsia="Times New Roman" w:hAnsi="Times New Roman" w:cs="Times New Roman"/>
              </w:rPr>
              <w:t>b) Regiões mais interioranas do país;</w:t>
            </w:r>
          </w:p>
          <w:p w14:paraId="20053313" w14:textId="77777777" w:rsidR="009F1C44" w:rsidRPr="009F1C44" w:rsidRDefault="009F1C44" w:rsidP="009F1C44">
            <w:pPr>
              <w:widowControl w:val="0"/>
              <w:tabs>
                <w:tab w:val="left" w:pos="1695"/>
              </w:tabs>
              <w:spacing w:after="0" w:line="240" w:lineRule="auto"/>
              <w:rPr>
                <w:rFonts w:ascii="Times New Roman" w:eastAsia="Times New Roman" w:hAnsi="Times New Roman" w:cs="Times New Roman"/>
              </w:rPr>
            </w:pPr>
            <w:r w:rsidRPr="009F1C44">
              <w:rPr>
                <w:rFonts w:ascii="Times New Roman" w:eastAsia="Times New Roman" w:hAnsi="Times New Roman" w:cs="Times New Roman"/>
              </w:rPr>
              <w:t>c) Periferias dos grandes centros urbanos.</w:t>
            </w:r>
          </w:p>
        </w:tc>
      </w:tr>
      <w:tr w:rsidR="009F1C44" w:rsidRPr="009F1C44" w14:paraId="1AF8810E" w14:textId="77777777" w:rsidTr="005B0DFB">
        <w:tc>
          <w:tcPr>
            <w:tcW w:w="1129" w:type="dxa"/>
            <w:vAlign w:val="center"/>
          </w:tcPr>
          <w:p w14:paraId="47E32F49" w14:textId="77777777" w:rsidR="009F1C44" w:rsidRPr="009F1C44" w:rsidRDefault="009F1C44" w:rsidP="009F1C44">
            <w:pPr>
              <w:widowControl w:val="0"/>
              <w:tabs>
                <w:tab w:val="left" w:pos="1695"/>
              </w:tabs>
              <w:spacing w:after="0" w:line="240" w:lineRule="auto"/>
              <w:jc w:val="center"/>
              <w:rPr>
                <w:rFonts w:ascii="Times New Roman" w:eastAsia="Times New Roman" w:hAnsi="Times New Roman" w:cs="Times New Roman"/>
              </w:rPr>
            </w:pPr>
            <w:r w:rsidRPr="009F1C44">
              <w:rPr>
                <w:rFonts w:ascii="Times New Roman" w:eastAsia="Times New Roman" w:hAnsi="Times New Roman" w:cs="Times New Roman"/>
              </w:rPr>
              <w:t>II</w:t>
            </w:r>
          </w:p>
        </w:tc>
        <w:tc>
          <w:tcPr>
            <w:tcW w:w="1276" w:type="dxa"/>
            <w:vAlign w:val="center"/>
          </w:tcPr>
          <w:p w14:paraId="7199F14A" w14:textId="77777777" w:rsidR="009F1C44" w:rsidRPr="009F1C44" w:rsidRDefault="009F1C44" w:rsidP="009F1C44">
            <w:pPr>
              <w:widowControl w:val="0"/>
              <w:tabs>
                <w:tab w:val="left" w:pos="1695"/>
              </w:tabs>
              <w:spacing w:after="0" w:line="240" w:lineRule="auto"/>
              <w:jc w:val="center"/>
              <w:rPr>
                <w:rFonts w:ascii="Times New Roman" w:eastAsia="Times New Roman" w:hAnsi="Times New Roman" w:cs="Times New Roman"/>
              </w:rPr>
            </w:pPr>
            <w:r w:rsidRPr="009F1C44">
              <w:rPr>
                <w:rFonts w:ascii="Times New Roman" w:eastAsia="Times New Roman" w:hAnsi="Times New Roman" w:cs="Times New Roman"/>
              </w:rPr>
              <w:t>2007/2010</w:t>
            </w:r>
          </w:p>
        </w:tc>
        <w:tc>
          <w:tcPr>
            <w:tcW w:w="6656" w:type="dxa"/>
            <w:vAlign w:val="center"/>
          </w:tcPr>
          <w:p w14:paraId="39CA98B2" w14:textId="77777777" w:rsidR="009F1C44" w:rsidRPr="009F1C44" w:rsidRDefault="009F1C44" w:rsidP="009F1C44">
            <w:pPr>
              <w:widowControl w:val="0"/>
              <w:tabs>
                <w:tab w:val="left" w:pos="1695"/>
              </w:tabs>
              <w:spacing w:after="0" w:line="240" w:lineRule="auto"/>
              <w:rPr>
                <w:rFonts w:ascii="Times New Roman" w:eastAsia="Times New Roman" w:hAnsi="Times New Roman" w:cs="Times New Roman"/>
              </w:rPr>
            </w:pPr>
            <w:r w:rsidRPr="009F1C44">
              <w:rPr>
                <w:rFonts w:ascii="Times New Roman" w:eastAsia="Times New Roman" w:hAnsi="Times New Roman" w:cs="Times New Roman"/>
              </w:rPr>
              <w:t xml:space="preserve">a) Distribuição territorial equilibrada das novas unidades de ensino; </w:t>
            </w:r>
          </w:p>
          <w:p w14:paraId="2C50C566" w14:textId="77777777" w:rsidR="009F1C44" w:rsidRPr="009F1C44" w:rsidRDefault="009F1C44" w:rsidP="009F1C44">
            <w:pPr>
              <w:widowControl w:val="0"/>
              <w:tabs>
                <w:tab w:val="left" w:pos="1695"/>
              </w:tabs>
              <w:spacing w:after="0" w:line="240" w:lineRule="auto"/>
              <w:rPr>
                <w:rFonts w:ascii="Times New Roman" w:eastAsia="Times New Roman" w:hAnsi="Times New Roman" w:cs="Times New Roman"/>
              </w:rPr>
            </w:pPr>
            <w:r w:rsidRPr="009F1C44">
              <w:rPr>
                <w:rFonts w:ascii="Times New Roman" w:eastAsia="Times New Roman" w:hAnsi="Times New Roman" w:cs="Times New Roman"/>
              </w:rPr>
              <w:t xml:space="preserve">b) Cobertura do maior número possível de mesorregiões em cada Unidade da Federação; </w:t>
            </w:r>
          </w:p>
          <w:p w14:paraId="31B1A0A3" w14:textId="77777777" w:rsidR="009F1C44" w:rsidRPr="009F1C44" w:rsidRDefault="009F1C44" w:rsidP="009F1C44">
            <w:pPr>
              <w:widowControl w:val="0"/>
              <w:tabs>
                <w:tab w:val="left" w:pos="1695"/>
              </w:tabs>
              <w:spacing w:after="0" w:line="240" w:lineRule="auto"/>
              <w:rPr>
                <w:rFonts w:ascii="Times New Roman" w:eastAsia="Times New Roman" w:hAnsi="Times New Roman" w:cs="Times New Roman"/>
              </w:rPr>
            </w:pPr>
            <w:r w:rsidRPr="009F1C44">
              <w:rPr>
                <w:rFonts w:ascii="Times New Roman" w:eastAsia="Times New Roman" w:hAnsi="Times New Roman" w:cs="Times New Roman"/>
              </w:rPr>
              <w:t xml:space="preserve">c) Proximidade das novas unidades de ensino aos Arranjos Produtivos Locais instalados e em desenvolvimento; </w:t>
            </w:r>
          </w:p>
          <w:p w14:paraId="066C6B1B" w14:textId="77777777" w:rsidR="009F1C44" w:rsidRPr="009F1C44" w:rsidRDefault="009F1C44" w:rsidP="009F1C44">
            <w:pPr>
              <w:widowControl w:val="0"/>
              <w:tabs>
                <w:tab w:val="left" w:pos="1695"/>
              </w:tabs>
              <w:spacing w:after="0" w:line="240" w:lineRule="auto"/>
              <w:rPr>
                <w:rFonts w:ascii="Times New Roman" w:eastAsia="Times New Roman" w:hAnsi="Times New Roman" w:cs="Times New Roman"/>
              </w:rPr>
            </w:pPr>
            <w:r w:rsidRPr="009F1C44">
              <w:rPr>
                <w:rFonts w:ascii="Times New Roman" w:eastAsia="Times New Roman" w:hAnsi="Times New Roman" w:cs="Times New Roman"/>
              </w:rPr>
              <w:t xml:space="preserve">d) Interiorização da oferta pública de educação profissional e de ensino superior; </w:t>
            </w:r>
          </w:p>
          <w:p w14:paraId="08558EC7" w14:textId="77777777" w:rsidR="009F1C44" w:rsidRPr="009F1C44" w:rsidRDefault="009F1C44" w:rsidP="009F1C44">
            <w:pPr>
              <w:widowControl w:val="0"/>
              <w:tabs>
                <w:tab w:val="left" w:pos="1695"/>
              </w:tabs>
              <w:spacing w:after="0" w:line="240" w:lineRule="auto"/>
              <w:rPr>
                <w:rFonts w:ascii="Times New Roman" w:eastAsia="Times New Roman" w:hAnsi="Times New Roman" w:cs="Times New Roman"/>
              </w:rPr>
            </w:pPr>
            <w:r w:rsidRPr="009F1C44">
              <w:rPr>
                <w:rFonts w:ascii="Times New Roman" w:eastAsia="Times New Roman" w:hAnsi="Times New Roman" w:cs="Times New Roman"/>
              </w:rPr>
              <w:t xml:space="preserve">e) Redução dos fluxos migratórios originados nas regiões interioranas com destino aos principais centros urbanos; </w:t>
            </w:r>
          </w:p>
          <w:p w14:paraId="555322F6" w14:textId="77777777" w:rsidR="009F1C44" w:rsidRPr="009F1C44" w:rsidRDefault="009F1C44" w:rsidP="009F1C44">
            <w:pPr>
              <w:widowControl w:val="0"/>
              <w:tabs>
                <w:tab w:val="left" w:pos="1695"/>
              </w:tabs>
              <w:spacing w:after="0" w:line="240" w:lineRule="auto"/>
              <w:rPr>
                <w:rFonts w:ascii="Times New Roman" w:eastAsia="Times New Roman" w:hAnsi="Times New Roman" w:cs="Times New Roman"/>
              </w:rPr>
            </w:pPr>
            <w:r w:rsidRPr="009F1C44">
              <w:rPr>
                <w:rFonts w:ascii="Times New Roman" w:eastAsia="Times New Roman" w:hAnsi="Times New Roman" w:cs="Times New Roman"/>
              </w:rPr>
              <w:t xml:space="preserve">f) Aproveitamento de infraestruturas físicas existentes; </w:t>
            </w:r>
          </w:p>
          <w:p w14:paraId="717119D2" w14:textId="77777777" w:rsidR="009F1C44" w:rsidRPr="009F1C44" w:rsidRDefault="009F1C44" w:rsidP="009F1C44">
            <w:pPr>
              <w:widowControl w:val="0"/>
              <w:tabs>
                <w:tab w:val="left" w:pos="1695"/>
              </w:tabs>
              <w:spacing w:after="0" w:line="240" w:lineRule="auto"/>
              <w:rPr>
                <w:rFonts w:ascii="Times New Roman" w:eastAsia="Times New Roman" w:hAnsi="Times New Roman" w:cs="Times New Roman"/>
              </w:rPr>
            </w:pPr>
            <w:r w:rsidRPr="009F1C44">
              <w:rPr>
                <w:rFonts w:ascii="Times New Roman" w:eastAsia="Times New Roman" w:hAnsi="Times New Roman" w:cs="Times New Roman"/>
              </w:rPr>
              <w:t>g) Identificação de potenciais parcerias.</w:t>
            </w:r>
          </w:p>
        </w:tc>
      </w:tr>
      <w:tr w:rsidR="009F1C44" w:rsidRPr="009F1C44" w14:paraId="063E8A3C" w14:textId="77777777" w:rsidTr="005B0DFB">
        <w:tc>
          <w:tcPr>
            <w:tcW w:w="1129" w:type="dxa"/>
            <w:vAlign w:val="center"/>
          </w:tcPr>
          <w:p w14:paraId="4A7BC1FD" w14:textId="77777777" w:rsidR="009F1C44" w:rsidRPr="009F1C44" w:rsidRDefault="009F1C44" w:rsidP="009F1C44">
            <w:pPr>
              <w:widowControl w:val="0"/>
              <w:tabs>
                <w:tab w:val="left" w:pos="1695"/>
              </w:tabs>
              <w:spacing w:after="0" w:line="240" w:lineRule="auto"/>
              <w:jc w:val="center"/>
              <w:rPr>
                <w:rFonts w:ascii="Times New Roman" w:eastAsia="Times New Roman" w:hAnsi="Times New Roman" w:cs="Times New Roman"/>
              </w:rPr>
            </w:pPr>
            <w:r w:rsidRPr="009F1C44">
              <w:rPr>
                <w:rFonts w:ascii="Times New Roman" w:eastAsia="Times New Roman" w:hAnsi="Times New Roman" w:cs="Times New Roman"/>
              </w:rPr>
              <w:t>III</w:t>
            </w:r>
          </w:p>
        </w:tc>
        <w:tc>
          <w:tcPr>
            <w:tcW w:w="1276" w:type="dxa"/>
            <w:vAlign w:val="center"/>
          </w:tcPr>
          <w:p w14:paraId="08CDE0D4" w14:textId="77777777" w:rsidR="009F1C44" w:rsidRPr="009F1C44" w:rsidRDefault="009F1C44" w:rsidP="009F1C44">
            <w:pPr>
              <w:widowControl w:val="0"/>
              <w:tabs>
                <w:tab w:val="left" w:pos="1695"/>
              </w:tabs>
              <w:spacing w:after="0" w:line="240" w:lineRule="auto"/>
              <w:jc w:val="center"/>
              <w:rPr>
                <w:rFonts w:ascii="Times New Roman" w:eastAsia="Times New Roman" w:hAnsi="Times New Roman" w:cs="Times New Roman"/>
              </w:rPr>
            </w:pPr>
            <w:r w:rsidRPr="009F1C44">
              <w:rPr>
                <w:rFonts w:ascii="Times New Roman" w:eastAsia="Times New Roman" w:hAnsi="Times New Roman" w:cs="Times New Roman"/>
              </w:rPr>
              <w:t>2011/2014</w:t>
            </w:r>
          </w:p>
        </w:tc>
        <w:tc>
          <w:tcPr>
            <w:tcW w:w="6656" w:type="dxa"/>
            <w:vAlign w:val="center"/>
          </w:tcPr>
          <w:p w14:paraId="5D36D74B" w14:textId="77777777" w:rsidR="009F1C44" w:rsidRPr="009F1C44" w:rsidRDefault="009F1C44" w:rsidP="009F1C44">
            <w:pPr>
              <w:widowControl w:val="0"/>
              <w:tabs>
                <w:tab w:val="left" w:pos="1695"/>
              </w:tabs>
              <w:spacing w:after="0" w:line="240" w:lineRule="auto"/>
              <w:rPr>
                <w:rFonts w:ascii="Times New Roman" w:eastAsia="Times New Roman" w:hAnsi="Times New Roman" w:cs="Times New Roman"/>
              </w:rPr>
            </w:pPr>
            <w:r w:rsidRPr="009F1C44">
              <w:rPr>
                <w:rFonts w:ascii="Times New Roman" w:eastAsia="Times New Roman" w:hAnsi="Times New Roman" w:cs="Times New Roman"/>
              </w:rPr>
              <w:t xml:space="preserve">a) Inserção no Programa Território da Cidadania de modo que haja pelo menos uma unidade da Rede Federal em cada um desses Territórios; </w:t>
            </w:r>
          </w:p>
          <w:p w14:paraId="1BEE2D84" w14:textId="77777777" w:rsidR="009F1C44" w:rsidRPr="009F1C44" w:rsidRDefault="009F1C44" w:rsidP="009F1C44">
            <w:pPr>
              <w:widowControl w:val="0"/>
              <w:tabs>
                <w:tab w:val="left" w:pos="1695"/>
              </w:tabs>
              <w:spacing w:after="0" w:line="240" w:lineRule="auto"/>
              <w:rPr>
                <w:rFonts w:ascii="Times New Roman" w:eastAsia="Times New Roman" w:hAnsi="Times New Roman" w:cs="Times New Roman"/>
              </w:rPr>
            </w:pPr>
            <w:r w:rsidRPr="009F1C44">
              <w:rPr>
                <w:rFonts w:ascii="Times New Roman" w:eastAsia="Times New Roman" w:hAnsi="Times New Roman" w:cs="Times New Roman"/>
              </w:rPr>
              <w:t>b) Municípios populosos e com baixa receita per capita priorizando os municípios que compõem o grupo de cidades com mais de 80.000 habitantes e que possui receita per capita inferior a R$1.000,00, o chamado G100;</w:t>
            </w:r>
          </w:p>
          <w:p w14:paraId="1B54EF8E" w14:textId="77777777" w:rsidR="009F1C44" w:rsidRPr="009F1C44" w:rsidRDefault="009F1C44" w:rsidP="009F1C44">
            <w:pPr>
              <w:widowControl w:val="0"/>
              <w:tabs>
                <w:tab w:val="left" w:pos="1695"/>
              </w:tabs>
              <w:spacing w:after="0" w:line="240" w:lineRule="auto"/>
              <w:rPr>
                <w:rFonts w:ascii="Times New Roman" w:eastAsia="Times New Roman" w:hAnsi="Times New Roman" w:cs="Times New Roman"/>
              </w:rPr>
            </w:pPr>
            <w:r w:rsidRPr="009F1C44">
              <w:rPr>
                <w:rFonts w:ascii="Times New Roman" w:eastAsia="Times New Roman" w:hAnsi="Times New Roman" w:cs="Times New Roman"/>
              </w:rPr>
              <w:t xml:space="preserve">c) Municípios em microrregiões não atendidas por escolas federais, </w:t>
            </w:r>
            <w:r w:rsidRPr="009F1C44">
              <w:rPr>
                <w:rFonts w:ascii="Times New Roman" w:eastAsia="Times New Roman" w:hAnsi="Times New Roman" w:cs="Times New Roman"/>
              </w:rPr>
              <w:lastRenderedPageBreak/>
              <w:t xml:space="preserve">preferencialmente, os que tenham mais de 50.000 habitantes; </w:t>
            </w:r>
          </w:p>
          <w:p w14:paraId="2476E2D2" w14:textId="77777777" w:rsidR="009F1C44" w:rsidRPr="009F1C44" w:rsidRDefault="009F1C44" w:rsidP="009F1C44">
            <w:pPr>
              <w:widowControl w:val="0"/>
              <w:tabs>
                <w:tab w:val="left" w:pos="1695"/>
              </w:tabs>
              <w:spacing w:after="0" w:line="240" w:lineRule="auto"/>
              <w:rPr>
                <w:rFonts w:ascii="Times New Roman" w:eastAsia="Times New Roman" w:hAnsi="Times New Roman" w:cs="Times New Roman"/>
              </w:rPr>
            </w:pPr>
            <w:r w:rsidRPr="009F1C44">
              <w:rPr>
                <w:rFonts w:ascii="Times New Roman" w:eastAsia="Times New Roman" w:hAnsi="Times New Roman" w:cs="Times New Roman"/>
              </w:rPr>
              <w:t xml:space="preserve">d) Universalização do atendimento às mesorregiões brasileiras, considerando que em todas as mesorregiões haja uma ou mais unidades da Rede Federal; </w:t>
            </w:r>
          </w:p>
          <w:p w14:paraId="7FE849A8" w14:textId="77777777" w:rsidR="009F1C44" w:rsidRPr="009F1C44" w:rsidRDefault="009F1C44" w:rsidP="009F1C44">
            <w:pPr>
              <w:widowControl w:val="0"/>
              <w:tabs>
                <w:tab w:val="left" w:pos="1695"/>
              </w:tabs>
              <w:spacing w:after="0" w:line="240" w:lineRule="auto"/>
              <w:rPr>
                <w:rFonts w:ascii="Times New Roman" w:eastAsia="Times New Roman" w:hAnsi="Times New Roman" w:cs="Times New Roman"/>
              </w:rPr>
            </w:pPr>
            <w:r w:rsidRPr="009F1C44">
              <w:rPr>
                <w:rFonts w:ascii="Times New Roman" w:eastAsia="Times New Roman" w:hAnsi="Times New Roman" w:cs="Times New Roman"/>
              </w:rPr>
              <w:t xml:space="preserve">e) Localidades que receberam investimentos do Plano de Aceleração do Crescimento – PAC; </w:t>
            </w:r>
          </w:p>
          <w:p w14:paraId="0D5EBB27" w14:textId="77777777" w:rsidR="009F1C44" w:rsidRPr="009F1C44" w:rsidRDefault="009F1C44" w:rsidP="009F1C44">
            <w:pPr>
              <w:widowControl w:val="0"/>
              <w:tabs>
                <w:tab w:val="left" w:pos="1695"/>
              </w:tabs>
              <w:spacing w:after="0" w:line="240" w:lineRule="auto"/>
              <w:rPr>
                <w:rFonts w:ascii="Times New Roman" w:eastAsia="Times New Roman" w:hAnsi="Times New Roman" w:cs="Times New Roman"/>
              </w:rPr>
            </w:pPr>
            <w:r w:rsidRPr="009F1C44">
              <w:rPr>
                <w:rFonts w:ascii="Times New Roman" w:eastAsia="Times New Roman" w:hAnsi="Times New Roman" w:cs="Times New Roman"/>
              </w:rPr>
              <w:t>f) Municípios com Arranjos Produtivos Locais identificados; entorno de grandes investimentos e os municípios com elevado percentual de extrema pobreza.</w:t>
            </w:r>
          </w:p>
        </w:tc>
      </w:tr>
    </w:tbl>
    <w:p w14:paraId="2849C2B7" w14:textId="77777777" w:rsidR="009F1C44" w:rsidRPr="009F1C44" w:rsidRDefault="009F1C44" w:rsidP="009F1C44">
      <w:pPr>
        <w:widowControl w:val="0"/>
        <w:tabs>
          <w:tab w:val="left" w:pos="1695"/>
        </w:tabs>
        <w:spacing w:after="0" w:line="360" w:lineRule="auto"/>
        <w:jc w:val="both"/>
        <w:rPr>
          <w:rFonts w:ascii="Times New Roman" w:eastAsia="Times New Roman" w:hAnsi="Times New Roman" w:cs="Times New Roman"/>
          <w:sz w:val="20"/>
          <w:szCs w:val="20"/>
        </w:rPr>
      </w:pPr>
      <w:r w:rsidRPr="009F1C44">
        <w:rPr>
          <w:rFonts w:ascii="Times New Roman" w:eastAsia="Times New Roman" w:hAnsi="Times New Roman" w:cs="Times New Roman"/>
          <w:sz w:val="20"/>
          <w:szCs w:val="20"/>
        </w:rPr>
        <w:lastRenderedPageBreak/>
        <w:t>Fonte: Brasil (2005b, 2007, 2012). Elaborado pelas autoras.</w:t>
      </w:r>
    </w:p>
    <w:p w14:paraId="30BFB2AF" w14:textId="77777777" w:rsidR="009F1C44" w:rsidRPr="009F1C44" w:rsidRDefault="009F1C44" w:rsidP="00506CD8">
      <w:pPr>
        <w:widowControl w:val="0"/>
        <w:tabs>
          <w:tab w:val="left" w:pos="1695"/>
        </w:tabs>
        <w:spacing w:after="0" w:line="360" w:lineRule="auto"/>
        <w:ind w:firstLine="709"/>
        <w:jc w:val="both"/>
        <w:rPr>
          <w:rFonts w:ascii="Times New Roman" w:eastAsia="Times New Roman" w:hAnsi="Times New Roman" w:cs="Times New Roman"/>
          <w:sz w:val="24"/>
          <w:szCs w:val="24"/>
        </w:rPr>
      </w:pPr>
    </w:p>
    <w:p w14:paraId="4536B300" w14:textId="77777777" w:rsidR="009F1C44" w:rsidRPr="009F1C44" w:rsidRDefault="009F1C44" w:rsidP="00506CD8">
      <w:pPr>
        <w:widowControl w:val="0"/>
        <w:tabs>
          <w:tab w:val="left" w:pos="1695"/>
        </w:tabs>
        <w:spacing w:after="0" w:line="360" w:lineRule="auto"/>
        <w:ind w:firstLine="709"/>
        <w:jc w:val="both"/>
        <w:rPr>
          <w:rFonts w:ascii="Times New Roman" w:eastAsia="Calibri" w:hAnsi="Times New Roman" w:cs="Times New Roman"/>
          <w:sz w:val="24"/>
          <w:szCs w:val="24"/>
        </w:rPr>
      </w:pPr>
      <w:r w:rsidRPr="009F1C44">
        <w:rPr>
          <w:rFonts w:ascii="Times New Roman" w:eastAsia="Times New Roman" w:hAnsi="Times New Roman" w:cs="Times New Roman"/>
          <w:sz w:val="24"/>
          <w:szCs w:val="24"/>
        </w:rPr>
        <w:t xml:space="preserve">Após 2014 novas unidades da Rede Federal foram criadas, algumas remanescentes da Fase III, porém em ritmo mais lento em comparação aos períodos iniciais da expansão. Chegou-se a 665 unidades em 2020 incluindo os IFs, a UTFPR, os CEFETs, as Escolas Técnicas e o Colégio Pedro II (BRASIL, 2021). Não foram localizados documentos que indicassem um novo plano ou fase de expansão, ou até mesmo uma prorrogação da última fase. Com base na pesquisa documental elaborou-se a Figura 1 que apresenta a evolução da </w:t>
      </w:r>
      <w:r w:rsidRPr="009F1C44">
        <w:rPr>
          <w:rFonts w:ascii="Times New Roman" w:eastAsia="Calibri" w:hAnsi="Times New Roman" w:cs="Times New Roman"/>
          <w:sz w:val="24"/>
          <w:szCs w:val="24"/>
        </w:rPr>
        <w:t>RFEPCT nas cinco regiões brasileiras.</w:t>
      </w:r>
    </w:p>
    <w:p w14:paraId="5E7DCF28" w14:textId="77777777" w:rsidR="009F1C44" w:rsidRPr="009F1C44" w:rsidRDefault="009F1C44" w:rsidP="00506CD8">
      <w:pPr>
        <w:widowControl w:val="0"/>
        <w:tabs>
          <w:tab w:val="left" w:pos="1695"/>
        </w:tabs>
        <w:spacing w:after="0" w:line="360" w:lineRule="auto"/>
        <w:ind w:firstLine="709"/>
        <w:jc w:val="both"/>
        <w:rPr>
          <w:rFonts w:ascii="Times New Roman" w:eastAsia="Calibri" w:hAnsi="Times New Roman" w:cs="Times New Roman"/>
          <w:sz w:val="24"/>
          <w:szCs w:val="24"/>
        </w:rPr>
      </w:pPr>
    </w:p>
    <w:p w14:paraId="1B81084D" w14:textId="77777777" w:rsidR="009F1C44" w:rsidRPr="009F1C44" w:rsidRDefault="009F1C44" w:rsidP="009F1C44">
      <w:pPr>
        <w:widowControl w:val="0"/>
        <w:tabs>
          <w:tab w:val="left" w:pos="1695"/>
        </w:tabs>
        <w:spacing w:after="0" w:line="240" w:lineRule="auto"/>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Figura 1 – Distribuição das unidades da RFEPCT: por região e por fase de expansão</w:t>
      </w:r>
    </w:p>
    <w:p w14:paraId="4028327C" w14:textId="77777777" w:rsidR="009F1C44" w:rsidRPr="009F1C44" w:rsidRDefault="009F1C44" w:rsidP="009F1C44">
      <w:pPr>
        <w:widowControl w:val="0"/>
        <w:tabs>
          <w:tab w:val="left" w:pos="1695"/>
        </w:tabs>
        <w:spacing w:after="0" w:line="240" w:lineRule="auto"/>
        <w:jc w:val="both"/>
        <w:rPr>
          <w:rFonts w:ascii="Times New Roman" w:eastAsia="Times New Roman" w:hAnsi="Times New Roman" w:cs="Times New Roman"/>
          <w:sz w:val="24"/>
          <w:szCs w:val="24"/>
        </w:rPr>
      </w:pPr>
      <w:r w:rsidRPr="009F1C44">
        <w:rPr>
          <w:rFonts w:ascii="Times New Roman" w:eastAsia="Calibri" w:hAnsi="Times New Roman" w:cs="Times New Roman"/>
          <w:noProof/>
        </w:rPr>
        <w:drawing>
          <wp:inline distT="0" distB="0" distL="0" distR="0" wp14:anchorId="2B95FFC6" wp14:editId="72A1D929">
            <wp:extent cx="5760085" cy="3105150"/>
            <wp:effectExtent l="0" t="0" r="12065" b="0"/>
            <wp:docPr id="4" name="Gráfico 4">
              <a:extLst xmlns:a="http://schemas.openxmlformats.org/drawingml/2006/main">
                <a:ext uri="{FF2B5EF4-FFF2-40B4-BE49-F238E27FC236}">
                  <a16:creationId xmlns:a16="http://schemas.microsoft.com/office/drawing/2014/main" id="{4632F169-9681-574F-219A-64AE712E3B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125A7F2" w14:textId="77777777" w:rsidR="009F1C44" w:rsidRPr="009F1C44" w:rsidRDefault="009F1C44" w:rsidP="009F1C44">
      <w:pPr>
        <w:widowControl w:val="0"/>
        <w:tabs>
          <w:tab w:val="left" w:pos="1695"/>
        </w:tabs>
        <w:spacing w:after="0" w:line="360" w:lineRule="auto"/>
        <w:jc w:val="both"/>
        <w:rPr>
          <w:rFonts w:ascii="Times New Roman" w:eastAsia="Times New Roman" w:hAnsi="Times New Roman" w:cs="Times New Roman"/>
          <w:sz w:val="20"/>
          <w:szCs w:val="20"/>
        </w:rPr>
      </w:pPr>
      <w:r w:rsidRPr="009F1C44">
        <w:rPr>
          <w:rFonts w:ascii="Times New Roman" w:eastAsia="Times New Roman" w:hAnsi="Times New Roman" w:cs="Times New Roman"/>
          <w:sz w:val="20"/>
          <w:szCs w:val="20"/>
        </w:rPr>
        <w:t>Fonte: Brasil (2021). Elaborado pelas autoras.</w:t>
      </w:r>
    </w:p>
    <w:p w14:paraId="7CA8D424" w14:textId="77777777" w:rsidR="009F1C44" w:rsidRPr="009F1C44" w:rsidRDefault="009F1C44" w:rsidP="009F1C44">
      <w:pPr>
        <w:widowControl w:val="0"/>
        <w:tabs>
          <w:tab w:val="left" w:pos="1695"/>
        </w:tabs>
        <w:spacing w:after="0" w:line="360" w:lineRule="auto"/>
        <w:jc w:val="both"/>
        <w:rPr>
          <w:rFonts w:ascii="Times New Roman" w:eastAsia="Times New Roman" w:hAnsi="Times New Roman" w:cs="Times New Roman"/>
          <w:sz w:val="20"/>
          <w:szCs w:val="20"/>
        </w:rPr>
      </w:pPr>
    </w:p>
    <w:p w14:paraId="73DF5220" w14:textId="77777777" w:rsidR="009F1C44" w:rsidRPr="009F1C44" w:rsidRDefault="009F1C44" w:rsidP="00506CD8">
      <w:pPr>
        <w:widowControl w:val="0"/>
        <w:tabs>
          <w:tab w:val="left" w:pos="1695"/>
        </w:tabs>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lastRenderedPageBreak/>
        <w:t>Com base nos dados levantados vê-se que a região Nordeste possui maior número de unidades com 221, seguida das regiões Sudeste (180) e Sul (119). O Nordeste foi a região do País que recebeu mais unidades durante todo o período de expansão. Considerando apenas as unidades criadas entre 2005 e 2014, houve um aumento de 433% no Centro-Oeste, 204% no Nordeste e no Sul, 193% no Sudeste e de 147% no Norte. No total das regiões a expansão atingiu 208% até 2014 e 372% até o ano de 2020.</w:t>
      </w:r>
    </w:p>
    <w:p w14:paraId="595E88F0" w14:textId="77777777" w:rsidR="009F1C44" w:rsidRPr="009F1C44" w:rsidRDefault="009F1C44" w:rsidP="00506CD8">
      <w:pPr>
        <w:widowControl w:val="0"/>
        <w:tabs>
          <w:tab w:val="left" w:pos="1695"/>
        </w:tabs>
        <w:spacing w:after="0" w:line="360" w:lineRule="auto"/>
        <w:ind w:firstLine="709"/>
        <w:jc w:val="both"/>
        <w:rPr>
          <w:rFonts w:ascii="Times New Roman" w:eastAsia="Times New Roman" w:hAnsi="Times New Roman" w:cs="Times New Roman"/>
          <w:b/>
          <w:bCs/>
          <w:sz w:val="24"/>
          <w:szCs w:val="24"/>
        </w:rPr>
      </w:pPr>
    </w:p>
    <w:p w14:paraId="2B956F01" w14:textId="7FCCEA8C" w:rsidR="009F1C44" w:rsidRPr="009F1C44" w:rsidRDefault="000625AD" w:rsidP="00506CD8">
      <w:pPr>
        <w:widowControl w:val="0"/>
        <w:tabs>
          <w:tab w:val="left" w:pos="1695"/>
        </w:tabs>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4 </w:t>
      </w:r>
      <w:r w:rsidRPr="009F1C44">
        <w:rPr>
          <w:rFonts w:ascii="Times New Roman" w:eastAsia="Times New Roman" w:hAnsi="Times New Roman" w:cs="Times New Roman"/>
          <w:b/>
          <w:bCs/>
          <w:sz w:val="24"/>
          <w:szCs w:val="24"/>
        </w:rPr>
        <w:t>EXPANSÃO DA REDE FEDERAL NO ESTADO DO PARANÁ E A ATUAÇÃO DO IFPR</w:t>
      </w:r>
    </w:p>
    <w:p w14:paraId="1ED04FC2" w14:textId="77777777" w:rsidR="009F1C44" w:rsidRPr="009F1C44" w:rsidRDefault="009F1C44" w:rsidP="00506CD8">
      <w:pPr>
        <w:widowControl w:val="0"/>
        <w:spacing w:after="0" w:line="360" w:lineRule="auto"/>
        <w:ind w:firstLine="709"/>
        <w:jc w:val="both"/>
        <w:rPr>
          <w:rFonts w:ascii="Times New Roman" w:eastAsia="Times New Roman" w:hAnsi="Times New Roman" w:cs="Times New Roman"/>
          <w:sz w:val="24"/>
          <w:szCs w:val="24"/>
        </w:rPr>
      </w:pPr>
      <w:r w:rsidRPr="009F1C44">
        <w:rPr>
          <w:rFonts w:ascii="Times New Roman" w:eastAsia="Calibri" w:hAnsi="Times New Roman" w:cs="Times New Roman"/>
          <w:sz w:val="24"/>
          <w:szCs w:val="24"/>
        </w:rPr>
        <w:t xml:space="preserve">No Estado do Paraná a </w:t>
      </w:r>
      <w:r w:rsidRPr="009F1C44">
        <w:rPr>
          <w:rFonts w:ascii="Times New Roman" w:eastAsia="Times New Roman" w:hAnsi="Times New Roman" w:cs="Times New Roman"/>
          <w:sz w:val="24"/>
          <w:szCs w:val="24"/>
        </w:rPr>
        <w:t xml:space="preserve">RFEPCT é constituída pela UTFPR e pelo IFPR. A UTFPR foi criada por meio da Lei nº 11.184/2005, cuja origem remonta ao CEFET-PR que teve como protoforma uma das Escolas de Aprendizes Artífices, fundada em 1909. Quando da sua criação a Universidade atendia os municípios de Campo Mourão, Cornélio Procópio, Curitiba, Dois Vizinhos, Medianeira, Pato Branco e Ponta Grossa. Atualmente também está presente em Apucarana, Francisco Beltrão, Guarapuava, Londrina, Santa Helena e Toledo, totalizando 13 </w:t>
      </w:r>
      <w:r w:rsidRPr="009F1C44">
        <w:rPr>
          <w:rFonts w:ascii="Times New Roman" w:eastAsia="Times New Roman" w:hAnsi="Times New Roman" w:cs="Times New Roman"/>
          <w:i/>
          <w:iCs/>
          <w:sz w:val="24"/>
          <w:szCs w:val="24"/>
        </w:rPr>
        <w:t xml:space="preserve">campi </w:t>
      </w:r>
      <w:r w:rsidRPr="009F1C44">
        <w:rPr>
          <w:rFonts w:ascii="Times New Roman" w:eastAsia="Times New Roman" w:hAnsi="Times New Roman" w:cs="Times New Roman"/>
          <w:sz w:val="24"/>
          <w:szCs w:val="24"/>
        </w:rPr>
        <w:t>(vide Figura 2)</w:t>
      </w:r>
      <w:r w:rsidRPr="009F1C44">
        <w:rPr>
          <w:rFonts w:ascii="Times New Roman" w:eastAsia="Times New Roman" w:hAnsi="Times New Roman" w:cs="Times New Roman"/>
          <w:i/>
          <w:iCs/>
          <w:sz w:val="24"/>
          <w:szCs w:val="24"/>
        </w:rPr>
        <w:t>.</w:t>
      </w:r>
      <w:r w:rsidRPr="009F1C44">
        <w:rPr>
          <w:rFonts w:ascii="Times New Roman" w:eastAsia="Times New Roman" w:hAnsi="Times New Roman" w:cs="Times New Roman"/>
          <w:sz w:val="24"/>
          <w:szCs w:val="24"/>
        </w:rPr>
        <w:t xml:space="preserve"> Oferece cursos de graduação (tecnologia, bacharelados e licenciaturas), pós-graduação e qualificação profissional de nível médio (UTFPR, 2017).</w:t>
      </w:r>
    </w:p>
    <w:p w14:paraId="38908983" w14:textId="77777777" w:rsidR="009F1C44" w:rsidRPr="009F1C44" w:rsidRDefault="009F1C44" w:rsidP="00506CD8">
      <w:pPr>
        <w:widowControl w:val="0"/>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A UTFPR ampliou a sua difusão no Estado porque foi uma das universidades federais que aderiram ao Programa de Apoio a Planos de Reestruturação e Expansão das Universidades Federais (REUNI). Esse Programa teve como objetivo a ampliação do acesso e da permanência dos estudantes na graduação, além de otimizar o aproveitamento dos recursos humanos e da infraestrutura das instituições federais de educação superior (BRASIL, 2009).</w:t>
      </w:r>
    </w:p>
    <w:p w14:paraId="1BF83DBC" w14:textId="77777777" w:rsidR="009F1C44" w:rsidRPr="009F1C44" w:rsidRDefault="009F1C44" w:rsidP="00506CD8">
      <w:pPr>
        <w:widowControl w:val="0"/>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 xml:space="preserve">O IFPR teve origem a partir da Escola Técnica da Universidade Federal do Paraná (ET-UFPR) que foi criada em 1892 e pertenceu à antiga Colônia Alemã de Curitiba. Em 1974, foi integrada à Universidade Federal do Paraná, vinculando-se ao setor de Ciências Sociais Aplicadas sob a denominação de Escola Técnica de Comércio. Em 1990, com a reorganização administrativa da Universidade, sua denominação foi alterada para Escola Técnica da Universidade Federal do Paraná (ET-UFPR), vinculando-a à Pró-reitora de Graduação. Em 2008 o Conselho Universitário autorizou a implantação do IFPR a partir da reestruturação e </w:t>
      </w:r>
      <w:r w:rsidRPr="009F1C44">
        <w:rPr>
          <w:rFonts w:ascii="Times New Roman" w:eastAsia="Times New Roman" w:hAnsi="Times New Roman" w:cs="Times New Roman"/>
          <w:sz w:val="24"/>
          <w:szCs w:val="24"/>
        </w:rPr>
        <w:lastRenderedPageBreak/>
        <w:t>nova nominação da ET-UFPR (IFPR, 2018).</w:t>
      </w:r>
    </w:p>
    <w:p w14:paraId="1D65124A" w14:textId="77777777" w:rsidR="009F1C44" w:rsidRPr="009F1C44" w:rsidRDefault="009F1C44" w:rsidP="00506CD8">
      <w:pPr>
        <w:widowControl w:val="0"/>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O IFPR é uma instituição voltada a educação superior, básica e profissional, com a oferta do ensino em diferentes modalidades e níveis. Tem como missão promover a educação profissional, científica e tecnológica, pública, gratuita e de excelência, por meio do ensino, da pesquisa e da extensão, visando à formação integral de cidadãos críticos, empreendedores, comprometidos com a sustentabilidade e com o desenvolvimento local e regional (IFPR, 2018).</w:t>
      </w:r>
    </w:p>
    <w:p w14:paraId="497B752D" w14:textId="77777777" w:rsidR="009F1C44" w:rsidRPr="009F1C44" w:rsidRDefault="009F1C44" w:rsidP="00506CD8">
      <w:pPr>
        <w:widowControl w:val="0"/>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 xml:space="preserve">Organizado na modalidade multicampi, o IFPR possui 26 (vinte e seis) </w:t>
      </w:r>
      <w:r w:rsidRPr="009F1C44">
        <w:rPr>
          <w:rFonts w:ascii="Times New Roman" w:eastAsia="Times New Roman" w:hAnsi="Times New Roman" w:cs="Times New Roman"/>
          <w:i/>
          <w:iCs/>
          <w:sz w:val="24"/>
          <w:szCs w:val="24"/>
        </w:rPr>
        <w:t>campi</w:t>
      </w:r>
      <w:r w:rsidRPr="009F1C44">
        <w:rPr>
          <w:rFonts w:ascii="Times New Roman" w:eastAsia="Times New Roman" w:hAnsi="Times New Roman" w:cs="Times New Roman"/>
          <w:sz w:val="24"/>
          <w:szCs w:val="24"/>
        </w:rPr>
        <w:t xml:space="preserve"> distribuídos no Estado (vide Figura 2), abrangendo os municípios de: Arapongas, Assis Chateaubriand, Astorga, Barracão, Campo Largo, Capanema, Cascavel, Colombo, Coronel Vivida, Curitiba, Foz do Iguaçu, Goioerê, Irati, Ivaiporã, Jacarezinho, Jaguariaíva, Londrina, Palmas, Paranaguá, Paranavaí, Pinhais, Pitanga, Quedas do Iguaçu, Telêmaco Borba, Umuarama e União da Vitória. Também possui três centros de referência que estão localizados em São José dos Pinhais, em Toledo em parceria com o Parque Científico e Tecnológico de Biociências (Biopark) e em Ponta Grossa junto à UTFPR (IFPR, 2022).</w:t>
      </w:r>
    </w:p>
    <w:p w14:paraId="204B2674" w14:textId="77777777" w:rsidR="009F1C44" w:rsidRPr="009F1C44" w:rsidRDefault="009F1C44" w:rsidP="00506CD8">
      <w:pPr>
        <w:widowControl w:val="0"/>
        <w:spacing w:after="0" w:line="360" w:lineRule="auto"/>
        <w:ind w:firstLine="709"/>
        <w:jc w:val="both"/>
        <w:rPr>
          <w:rFonts w:ascii="Times New Roman" w:eastAsia="Times New Roman" w:hAnsi="Times New Roman" w:cs="Times New Roman"/>
          <w:sz w:val="24"/>
          <w:szCs w:val="24"/>
        </w:rPr>
      </w:pPr>
    </w:p>
    <w:p w14:paraId="7E0EE137" w14:textId="77777777" w:rsidR="009F1C44" w:rsidRPr="002C21EB" w:rsidRDefault="009F1C44" w:rsidP="009F1C44">
      <w:pPr>
        <w:widowControl w:val="0"/>
        <w:spacing w:after="0" w:line="240" w:lineRule="auto"/>
        <w:jc w:val="both"/>
        <w:rPr>
          <w:rFonts w:ascii="Times New Roman" w:eastAsia="Times New Roman" w:hAnsi="Times New Roman" w:cs="Times New Roman"/>
          <w:sz w:val="24"/>
          <w:szCs w:val="24"/>
        </w:rPr>
      </w:pPr>
      <w:r w:rsidRPr="002C21EB">
        <w:rPr>
          <w:rFonts w:ascii="Times New Roman" w:eastAsia="Times New Roman" w:hAnsi="Times New Roman" w:cs="Times New Roman"/>
          <w:sz w:val="24"/>
          <w:szCs w:val="24"/>
        </w:rPr>
        <w:t xml:space="preserve">Figura 2 – </w:t>
      </w:r>
      <w:r w:rsidRPr="002C21EB">
        <w:rPr>
          <w:rFonts w:ascii="Times New Roman" w:eastAsia="Times New Roman" w:hAnsi="Times New Roman" w:cs="Times New Roman"/>
          <w:i/>
          <w:iCs/>
          <w:sz w:val="24"/>
          <w:szCs w:val="24"/>
        </w:rPr>
        <w:t>Campi</w:t>
      </w:r>
      <w:r w:rsidRPr="002C21EB">
        <w:rPr>
          <w:rFonts w:ascii="Times New Roman" w:eastAsia="Times New Roman" w:hAnsi="Times New Roman" w:cs="Times New Roman"/>
          <w:sz w:val="24"/>
          <w:szCs w:val="24"/>
        </w:rPr>
        <w:t xml:space="preserve"> UTFPR e IFPR no Paraná</w:t>
      </w:r>
    </w:p>
    <w:p w14:paraId="1BE2FA36" w14:textId="77777777" w:rsidR="009F1C44" w:rsidRPr="009F1C44" w:rsidRDefault="009F1C44" w:rsidP="009F1C44">
      <w:pPr>
        <w:widowControl w:val="0"/>
        <w:spacing w:after="0" w:line="240" w:lineRule="auto"/>
        <w:jc w:val="both"/>
        <w:rPr>
          <w:rFonts w:ascii="Times New Roman" w:eastAsia="Times New Roman" w:hAnsi="Times New Roman" w:cs="Times New Roman"/>
          <w:color w:val="FF0000"/>
          <w:sz w:val="24"/>
          <w:szCs w:val="24"/>
        </w:rPr>
      </w:pPr>
      <w:r w:rsidRPr="009F1C44">
        <w:rPr>
          <w:rFonts w:ascii="Calibri" w:eastAsia="Calibri" w:hAnsi="Calibri" w:cs="Times New Roman"/>
          <w:noProof/>
        </w:rPr>
        <w:drawing>
          <wp:inline distT="0" distB="0" distL="0" distR="0" wp14:anchorId="7FE464ED" wp14:editId="0F10A2F6">
            <wp:extent cx="5760085" cy="3362325"/>
            <wp:effectExtent l="19050" t="19050" r="12065" b="28575"/>
            <wp:docPr id="6" name="Imagem 6"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Mapa&#10;&#10;Descrição gerad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085" cy="3362325"/>
                    </a:xfrm>
                    <a:prstGeom prst="rect">
                      <a:avLst/>
                    </a:prstGeom>
                    <a:noFill/>
                    <a:ln>
                      <a:solidFill>
                        <a:sysClr val="windowText" lastClr="000000"/>
                      </a:solidFill>
                    </a:ln>
                  </pic:spPr>
                </pic:pic>
              </a:graphicData>
            </a:graphic>
          </wp:inline>
        </w:drawing>
      </w:r>
    </w:p>
    <w:p w14:paraId="0800D6F1" w14:textId="35BFF9D5" w:rsidR="009F1C44" w:rsidRPr="009F1C44" w:rsidRDefault="009F1C44" w:rsidP="00D406A9">
      <w:pPr>
        <w:widowControl w:val="0"/>
        <w:spacing w:after="0" w:line="360" w:lineRule="auto"/>
        <w:jc w:val="both"/>
        <w:rPr>
          <w:rFonts w:ascii="Times New Roman" w:eastAsia="Times New Roman" w:hAnsi="Times New Roman" w:cs="Times New Roman"/>
          <w:sz w:val="24"/>
          <w:szCs w:val="24"/>
        </w:rPr>
      </w:pPr>
      <w:r w:rsidRPr="009F1C44">
        <w:rPr>
          <w:rFonts w:ascii="Times New Roman" w:eastAsia="Times New Roman" w:hAnsi="Times New Roman" w:cs="Times New Roman"/>
          <w:sz w:val="20"/>
          <w:szCs w:val="20"/>
        </w:rPr>
        <w:t>Fonte: Elaborado pelas autoras com base na pesquisa documental.</w:t>
      </w:r>
    </w:p>
    <w:p w14:paraId="23429CD1" w14:textId="5C79EA81" w:rsidR="009F1C44" w:rsidRPr="009F1C44" w:rsidRDefault="009F1C44" w:rsidP="00D406A9">
      <w:pPr>
        <w:widowControl w:val="0"/>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lastRenderedPageBreak/>
        <w:t xml:space="preserve">Os dados coletados demonstram a presença dessas unidades da Rede em todas as mesorregiões do Paraná. Em relação as microrregiões, constatou-se que em 26 das 39 possuem pelo menos um </w:t>
      </w:r>
      <w:r w:rsidRPr="009F1C44">
        <w:rPr>
          <w:rFonts w:ascii="Times New Roman" w:eastAsia="Times New Roman" w:hAnsi="Times New Roman" w:cs="Times New Roman"/>
          <w:i/>
          <w:iCs/>
          <w:sz w:val="24"/>
          <w:szCs w:val="24"/>
        </w:rPr>
        <w:t xml:space="preserve">campus </w:t>
      </w:r>
      <w:r w:rsidRPr="009F1C44">
        <w:rPr>
          <w:rFonts w:ascii="Times New Roman" w:eastAsia="Times New Roman" w:hAnsi="Times New Roman" w:cs="Times New Roman"/>
          <w:sz w:val="24"/>
          <w:szCs w:val="24"/>
        </w:rPr>
        <w:t xml:space="preserve">do IFPR e/ou UTFPR. É fato que 13 microrregiões não possuem unidades da Rede Federal de EPT, enquanto em algumas estão instalados mais de uma instituição e/ou </w:t>
      </w:r>
      <w:r w:rsidRPr="009F1C44">
        <w:rPr>
          <w:rFonts w:ascii="Times New Roman" w:eastAsia="Times New Roman" w:hAnsi="Times New Roman" w:cs="Times New Roman"/>
          <w:i/>
          <w:iCs/>
          <w:sz w:val="24"/>
          <w:szCs w:val="24"/>
        </w:rPr>
        <w:t>campus</w:t>
      </w:r>
      <w:r w:rsidRPr="009F1C44">
        <w:rPr>
          <w:rFonts w:ascii="Times New Roman" w:eastAsia="Times New Roman" w:hAnsi="Times New Roman" w:cs="Times New Roman"/>
          <w:sz w:val="24"/>
          <w:szCs w:val="24"/>
        </w:rPr>
        <w:t>.</w:t>
      </w:r>
    </w:p>
    <w:p w14:paraId="4D86B96B" w14:textId="77777777" w:rsidR="009F1C44" w:rsidRPr="009F1C44" w:rsidRDefault="009F1C44" w:rsidP="00D406A9">
      <w:pPr>
        <w:widowControl w:val="0"/>
        <w:spacing w:after="0" w:line="360" w:lineRule="auto"/>
        <w:ind w:firstLine="709"/>
        <w:jc w:val="both"/>
        <w:rPr>
          <w:rFonts w:ascii="Times New Roman" w:eastAsia="Times New Roman" w:hAnsi="Times New Roman" w:cs="Times New Roman"/>
          <w:sz w:val="24"/>
          <w:szCs w:val="24"/>
        </w:rPr>
      </w:pPr>
    </w:p>
    <w:p w14:paraId="44842041" w14:textId="3FBBDBC6" w:rsidR="009F1C44" w:rsidRPr="009F1C44" w:rsidRDefault="009F1C44" w:rsidP="009F1C44">
      <w:pPr>
        <w:widowControl w:val="0"/>
        <w:spacing w:after="0" w:line="240" w:lineRule="auto"/>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 xml:space="preserve">Quadro 2 – Distribuição dos </w:t>
      </w:r>
      <w:r w:rsidRPr="009F1C44">
        <w:rPr>
          <w:rFonts w:ascii="Times New Roman" w:eastAsia="Times New Roman" w:hAnsi="Times New Roman" w:cs="Times New Roman"/>
          <w:i/>
          <w:iCs/>
          <w:sz w:val="24"/>
          <w:szCs w:val="24"/>
        </w:rPr>
        <w:t>campi</w:t>
      </w:r>
      <w:r w:rsidRPr="009F1C44">
        <w:rPr>
          <w:rFonts w:ascii="Times New Roman" w:eastAsia="Times New Roman" w:hAnsi="Times New Roman" w:cs="Times New Roman"/>
          <w:sz w:val="24"/>
          <w:szCs w:val="24"/>
        </w:rPr>
        <w:t xml:space="preserve"> nas mesorregiões e microrregiões paranaenses</w:t>
      </w:r>
      <w:r w:rsidRPr="009F1C44">
        <w:rPr>
          <w:rFonts w:ascii="Times New Roman" w:eastAsia="Times New Roman" w:hAnsi="Times New Roman" w:cs="Times New Roman"/>
          <w:sz w:val="24"/>
          <w:szCs w:val="24"/>
        </w:rPr>
        <w:fldChar w:fldCharType="begin"/>
      </w:r>
      <w:r w:rsidRPr="009F1C44">
        <w:rPr>
          <w:rFonts w:ascii="Times New Roman" w:eastAsia="Times New Roman" w:hAnsi="Times New Roman" w:cs="Times New Roman"/>
          <w:sz w:val="24"/>
          <w:szCs w:val="24"/>
        </w:rPr>
        <w:instrText xml:space="preserve"> LINK </w:instrText>
      </w:r>
      <w:r w:rsidR="0087649E">
        <w:rPr>
          <w:rFonts w:ascii="Times New Roman" w:eastAsia="Times New Roman" w:hAnsi="Times New Roman" w:cs="Times New Roman"/>
          <w:sz w:val="24"/>
          <w:szCs w:val="24"/>
        </w:rPr>
        <w:instrText xml:space="preserve">Excel.Sheet.12 C:\\Users\\simon\\Downloads\\Artigo\\z-excel-PDA_2020_Unidades_Rede_Federal_EPCT.xlsx Planilha1!L68C1:L95C3 </w:instrText>
      </w:r>
      <w:r w:rsidRPr="009F1C44">
        <w:rPr>
          <w:rFonts w:ascii="Times New Roman" w:eastAsia="Times New Roman" w:hAnsi="Times New Roman" w:cs="Times New Roman"/>
          <w:sz w:val="24"/>
          <w:szCs w:val="24"/>
        </w:rPr>
        <w:instrText xml:space="preserve">\a \f 5 \h  \* MERGEFORMAT </w:instrText>
      </w:r>
      <w:r w:rsidRPr="009F1C44">
        <w:rPr>
          <w:rFonts w:ascii="Times New Roman" w:eastAsia="Times New Roman" w:hAnsi="Times New Roman" w:cs="Times New Roman"/>
          <w:sz w:val="24"/>
          <w:szCs w:val="24"/>
        </w:rPr>
        <w:fldChar w:fldCharType="separate"/>
      </w:r>
    </w:p>
    <w:tbl>
      <w:tblPr>
        <w:tblStyle w:val="Tabelacomgrade"/>
        <w:tblW w:w="8926" w:type="dxa"/>
        <w:jc w:val="center"/>
        <w:tblLook w:val="04A0" w:firstRow="1" w:lastRow="0" w:firstColumn="1" w:lastColumn="0" w:noHBand="0" w:noVBand="1"/>
      </w:tblPr>
      <w:tblGrid>
        <w:gridCol w:w="3545"/>
        <w:gridCol w:w="3402"/>
        <w:gridCol w:w="1979"/>
      </w:tblGrid>
      <w:tr w:rsidR="009F1C44" w:rsidRPr="009F1C44" w14:paraId="0B15CC5B" w14:textId="77777777" w:rsidTr="005B0DFB">
        <w:trPr>
          <w:trHeight w:val="300"/>
          <w:jc w:val="center"/>
        </w:trPr>
        <w:tc>
          <w:tcPr>
            <w:tcW w:w="3545" w:type="dxa"/>
            <w:noWrap/>
            <w:vAlign w:val="center"/>
            <w:hideMark/>
          </w:tcPr>
          <w:p w14:paraId="1BD6240C" w14:textId="77777777" w:rsidR="009F1C44" w:rsidRPr="0016044D" w:rsidRDefault="009F1C44" w:rsidP="009F1C44">
            <w:pPr>
              <w:widowControl w:val="0"/>
              <w:spacing w:after="0" w:line="240" w:lineRule="auto"/>
              <w:jc w:val="center"/>
              <w:rPr>
                <w:rFonts w:ascii="Times New Roman" w:eastAsia="Times New Roman" w:hAnsi="Times New Roman" w:cs="Times New Roman"/>
                <w:b/>
                <w:bCs/>
                <w:sz w:val="24"/>
                <w:szCs w:val="24"/>
              </w:rPr>
            </w:pPr>
            <w:r w:rsidRPr="0016044D">
              <w:rPr>
                <w:rFonts w:ascii="Times New Roman" w:eastAsia="Times New Roman" w:hAnsi="Times New Roman" w:cs="Times New Roman"/>
                <w:b/>
                <w:bCs/>
                <w:sz w:val="24"/>
                <w:szCs w:val="24"/>
              </w:rPr>
              <w:t>Mesorregião</w:t>
            </w:r>
          </w:p>
        </w:tc>
        <w:tc>
          <w:tcPr>
            <w:tcW w:w="3402" w:type="dxa"/>
            <w:noWrap/>
            <w:vAlign w:val="center"/>
            <w:hideMark/>
          </w:tcPr>
          <w:p w14:paraId="0131B050" w14:textId="77777777" w:rsidR="009F1C44" w:rsidRPr="0016044D" w:rsidRDefault="009F1C44" w:rsidP="009F1C44">
            <w:pPr>
              <w:widowControl w:val="0"/>
              <w:spacing w:after="0" w:line="240" w:lineRule="auto"/>
              <w:jc w:val="center"/>
              <w:rPr>
                <w:rFonts w:ascii="Times New Roman" w:eastAsia="Times New Roman" w:hAnsi="Times New Roman" w:cs="Times New Roman"/>
                <w:b/>
                <w:bCs/>
                <w:sz w:val="24"/>
                <w:szCs w:val="24"/>
              </w:rPr>
            </w:pPr>
            <w:r w:rsidRPr="0016044D">
              <w:rPr>
                <w:rFonts w:ascii="Times New Roman" w:eastAsia="Times New Roman" w:hAnsi="Times New Roman" w:cs="Times New Roman"/>
                <w:b/>
                <w:bCs/>
                <w:sz w:val="24"/>
                <w:szCs w:val="24"/>
              </w:rPr>
              <w:t>Microrregião</w:t>
            </w:r>
          </w:p>
        </w:tc>
        <w:tc>
          <w:tcPr>
            <w:tcW w:w="1979" w:type="dxa"/>
            <w:noWrap/>
            <w:vAlign w:val="center"/>
            <w:hideMark/>
          </w:tcPr>
          <w:p w14:paraId="6A459945" w14:textId="77777777" w:rsidR="009F1C44" w:rsidRPr="0016044D" w:rsidRDefault="009F1C44" w:rsidP="009F1C44">
            <w:pPr>
              <w:widowControl w:val="0"/>
              <w:spacing w:after="0" w:line="240" w:lineRule="auto"/>
              <w:jc w:val="center"/>
              <w:rPr>
                <w:rFonts w:ascii="Times New Roman" w:eastAsia="Times New Roman" w:hAnsi="Times New Roman" w:cs="Times New Roman"/>
                <w:b/>
                <w:bCs/>
                <w:sz w:val="24"/>
                <w:szCs w:val="24"/>
              </w:rPr>
            </w:pPr>
            <w:r w:rsidRPr="0016044D">
              <w:rPr>
                <w:rFonts w:ascii="Times New Roman" w:eastAsia="Times New Roman" w:hAnsi="Times New Roman" w:cs="Times New Roman"/>
                <w:b/>
                <w:bCs/>
                <w:sz w:val="24"/>
                <w:szCs w:val="24"/>
              </w:rPr>
              <w:t xml:space="preserve">Quantidade de </w:t>
            </w:r>
            <w:r w:rsidRPr="0016044D">
              <w:rPr>
                <w:rFonts w:ascii="Times New Roman" w:eastAsia="Times New Roman" w:hAnsi="Times New Roman" w:cs="Times New Roman"/>
                <w:b/>
                <w:bCs/>
                <w:i/>
                <w:iCs/>
                <w:sz w:val="24"/>
                <w:szCs w:val="24"/>
              </w:rPr>
              <w:t>Campus</w:t>
            </w:r>
          </w:p>
        </w:tc>
      </w:tr>
      <w:tr w:rsidR="009F1C44" w:rsidRPr="009F1C44" w14:paraId="135F81DD" w14:textId="77777777" w:rsidTr="005B0DFB">
        <w:trPr>
          <w:trHeight w:val="300"/>
          <w:jc w:val="center"/>
        </w:trPr>
        <w:tc>
          <w:tcPr>
            <w:tcW w:w="3545" w:type="dxa"/>
            <w:vMerge w:val="restart"/>
            <w:vAlign w:val="center"/>
            <w:hideMark/>
          </w:tcPr>
          <w:p w14:paraId="5E4D674B"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Centro Ocidental Paranaense</w:t>
            </w:r>
          </w:p>
        </w:tc>
        <w:tc>
          <w:tcPr>
            <w:tcW w:w="3402" w:type="dxa"/>
            <w:noWrap/>
            <w:vAlign w:val="center"/>
            <w:hideMark/>
          </w:tcPr>
          <w:p w14:paraId="5A8096D7"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Campo Mourão</w:t>
            </w:r>
          </w:p>
        </w:tc>
        <w:tc>
          <w:tcPr>
            <w:tcW w:w="1979" w:type="dxa"/>
            <w:noWrap/>
            <w:vAlign w:val="center"/>
            <w:hideMark/>
          </w:tcPr>
          <w:p w14:paraId="122793D8"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1</w:t>
            </w:r>
          </w:p>
        </w:tc>
      </w:tr>
      <w:tr w:rsidR="009F1C44" w:rsidRPr="009F1C44" w14:paraId="36F3872E" w14:textId="77777777" w:rsidTr="005B0DFB">
        <w:trPr>
          <w:trHeight w:val="300"/>
          <w:jc w:val="center"/>
        </w:trPr>
        <w:tc>
          <w:tcPr>
            <w:tcW w:w="3545" w:type="dxa"/>
            <w:vMerge/>
            <w:vAlign w:val="center"/>
            <w:hideMark/>
          </w:tcPr>
          <w:p w14:paraId="5205BE32"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p>
        </w:tc>
        <w:tc>
          <w:tcPr>
            <w:tcW w:w="3402" w:type="dxa"/>
            <w:noWrap/>
            <w:vAlign w:val="center"/>
            <w:hideMark/>
          </w:tcPr>
          <w:p w14:paraId="415E65DF"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Goioerê</w:t>
            </w:r>
          </w:p>
        </w:tc>
        <w:tc>
          <w:tcPr>
            <w:tcW w:w="1979" w:type="dxa"/>
            <w:noWrap/>
            <w:vAlign w:val="center"/>
            <w:hideMark/>
          </w:tcPr>
          <w:p w14:paraId="5D76F074"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1</w:t>
            </w:r>
          </w:p>
        </w:tc>
      </w:tr>
      <w:tr w:rsidR="009F1C44" w:rsidRPr="009F1C44" w14:paraId="5872D68F" w14:textId="77777777" w:rsidTr="005B0DFB">
        <w:trPr>
          <w:trHeight w:val="300"/>
          <w:jc w:val="center"/>
        </w:trPr>
        <w:tc>
          <w:tcPr>
            <w:tcW w:w="3545" w:type="dxa"/>
            <w:vMerge/>
            <w:vAlign w:val="center"/>
            <w:hideMark/>
          </w:tcPr>
          <w:p w14:paraId="3795BEE9"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p>
        </w:tc>
        <w:tc>
          <w:tcPr>
            <w:tcW w:w="3402" w:type="dxa"/>
            <w:noWrap/>
            <w:vAlign w:val="center"/>
            <w:hideMark/>
          </w:tcPr>
          <w:p w14:paraId="06C9CA43"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Jaguariaíva</w:t>
            </w:r>
          </w:p>
        </w:tc>
        <w:tc>
          <w:tcPr>
            <w:tcW w:w="1979" w:type="dxa"/>
            <w:noWrap/>
            <w:vAlign w:val="center"/>
            <w:hideMark/>
          </w:tcPr>
          <w:p w14:paraId="0661291C"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1</w:t>
            </w:r>
          </w:p>
        </w:tc>
      </w:tr>
      <w:tr w:rsidR="009F1C44" w:rsidRPr="009F1C44" w14:paraId="5B3A4DF7" w14:textId="77777777" w:rsidTr="005B0DFB">
        <w:trPr>
          <w:trHeight w:val="300"/>
          <w:jc w:val="center"/>
        </w:trPr>
        <w:tc>
          <w:tcPr>
            <w:tcW w:w="3545" w:type="dxa"/>
            <w:vMerge/>
            <w:vAlign w:val="center"/>
            <w:hideMark/>
          </w:tcPr>
          <w:p w14:paraId="489E1F6A"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p>
        </w:tc>
        <w:tc>
          <w:tcPr>
            <w:tcW w:w="3402" w:type="dxa"/>
            <w:noWrap/>
            <w:vAlign w:val="center"/>
            <w:hideMark/>
          </w:tcPr>
          <w:p w14:paraId="7527FBD3"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Ponta Grossa</w:t>
            </w:r>
          </w:p>
        </w:tc>
        <w:tc>
          <w:tcPr>
            <w:tcW w:w="1979" w:type="dxa"/>
            <w:noWrap/>
            <w:vAlign w:val="center"/>
            <w:hideMark/>
          </w:tcPr>
          <w:p w14:paraId="19F4B116"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1</w:t>
            </w:r>
          </w:p>
        </w:tc>
      </w:tr>
      <w:tr w:rsidR="009F1C44" w:rsidRPr="009F1C44" w14:paraId="1F41D80C" w14:textId="77777777" w:rsidTr="005B0DFB">
        <w:trPr>
          <w:trHeight w:val="300"/>
          <w:jc w:val="center"/>
        </w:trPr>
        <w:tc>
          <w:tcPr>
            <w:tcW w:w="3545" w:type="dxa"/>
            <w:vMerge/>
            <w:vAlign w:val="center"/>
            <w:hideMark/>
          </w:tcPr>
          <w:p w14:paraId="66CDE6AD"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p>
        </w:tc>
        <w:tc>
          <w:tcPr>
            <w:tcW w:w="3402" w:type="dxa"/>
            <w:noWrap/>
            <w:vAlign w:val="center"/>
            <w:hideMark/>
          </w:tcPr>
          <w:p w14:paraId="041774E9"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Telêmaco Borba</w:t>
            </w:r>
          </w:p>
        </w:tc>
        <w:tc>
          <w:tcPr>
            <w:tcW w:w="1979" w:type="dxa"/>
            <w:noWrap/>
            <w:vAlign w:val="center"/>
            <w:hideMark/>
          </w:tcPr>
          <w:p w14:paraId="12ECBE01"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1</w:t>
            </w:r>
          </w:p>
        </w:tc>
      </w:tr>
      <w:tr w:rsidR="009F1C44" w:rsidRPr="009F1C44" w14:paraId="03340FDB" w14:textId="77777777" w:rsidTr="005B0DFB">
        <w:trPr>
          <w:trHeight w:val="300"/>
          <w:jc w:val="center"/>
        </w:trPr>
        <w:tc>
          <w:tcPr>
            <w:tcW w:w="3545" w:type="dxa"/>
            <w:vMerge w:val="restart"/>
            <w:vAlign w:val="center"/>
            <w:hideMark/>
          </w:tcPr>
          <w:p w14:paraId="3C0A1A3A"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Centro-Sul Paranaense</w:t>
            </w:r>
          </w:p>
        </w:tc>
        <w:tc>
          <w:tcPr>
            <w:tcW w:w="3402" w:type="dxa"/>
            <w:noWrap/>
            <w:vAlign w:val="center"/>
            <w:hideMark/>
          </w:tcPr>
          <w:p w14:paraId="6A9D030D"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Guarapuava</w:t>
            </w:r>
          </w:p>
        </w:tc>
        <w:tc>
          <w:tcPr>
            <w:tcW w:w="1979" w:type="dxa"/>
            <w:noWrap/>
            <w:vAlign w:val="center"/>
            <w:hideMark/>
          </w:tcPr>
          <w:p w14:paraId="248AFDB7"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2</w:t>
            </w:r>
          </w:p>
        </w:tc>
      </w:tr>
      <w:tr w:rsidR="009F1C44" w:rsidRPr="009F1C44" w14:paraId="23CA0FF7" w14:textId="77777777" w:rsidTr="005B0DFB">
        <w:trPr>
          <w:trHeight w:val="300"/>
          <w:jc w:val="center"/>
        </w:trPr>
        <w:tc>
          <w:tcPr>
            <w:tcW w:w="3545" w:type="dxa"/>
            <w:vMerge/>
            <w:vAlign w:val="center"/>
            <w:hideMark/>
          </w:tcPr>
          <w:p w14:paraId="7F50E4C6"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p>
        </w:tc>
        <w:tc>
          <w:tcPr>
            <w:tcW w:w="3402" w:type="dxa"/>
            <w:noWrap/>
            <w:vAlign w:val="center"/>
            <w:hideMark/>
          </w:tcPr>
          <w:p w14:paraId="5D65842E"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Palmas</w:t>
            </w:r>
          </w:p>
        </w:tc>
        <w:tc>
          <w:tcPr>
            <w:tcW w:w="1979" w:type="dxa"/>
            <w:noWrap/>
            <w:vAlign w:val="center"/>
            <w:hideMark/>
          </w:tcPr>
          <w:p w14:paraId="1A8CBA0C"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1</w:t>
            </w:r>
          </w:p>
        </w:tc>
      </w:tr>
      <w:tr w:rsidR="009F1C44" w:rsidRPr="009F1C44" w14:paraId="3584F02F" w14:textId="77777777" w:rsidTr="005B0DFB">
        <w:trPr>
          <w:trHeight w:val="300"/>
          <w:jc w:val="center"/>
        </w:trPr>
        <w:tc>
          <w:tcPr>
            <w:tcW w:w="3545" w:type="dxa"/>
            <w:vMerge/>
            <w:vAlign w:val="center"/>
            <w:hideMark/>
          </w:tcPr>
          <w:p w14:paraId="19D333A6"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p>
        </w:tc>
        <w:tc>
          <w:tcPr>
            <w:tcW w:w="3402" w:type="dxa"/>
            <w:noWrap/>
            <w:vAlign w:val="center"/>
            <w:hideMark/>
          </w:tcPr>
          <w:p w14:paraId="567134A1"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Pitanga</w:t>
            </w:r>
          </w:p>
        </w:tc>
        <w:tc>
          <w:tcPr>
            <w:tcW w:w="1979" w:type="dxa"/>
            <w:noWrap/>
            <w:vAlign w:val="center"/>
            <w:hideMark/>
          </w:tcPr>
          <w:p w14:paraId="4FFCEFB6"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1</w:t>
            </w:r>
          </w:p>
        </w:tc>
      </w:tr>
      <w:tr w:rsidR="009F1C44" w:rsidRPr="009F1C44" w14:paraId="2B801B11" w14:textId="77777777" w:rsidTr="005B0DFB">
        <w:trPr>
          <w:trHeight w:val="300"/>
          <w:jc w:val="center"/>
        </w:trPr>
        <w:tc>
          <w:tcPr>
            <w:tcW w:w="3545" w:type="dxa"/>
            <w:vMerge w:val="restart"/>
            <w:vAlign w:val="center"/>
            <w:hideMark/>
          </w:tcPr>
          <w:p w14:paraId="47FF1776"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Metropolitana de Curitiba</w:t>
            </w:r>
          </w:p>
        </w:tc>
        <w:tc>
          <w:tcPr>
            <w:tcW w:w="3402" w:type="dxa"/>
            <w:noWrap/>
            <w:vAlign w:val="center"/>
            <w:hideMark/>
          </w:tcPr>
          <w:p w14:paraId="2033E249"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Curitiba</w:t>
            </w:r>
          </w:p>
        </w:tc>
        <w:tc>
          <w:tcPr>
            <w:tcW w:w="1979" w:type="dxa"/>
            <w:noWrap/>
            <w:vAlign w:val="center"/>
            <w:hideMark/>
          </w:tcPr>
          <w:p w14:paraId="017CCAE3"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5</w:t>
            </w:r>
          </w:p>
        </w:tc>
      </w:tr>
      <w:tr w:rsidR="009F1C44" w:rsidRPr="009F1C44" w14:paraId="7FA00023" w14:textId="77777777" w:rsidTr="005B0DFB">
        <w:trPr>
          <w:trHeight w:val="300"/>
          <w:jc w:val="center"/>
        </w:trPr>
        <w:tc>
          <w:tcPr>
            <w:tcW w:w="3545" w:type="dxa"/>
            <w:vMerge/>
            <w:vAlign w:val="center"/>
            <w:hideMark/>
          </w:tcPr>
          <w:p w14:paraId="6C9B2248"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p>
        </w:tc>
        <w:tc>
          <w:tcPr>
            <w:tcW w:w="3402" w:type="dxa"/>
            <w:noWrap/>
            <w:vAlign w:val="center"/>
            <w:hideMark/>
          </w:tcPr>
          <w:p w14:paraId="167F17F6"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Paranaguá</w:t>
            </w:r>
          </w:p>
        </w:tc>
        <w:tc>
          <w:tcPr>
            <w:tcW w:w="1979" w:type="dxa"/>
            <w:noWrap/>
            <w:vAlign w:val="center"/>
            <w:hideMark/>
          </w:tcPr>
          <w:p w14:paraId="24C6F489"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1</w:t>
            </w:r>
          </w:p>
        </w:tc>
      </w:tr>
      <w:tr w:rsidR="009F1C44" w:rsidRPr="009F1C44" w14:paraId="6023A702" w14:textId="77777777" w:rsidTr="005B0DFB">
        <w:trPr>
          <w:trHeight w:val="300"/>
          <w:jc w:val="center"/>
        </w:trPr>
        <w:tc>
          <w:tcPr>
            <w:tcW w:w="3545" w:type="dxa"/>
            <w:vMerge w:val="restart"/>
            <w:vAlign w:val="center"/>
            <w:hideMark/>
          </w:tcPr>
          <w:p w14:paraId="38322CC9"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Noroeste Paranaense</w:t>
            </w:r>
          </w:p>
        </w:tc>
        <w:tc>
          <w:tcPr>
            <w:tcW w:w="3402" w:type="dxa"/>
            <w:noWrap/>
            <w:vAlign w:val="center"/>
            <w:hideMark/>
          </w:tcPr>
          <w:p w14:paraId="77ECEE69"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Paranavaí</w:t>
            </w:r>
          </w:p>
        </w:tc>
        <w:tc>
          <w:tcPr>
            <w:tcW w:w="1979" w:type="dxa"/>
            <w:noWrap/>
            <w:vAlign w:val="center"/>
            <w:hideMark/>
          </w:tcPr>
          <w:p w14:paraId="578338B7"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1</w:t>
            </w:r>
          </w:p>
        </w:tc>
      </w:tr>
      <w:tr w:rsidR="009F1C44" w:rsidRPr="009F1C44" w14:paraId="163D2473" w14:textId="77777777" w:rsidTr="005B0DFB">
        <w:trPr>
          <w:trHeight w:val="300"/>
          <w:jc w:val="center"/>
        </w:trPr>
        <w:tc>
          <w:tcPr>
            <w:tcW w:w="3545" w:type="dxa"/>
            <w:vMerge/>
            <w:vAlign w:val="center"/>
            <w:hideMark/>
          </w:tcPr>
          <w:p w14:paraId="52CAF275"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p>
        </w:tc>
        <w:tc>
          <w:tcPr>
            <w:tcW w:w="3402" w:type="dxa"/>
            <w:noWrap/>
            <w:vAlign w:val="center"/>
            <w:hideMark/>
          </w:tcPr>
          <w:p w14:paraId="4EC46093"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Umuarama</w:t>
            </w:r>
          </w:p>
        </w:tc>
        <w:tc>
          <w:tcPr>
            <w:tcW w:w="1979" w:type="dxa"/>
            <w:noWrap/>
            <w:vAlign w:val="center"/>
            <w:hideMark/>
          </w:tcPr>
          <w:p w14:paraId="5EB9BAB9"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1</w:t>
            </w:r>
          </w:p>
        </w:tc>
      </w:tr>
      <w:tr w:rsidR="009F1C44" w:rsidRPr="009F1C44" w14:paraId="74A0A68A" w14:textId="77777777" w:rsidTr="005B0DFB">
        <w:trPr>
          <w:trHeight w:val="300"/>
          <w:jc w:val="center"/>
        </w:trPr>
        <w:tc>
          <w:tcPr>
            <w:tcW w:w="3545" w:type="dxa"/>
            <w:vMerge w:val="restart"/>
            <w:vAlign w:val="center"/>
            <w:hideMark/>
          </w:tcPr>
          <w:p w14:paraId="42AC1011"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Norte Central Paranaense</w:t>
            </w:r>
          </w:p>
        </w:tc>
        <w:tc>
          <w:tcPr>
            <w:tcW w:w="3402" w:type="dxa"/>
            <w:noWrap/>
            <w:vAlign w:val="center"/>
            <w:hideMark/>
          </w:tcPr>
          <w:p w14:paraId="5DF1302B"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Apucarana</w:t>
            </w:r>
          </w:p>
        </w:tc>
        <w:tc>
          <w:tcPr>
            <w:tcW w:w="1979" w:type="dxa"/>
            <w:noWrap/>
            <w:vAlign w:val="center"/>
            <w:hideMark/>
          </w:tcPr>
          <w:p w14:paraId="08D1D337"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2</w:t>
            </w:r>
          </w:p>
        </w:tc>
      </w:tr>
      <w:tr w:rsidR="009F1C44" w:rsidRPr="009F1C44" w14:paraId="7092D684" w14:textId="77777777" w:rsidTr="005B0DFB">
        <w:trPr>
          <w:trHeight w:val="300"/>
          <w:jc w:val="center"/>
        </w:trPr>
        <w:tc>
          <w:tcPr>
            <w:tcW w:w="3545" w:type="dxa"/>
            <w:vMerge/>
            <w:vAlign w:val="center"/>
            <w:hideMark/>
          </w:tcPr>
          <w:p w14:paraId="5221F9DD"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p>
        </w:tc>
        <w:tc>
          <w:tcPr>
            <w:tcW w:w="3402" w:type="dxa"/>
            <w:noWrap/>
            <w:vAlign w:val="center"/>
            <w:hideMark/>
          </w:tcPr>
          <w:p w14:paraId="7C7B6554"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Astorga</w:t>
            </w:r>
          </w:p>
        </w:tc>
        <w:tc>
          <w:tcPr>
            <w:tcW w:w="1979" w:type="dxa"/>
            <w:noWrap/>
            <w:vAlign w:val="center"/>
            <w:hideMark/>
          </w:tcPr>
          <w:p w14:paraId="24EB43C0"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1</w:t>
            </w:r>
          </w:p>
        </w:tc>
      </w:tr>
      <w:tr w:rsidR="009F1C44" w:rsidRPr="009F1C44" w14:paraId="378B22D4" w14:textId="77777777" w:rsidTr="005B0DFB">
        <w:trPr>
          <w:trHeight w:val="300"/>
          <w:jc w:val="center"/>
        </w:trPr>
        <w:tc>
          <w:tcPr>
            <w:tcW w:w="3545" w:type="dxa"/>
            <w:vMerge/>
            <w:vAlign w:val="center"/>
            <w:hideMark/>
          </w:tcPr>
          <w:p w14:paraId="4C3C87E1"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p>
        </w:tc>
        <w:tc>
          <w:tcPr>
            <w:tcW w:w="3402" w:type="dxa"/>
            <w:noWrap/>
            <w:vAlign w:val="center"/>
            <w:hideMark/>
          </w:tcPr>
          <w:p w14:paraId="49359B61"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Ivaiporã</w:t>
            </w:r>
          </w:p>
        </w:tc>
        <w:tc>
          <w:tcPr>
            <w:tcW w:w="1979" w:type="dxa"/>
            <w:noWrap/>
            <w:vAlign w:val="center"/>
            <w:hideMark/>
          </w:tcPr>
          <w:p w14:paraId="2896AD82"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1</w:t>
            </w:r>
          </w:p>
        </w:tc>
      </w:tr>
      <w:tr w:rsidR="009F1C44" w:rsidRPr="009F1C44" w14:paraId="78E27018" w14:textId="77777777" w:rsidTr="005B0DFB">
        <w:trPr>
          <w:trHeight w:val="300"/>
          <w:jc w:val="center"/>
        </w:trPr>
        <w:tc>
          <w:tcPr>
            <w:tcW w:w="3545" w:type="dxa"/>
            <w:vMerge/>
            <w:vAlign w:val="center"/>
            <w:hideMark/>
          </w:tcPr>
          <w:p w14:paraId="6FC3E73E"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p>
        </w:tc>
        <w:tc>
          <w:tcPr>
            <w:tcW w:w="3402" w:type="dxa"/>
            <w:noWrap/>
            <w:vAlign w:val="center"/>
            <w:hideMark/>
          </w:tcPr>
          <w:p w14:paraId="498B399F"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Londrina</w:t>
            </w:r>
          </w:p>
        </w:tc>
        <w:tc>
          <w:tcPr>
            <w:tcW w:w="1979" w:type="dxa"/>
            <w:noWrap/>
            <w:vAlign w:val="center"/>
            <w:hideMark/>
          </w:tcPr>
          <w:p w14:paraId="7D2E6B97"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2</w:t>
            </w:r>
          </w:p>
        </w:tc>
      </w:tr>
      <w:tr w:rsidR="009F1C44" w:rsidRPr="009F1C44" w14:paraId="5530BCA5" w14:textId="77777777" w:rsidTr="005B0DFB">
        <w:trPr>
          <w:trHeight w:val="300"/>
          <w:jc w:val="center"/>
        </w:trPr>
        <w:tc>
          <w:tcPr>
            <w:tcW w:w="3545" w:type="dxa"/>
            <w:vMerge w:val="restart"/>
            <w:vAlign w:val="center"/>
            <w:hideMark/>
          </w:tcPr>
          <w:p w14:paraId="21F34CD2"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Norte Pioneiro Paranaense</w:t>
            </w:r>
          </w:p>
        </w:tc>
        <w:tc>
          <w:tcPr>
            <w:tcW w:w="3402" w:type="dxa"/>
            <w:noWrap/>
            <w:vAlign w:val="center"/>
            <w:hideMark/>
          </w:tcPr>
          <w:p w14:paraId="0DD6D0C2"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Cornélio Procópio</w:t>
            </w:r>
          </w:p>
        </w:tc>
        <w:tc>
          <w:tcPr>
            <w:tcW w:w="1979" w:type="dxa"/>
            <w:noWrap/>
            <w:vAlign w:val="center"/>
            <w:hideMark/>
          </w:tcPr>
          <w:p w14:paraId="05136C5C"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1</w:t>
            </w:r>
          </w:p>
        </w:tc>
      </w:tr>
      <w:tr w:rsidR="009F1C44" w:rsidRPr="009F1C44" w14:paraId="32A9DCEC" w14:textId="77777777" w:rsidTr="005B0DFB">
        <w:trPr>
          <w:trHeight w:val="300"/>
          <w:jc w:val="center"/>
        </w:trPr>
        <w:tc>
          <w:tcPr>
            <w:tcW w:w="3545" w:type="dxa"/>
            <w:vMerge/>
            <w:vAlign w:val="center"/>
            <w:hideMark/>
          </w:tcPr>
          <w:p w14:paraId="49C1DAC3"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p>
        </w:tc>
        <w:tc>
          <w:tcPr>
            <w:tcW w:w="3402" w:type="dxa"/>
            <w:noWrap/>
            <w:vAlign w:val="center"/>
            <w:hideMark/>
          </w:tcPr>
          <w:p w14:paraId="2CF235FF"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Jacarezinho</w:t>
            </w:r>
          </w:p>
        </w:tc>
        <w:tc>
          <w:tcPr>
            <w:tcW w:w="1979" w:type="dxa"/>
            <w:noWrap/>
            <w:vAlign w:val="center"/>
            <w:hideMark/>
          </w:tcPr>
          <w:p w14:paraId="630E323B"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1</w:t>
            </w:r>
          </w:p>
        </w:tc>
      </w:tr>
      <w:tr w:rsidR="009F1C44" w:rsidRPr="009F1C44" w14:paraId="01CBFF1E" w14:textId="77777777" w:rsidTr="005B0DFB">
        <w:trPr>
          <w:trHeight w:val="300"/>
          <w:jc w:val="center"/>
        </w:trPr>
        <w:tc>
          <w:tcPr>
            <w:tcW w:w="3545" w:type="dxa"/>
            <w:vMerge w:val="restart"/>
            <w:vAlign w:val="center"/>
            <w:hideMark/>
          </w:tcPr>
          <w:p w14:paraId="398D1B42"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Oeste Paranaense</w:t>
            </w:r>
          </w:p>
        </w:tc>
        <w:tc>
          <w:tcPr>
            <w:tcW w:w="3402" w:type="dxa"/>
            <w:noWrap/>
            <w:vAlign w:val="center"/>
            <w:hideMark/>
          </w:tcPr>
          <w:p w14:paraId="755B7E6D"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Cascavel</w:t>
            </w:r>
          </w:p>
        </w:tc>
        <w:tc>
          <w:tcPr>
            <w:tcW w:w="1979" w:type="dxa"/>
            <w:noWrap/>
            <w:vAlign w:val="center"/>
            <w:hideMark/>
          </w:tcPr>
          <w:p w14:paraId="520E186D"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1</w:t>
            </w:r>
          </w:p>
        </w:tc>
      </w:tr>
      <w:tr w:rsidR="009F1C44" w:rsidRPr="009F1C44" w14:paraId="79E64605" w14:textId="77777777" w:rsidTr="005B0DFB">
        <w:trPr>
          <w:trHeight w:val="300"/>
          <w:jc w:val="center"/>
        </w:trPr>
        <w:tc>
          <w:tcPr>
            <w:tcW w:w="3545" w:type="dxa"/>
            <w:vMerge/>
            <w:vAlign w:val="center"/>
            <w:hideMark/>
          </w:tcPr>
          <w:p w14:paraId="0A06DC7F"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p>
        </w:tc>
        <w:tc>
          <w:tcPr>
            <w:tcW w:w="3402" w:type="dxa"/>
            <w:noWrap/>
            <w:vAlign w:val="center"/>
            <w:hideMark/>
          </w:tcPr>
          <w:p w14:paraId="4445A943"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Foz do Iguaçu</w:t>
            </w:r>
          </w:p>
        </w:tc>
        <w:tc>
          <w:tcPr>
            <w:tcW w:w="1979" w:type="dxa"/>
            <w:noWrap/>
            <w:vAlign w:val="center"/>
            <w:hideMark/>
          </w:tcPr>
          <w:p w14:paraId="3F7B57DB"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2</w:t>
            </w:r>
          </w:p>
        </w:tc>
      </w:tr>
      <w:tr w:rsidR="009F1C44" w:rsidRPr="009F1C44" w14:paraId="28890705" w14:textId="77777777" w:rsidTr="005B0DFB">
        <w:trPr>
          <w:trHeight w:val="300"/>
          <w:jc w:val="center"/>
        </w:trPr>
        <w:tc>
          <w:tcPr>
            <w:tcW w:w="3545" w:type="dxa"/>
            <w:vMerge/>
            <w:vAlign w:val="center"/>
            <w:hideMark/>
          </w:tcPr>
          <w:p w14:paraId="12192960"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p>
        </w:tc>
        <w:tc>
          <w:tcPr>
            <w:tcW w:w="3402" w:type="dxa"/>
            <w:noWrap/>
            <w:vAlign w:val="center"/>
            <w:hideMark/>
          </w:tcPr>
          <w:p w14:paraId="6A550F94"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Toledo</w:t>
            </w:r>
          </w:p>
        </w:tc>
        <w:tc>
          <w:tcPr>
            <w:tcW w:w="1979" w:type="dxa"/>
            <w:noWrap/>
            <w:vAlign w:val="center"/>
            <w:hideMark/>
          </w:tcPr>
          <w:p w14:paraId="5C439A73"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3</w:t>
            </w:r>
          </w:p>
        </w:tc>
      </w:tr>
      <w:tr w:rsidR="009F1C44" w:rsidRPr="009F1C44" w14:paraId="37FD5DBD" w14:textId="77777777" w:rsidTr="005B0DFB">
        <w:trPr>
          <w:trHeight w:val="300"/>
          <w:jc w:val="center"/>
        </w:trPr>
        <w:tc>
          <w:tcPr>
            <w:tcW w:w="3545" w:type="dxa"/>
            <w:vMerge w:val="restart"/>
            <w:vAlign w:val="center"/>
            <w:hideMark/>
          </w:tcPr>
          <w:p w14:paraId="2BDF0B1B"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Sudeste Paranaense</w:t>
            </w:r>
          </w:p>
        </w:tc>
        <w:tc>
          <w:tcPr>
            <w:tcW w:w="3402" w:type="dxa"/>
            <w:noWrap/>
            <w:vAlign w:val="center"/>
            <w:hideMark/>
          </w:tcPr>
          <w:p w14:paraId="26B9DECE"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Irati</w:t>
            </w:r>
          </w:p>
        </w:tc>
        <w:tc>
          <w:tcPr>
            <w:tcW w:w="1979" w:type="dxa"/>
            <w:noWrap/>
            <w:vAlign w:val="center"/>
            <w:hideMark/>
          </w:tcPr>
          <w:p w14:paraId="43A55010"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1</w:t>
            </w:r>
          </w:p>
        </w:tc>
      </w:tr>
      <w:tr w:rsidR="009F1C44" w:rsidRPr="009F1C44" w14:paraId="0FACB06A" w14:textId="77777777" w:rsidTr="005B0DFB">
        <w:trPr>
          <w:trHeight w:val="300"/>
          <w:jc w:val="center"/>
        </w:trPr>
        <w:tc>
          <w:tcPr>
            <w:tcW w:w="3545" w:type="dxa"/>
            <w:vMerge/>
            <w:vAlign w:val="center"/>
            <w:hideMark/>
          </w:tcPr>
          <w:p w14:paraId="0E01F308"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p>
        </w:tc>
        <w:tc>
          <w:tcPr>
            <w:tcW w:w="3402" w:type="dxa"/>
            <w:noWrap/>
            <w:vAlign w:val="center"/>
            <w:hideMark/>
          </w:tcPr>
          <w:p w14:paraId="7BD52570"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União da Vitória</w:t>
            </w:r>
          </w:p>
        </w:tc>
        <w:tc>
          <w:tcPr>
            <w:tcW w:w="1979" w:type="dxa"/>
            <w:noWrap/>
            <w:vAlign w:val="center"/>
            <w:hideMark/>
          </w:tcPr>
          <w:p w14:paraId="3B0A27FC"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1</w:t>
            </w:r>
          </w:p>
        </w:tc>
      </w:tr>
      <w:tr w:rsidR="009F1C44" w:rsidRPr="009F1C44" w14:paraId="2DD96651" w14:textId="77777777" w:rsidTr="005B0DFB">
        <w:trPr>
          <w:trHeight w:val="300"/>
          <w:jc w:val="center"/>
        </w:trPr>
        <w:tc>
          <w:tcPr>
            <w:tcW w:w="3545" w:type="dxa"/>
            <w:vMerge w:val="restart"/>
            <w:vAlign w:val="center"/>
            <w:hideMark/>
          </w:tcPr>
          <w:p w14:paraId="6EF87905"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Sudoeste Paranaense</w:t>
            </w:r>
          </w:p>
        </w:tc>
        <w:tc>
          <w:tcPr>
            <w:tcW w:w="3402" w:type="dxa"/>
            <w:noWrap/>
            <w:vAlign w:val="center"/>
            <w:hideMark/>
          </w:tcPr>
          <w:p w14:paraId="4D479C97"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Capanema</w:t>
            </w:r>
          </w:p>
        </w:tc>
        <w:tc>
          <w:tcPr>
            <w:tcW w:w="1979" w:type="dxa"/>
            <w:noWrap/>
            <w:vAlign w:val="center"/>
            <w:hideMark/>
          </w:tcPr>
          <w:p w14:paraId="4F4F3CB9"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1</w:t>
            </w:r>
          </w:p>
        </w:tc>
      </w:tr>
      <w:tr w:rsidR="009F1C44" w:rsidRPr="009F1C44" w14:paraId="0E7A564A" w14:textId="77777777" w:rsidTr="005B0DFB">
        <w:trPr>
          <w:trHeight w:val="300"/>
          <w:jc w:val="center"/>
        </w:trPr>
        <w:tc>
          <w:tcPr>
            <w:tcW w:w="3545" w:type="dxa"/>
            <w:vMerge/>
            <w:vAlign w:val="center"/>
            <w:hideMark/>
          </w:tcPr>
          <w:p w14:paraId="0836F47E"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p>
        </w:tc>
        <w:tc>
          <w:tcPr>
            <w:tcW w:w="3402" w:type="dxa"/>
            <w:noWrap/>
            <w:vAlign w:val="center"/>
            <w:hideMark/>
          </w:tcPr>
          <w:p w14:paraId="3F4E28B1"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Francisco Beltrão</w:t>
            </w:r>
          </w:p>
        </w:tc>
        <w:tc>
          <w:tcPr>
            <w:tcW w:w="1979" w:type="dxa"/>
            <w:noWrap/>
            <w:vAlign w:val="center"/>
            <w:hideMark/>
          </w:tcPr>
          <w:p w14:paraId="347BDA81"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3</w:t>
            </w:r>
          </w:p>
        </w:tc>
      </w:tr>
      <w:tr w:rsidR="009F1C44" w:rsidRPr="009F1C44" w14:paraId="6650BD5C" w14:textId="77777777" w:rsidTr="005B0DFB">
        <w:trPr>
          <w:trHeight w:val="300"/>
          <w:jc w:val="center"/>
        </w:trPr>
        <w:tc>
          <w:tcPr>
            <w:tcW w:w="3545" w:type="dxa"/>
            <w:vMerge/>
            <w:vAlign w:val="center"/>
            <w:hideMark/>
          </w:tcPr>
          <w:p w14:paraId="064D1D0B"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p>
        </w:tc>
        <w:tc>
          <w:tcPr>
            <w:tcW w:w="3402" w:type="dxa"/>
            <w:noWrap/>
            <w:vAlign w:val="center"/>
            <w:hideMark/>
          </w:tcPr>
          <w:p w14:paraId="575FDF66"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Pato Branco</w:t>
            </w:r>
          </w:p>
        </w:tc>
        <w:tc>
          <w:tcPr>
            <w:tcW w:w="1979" w:type="dxa"/>
            <w:noWrap/>
            <w:vAlign w:val="center"/>
            <w:hideMark/>
          </w:tcPr>
          <w:p w14:paraId="140A32EF" w14:textId="77777777" w:rsidR="009F1C44" w:rsidRPr="0016044D" w:rsidRDefault="009F1C44" w:rsidP="009F1C44">
            <w:pPr>
              <w:widowControl w:val="0"/>
              <w:spacing w:after="0" w:line="240" w:lineRule="auto"/>
              <w:jc w:val="center"/>
              <w:rPr>
                <w:rFonts w:ascii="Times New Roman" w:eastAsia="Times New Roman" w:hAnsi="Times New Roman" w:cs="Times New Roman"/>
                <w:sz w:val="24"/>
                <w:szCs w:val="24"/>
              </w:rPr>
            </w:pPr>
            <w:r w:rsidRPr="0016044D">
              <w:rPr>
                <w:rFonts w:ascii="Times New Roman" w:eastAsia="Times New Roman" w:hAnsi="Times New Roman" w:cs="Times New Roman"/>
                <w:sz w:val="24"/>
                <w:szCs w:val="24"/>
              </w:rPr>
              <w:t>2</w:t>
            </w:r>
          </w:p>
        </w:tc>
      </w:tr>
      <w:tr w:rsidR="009F1C44" w:rsidRPr="009F1C44" w14:paraId="7ABCAFBA" w14:textId="77777777" w:rsidTr="005B0DFB">
        <w:trPr>
          <w:trHeight w:val="300"/>
          <w:jc w:val="center"/>
        </w:trPr>
        <w:tc>
          <w:tcPr>
            <w:tcW w:w="3545" w:type="dxa"/>
            <w:noWrap/>
            <w:vAlign w:val="center"/>
            <w:hideMark/>
          </w:tcPr>
          <w:p w14:paraId="427D57A6" w14:textId="77777777" w:rsidR="009F1C44" w:rsidRPr="0016044D" w:rsidRDefault="009F1C44" w:rsidP="009F1C44">
            <w:pPr>
              <w:widowControl w:val="0"/>
              <w:spacing w:after="0" w:line="240" w:lineRule="auto"/>
              <w:jc w:val="center"/>
              <w:rPr>
                <w:rFonts w:ascii="Times New Roman" w:eastAsia="Times New Roman" w:hAnsi="Times New Roman" w:cs="Times New Roman"/>
                <w:b/>
                <w:bCs/>
                <w:sz w:val="24"/>
                <w:szCs w:val="24"/>
              </w:rPr>
            </w:pPr>
            <w:r w:rsidRPr="0016044D">
              <w:rPr>
                <w:rFonts w:ascii="Times New Roman" w:eastAsia="Times New Roman" w:hAnsi="Times New Roman" w:cs="Times New Roman"/>
                <w:b/>
                <w:bCs/>
                <w:sz w:val="24"/>
                <w:szCs w:val="24"/>
              </w:rPr>
              <w:t>Total</w:t>
            </w:r>
          </w:p>
        </w:tc>
        <w:tc>
          <w:tcPr>
            <w:tcW w:w="3402" w:type="dxa"/>
            <w:noWrap/>
            <w:vAlign w:val="center"/>
            <w:hideMark/>
          </w:tcPr>
          <w:p w14:paraId="5D98645A" w14:textId="77777777" w:rsidR="009F1C44" w:rsidRPr="0016044D" w:rsidRDefault="009F1C44" w:rsidP="009F1C44">
            <w:pPr>
              <w:widowControl w:val="0"/>
              <w:spacing w:after="0" w:line="240" w:lineRule="auto"/>
              <w:jc w:val="center"/>
              <w:rPr>
                <w:rFonts w:ascii="Times New Roman" w:eastAsia="Times New Roman" w:hAnsi="Times New Roman" w:cs="Times New Roman"/>
                <w:b/>
                <w:bCs/>
                <w:sz w:val="24"/>
                <w:szCs w:val="24"/>
              </w:rPr>
            </w:pPr>
          </w:p>
        </w:tc>
        <w:tc>
          <w:tcPr>
            <w:tcW w:w="1979" w:type="dxa"/>
            <w:noWrap/>
            <w:vAlign w:val="center"/>
            <w:hideMark/>
          </w:tcPr>
          <w:p w14:paraId="3A4EC3DC" w14:textId="77777777" w:rsidR="009F1C44" w:rsidRPr="0016044D" w:rsidRDefault="009F1C44" w:rsidP="009F1C44">
            <w:pPr>
              <w:widowControl w:val="0"/>
              <w:spacing w:after="0" w:line="240" w:lineRule="auto"/>
              <w:jc w:val="center"/>
              <w:rPr>
                <w:rFonts w:ascii="Times New Roman" w:eastAsia="Times New Roman" w:hAnsi="Times New Roman" w:cs="Times New Roman"/>
                <w:b/>
                <w:bCs/>
                <w:sz w:val="24"/>
                <w:szCs w:val="24"/>
              </w:rPr>
            </w:pPr>
            <w:r w:rsidRPr="0016044D">
              <w:rPr>
                <w:rFonts w:ascii="Times New Roman" w:eastAsia="Times New Roman" w:hAnsi="Times New Roman" w:cs="Times New Roman"/>
                <w:b/>
                <w:bCs/>
                <w:sz w:val="24"/>
                <w:szCs w:val="24"/>
              </w:rPr>
              <w:t>39</w:t>
            </w:r>
          </w:p>
        </w:tc>
      </w:tr>
    </w:tbl>
    <w:p w14:paraId="33AE667C" w14:textId="77777777" w:rsidR="009F1C44" w:rsidRPr="009F1C44" w:rsidRDefault="009F1C44" w:rsidP="009F1C44">
      <w:pPr>
        <w:widowControl w:val="0"/>
        <w:spacing w:after="0" w:line="240" w:lineRule="auto"/>
        <w:jc w:val="both"/>
        <w:rPr>
          <w:rFonts w:ascii="Times New Roman" w:eastAsia="Times New Roman" w:hAnsi="Times New Roman" w:cs="Times New Roman"/>
          <w:sz w:val="20"/>
          <w:szCs w:val="20"/>
        </w:rPr>
      </w:pPr>
      <w:r w:rsidRPr="009F1C44">
        <w:rPr>
          <w:rFonts w:ascii="Times New Roman" w:eastAsia="Times New Roman" w:hAnsi="Times New Roman" w:cs="Times New Roman"/>
          <w:sz w:val="24"/>
          <w:szCs w:val="24"/>
        </w:rPr>
        <w:fldChar w:fldCharType="end"/>
      </w:r>
      <w:r w:rsidRPr="009F1C44">
        <w:rPr>
          <w:rFonts w:ascii="Times New Roman" w:eastAsia="Times New Roman" w:hAnsi="Times New Roman" w:cs="Times New Roman"/>
          <w:sz w:val="20"/>
          <w:szCs w:val="20"/>
        </w:rPr>
        <w:t>Fonte: Elaborado pelas autoras com base na pesquisa documental.</w:t>
      </w:r>
    </w:p>
    <w:p w14:paraId="449E7CE3" w14:textId="77777777" w:rsidR="009F1C44" w:rsidRPr="009F1C44" w:rsidRDefault="009F1C44" w:rsidP="00D406A9">
      <w:pPr>
        <w:widowControl w:val="0"/>
        <w:spacing w:after="0" w:line="360" w:lineRule="auto"/>
        <w:ind w:firstLine="709"/>
        <w:jc w:val="both"/>
        <w:rPr>
          <w:rFonts w:ascii="Times New Roman" w:eastAsia="Times New Roman" w:hAnsi="Times New Roman" w:cs="Times New Roman"/>
          <w:sz w:val="24"/>
          <w:szCs w:val="24"/>
        </w:rPr>
      </w:pPr>
    </w:p>
    <w:p w14:paraId="0F29E224" w14:textId="77777777" w:rsidR="009F1C44" w:rsidRPr="009F1C44" w:rsidRDefault="009F1C44" w:rsidP="00D406A9">
      <w:pPr>
        <w:widowControl w:val="0"/>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 xml:space="preserve">Na Fase III da expansão da RFEPCT uma das propostas era a inserção e articulação para com o Programa Território da Cidadania, da PNDR/2007. Esse Programa foi criado em 2008, com objetivo de promover e acelerar a superação da pobreza e das desigualdades sociais no meio rural, por meio de estratégias de desenvolvimento territorial sustentável, desenvolvida em parceria com governos estaduais, municipais e a sociedade. Os Territórios foram definidos considerando regiões, municípios e/ou localidades com as mesmas características econômicas e ambientais, que tinham identidade e coesão social, cultural e geográfica (BRASIL, 2008b). </w:t>
      </w:r>
    </w:p>
    <w:p w14:paraId="54D5321A" w14:textId="77777777" w:rsidR="009F1C44" w:rsidRPr="009F1C44" w:rsidRDefault="009F1C44" w:rsidP="00D406A9">
      <w:pPr>
        <w:widowControl w:val="0"/>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 xml:space="preserve">No Paraná foram instituídos quatro Territórios da Cidadania. O Território denominado Cantuquiriguaçu recebeu um </w:t>
      </w:r>
      <w:r w:rsidRPr="009F1C44">
        <w:rPr>
          <w:rFonts w:ascii="Times New Roman" w:eastAsia="Times New Roman" w:hAnsi="Times New Roman" w:cs="Times New Roman"/>
          <w:i/>
          <w:iCs/>
          <w:sz w:val="24"/>
          <w:szCs w:val="24"/>
        </w:rPr>
        <w:t>campus</w:t>
      </w:r>
      <w:r w:rsidRPr="009F1C44">
        <w:rPr>
          <w:rFonts w:ascii="Times New Roman" w:eastAsia="Times New Roman" w:hAnsi="Times New Roman" w:cs="Times New Roman"/>
          <w:sz w:val="24"/>
          <w:szCs w:val="24"/>
        </w:rPr>
        <w:t xml:space="preserve"> avançado do IFPR no município de Quedas do Iguaçu. O Norte Pioneiro possui o IFPR em Jacarezinho. No Território Paraná Centro estão instalados um </w:t>
      </w:r>
      <w:r w:rsidRPr="009F1C44">
        <w:rPr>
          <w:rFonts w:ascii="Times New Roman" w:eastAsia="Times New Roman" w:hAnsi="Times New Roman" w:cs="Times New Roman"/>
          <w:i/>
          <w:iCs/>
          <w:sz w:val="24"/>
          <w:szCs w:val="24"/>
        </w:rPr>
        <w:t>campus</w:t>
      </w:r>
      <w:r w:rsidRPr="009F1C44">
        <w:rPr>
          <w:rFonts w:ascii="Times New Roman" w:eastAsia="Times New Roman" w:hAnsi="Times New Roman" w:cs="Times New Roman"/>
          <w:sz w:val="24"/>
          <w:szCs w:val="24"/>
        </w:rPr>
        <w:t xml:space="preserve"> do IFPR (em Pitanga) e um da UTFPR (em Guarapuava). Ressalta-se que no Território do Vale do Ribeira não foi instalada nenhuma dessas instituições (FNP, 2012).</w:t>
      </w:r>
    </w:p>
    <w:p w14:paraId="11F00409" w14:textId="77777777" w:rsidR="009F1C44" w:rsidRPr="009F1C44" w:rsidRDefault="009F1C44" w:rsidP="00D406A9">
      <w:pPr>
        <w:widowControl w:val="0"/>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 xml:space="preserve">Outro critério para a instalação de unidades no Territórios foi a priorização dos municípios pertencentes ao </w:t>
      </w:r>
      <w:r w:rsidRPr="009F1C44">
        <w:rPr>
          <w:rFonts w:ascii="Times New Roman" w:eastAsia="Times New Roman" w:hAnsi="Times New Roman" w:cs="Times New Roman"/>
          <w:i/>
          <w:iCs/>
          <w:sz w:val="24"/>
          <w:szCs w:val="24"/>
        </w:rPr>
        <w:t>g100</w:t>
      </w:r>
      <w:r w:rsidRPr="009F1C44">
        <w:rPr>
          <w:rFonts w:ascii="Times New Roman" w:eastAsia="Times New Roman" w:hAnsi="Times New Roman" w:cs="Times New Roman"/>
          <w:sz w:val="24"/>
          <w:szCs w:val="24"/>
        </w:rPr>
        <w:t xml:space="preserve">, isto é, um grupo composto por municípios populosos, com baixa receita </w:t>
      </w:r>
      <w:r w:rsidRPr="009F1C44">
        <w:rPr>
          <w:rFonts w:ascii="Times New Roman" w:eastAsia="Times New Roman" w:hAnsi="Times New Roman" w:cs="Times New Roman"/>
          <w:i/>
          <w:iCs/>
          <w:sz w:val="24"/>
          <w:szCs w:val="24"/>
        </w:rPr>
        <w:t>per capita</w:t>
      </w:r>
      <w:r w:rsidRPr="009F1C44">
        <w:rPr>
          <w:rFonts w:ascii="Times New Roman" w:eastAsia="Times New Roman" w:hAnsi="Times New Roman" w:cs="Times New Roman"/>
          <w:sz w:val="24"/>
          <w:szCs w:val="24"/>
        </w:rPr>
        <w:t xml:space="preserve"> e alta vulnerabilidade socioeconômica. A metodologia de cálculo para determinar os municípios do </w:t>
      </w:r>
      <w:r w:rsidRPr="009F1C44">
        <w:rPr>
          <w:rFonts w:ascii="Times New Roman" w:eastAsia="Times New Roman" w:hAnsi="Times New Roman" w:cs="Times New Roman"/>
          <w:i/>
          <w:iCs/>
          <w:sz w:val="24"/>
          <w:szCs w:val="24"/>
        </w:rPr>
        <w:t>g100</w:t>
      </w:r>
      <w:r w:rsidRPr="009F1C44">
        <w:rPr>
          <w:rFonts w:ascii="Times New Roman" w:eastAsia="Times New Roman" w:hAnsi="Times New Roman" w:cs="Times New Roman"/>
          <w:sz w:val="24"/>
          <w:szCs w:val="24"/>
        </w:rPr>
        <w:t xml:space="preserve"> foi aprimorada no decorrer do tempo, devido ao atendimento do grupo por políticas públicas específicas (FNP, 2020).</w:t>
      </w:r>
    </w:p>
    <w:p w14:paraId="3FD79906" w14:textId="77777777" w:rsidR="009F1C44" w:rsidRPr="009F1C44" w:rsidRDefault="009F1C44" w:rsidP="00D406A9">
      <w:pPr>
        <w:widowControl w:val="0"/>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 xml:space="preserve">Nove munícipios paranaenses estavam na lista do </w:t>
      </w:r>
      <w:r w:rsidRPr="009F1C44">
        <w:rPr>
          <w:rFonts w:ascii="Times New Roman" w:eastAsia="Times New Roman" w:hAnsi="Times New Roman" w:cs="Times New Roman"/>
          <w:i/>
          <w:iCs/>
          <w:sz w:val="24"/>
          <w:szCs w:val="24"/>
        </w:rPr>
        <w:t>g100</w:t>
      </w:r>
      <w:r w:rsidRPr="009F1C44">
        <w:rPr>
          <w:rFonts w:ascii="Times New Roman" w:eastAsia="Times New Roman" w:hAnsi="Times New Roman" w:cs="Times New Roman"/>
          <w:sz w:val="24"/>
          <w:szCs w:val="24"/>
        </w:rPr>
        <w:t xml:space="preserve"> em 2012, sendo eles: Almirante Tamandaré, Arapongas, Cambé, Campo Largo, Colombo, Fazenda Rio Grande, Guarapuava, Piraquara e Sarandi (FNP, 2012). Desses, Campo Largo e Colombo foram contemplados com </w:t>
      </w:r>
      <w:r w:rsidRPr="009F1C44">
        <w:rPr>
          <w:rFonts w:ascii="Times New Roman" w:eastAsia="Times New Roman" w:hAnsi="Times New Roman" w:cs="Times New Roman"/>
          <w:i/>
          <w:iCs/>
          <w:sz w:val="24"/>
          <w:szCs w:val="24"/>
        </w:rPr>
        <w:t>campus</w:t>
      </w:r>
      <w:r w:rsidRPr="009F1C44">
        <w:rPr>
          <w:rFonts w:ascii="Times New Roman" w:eastAsia="Times New Roman" w:hAnsi="Times New Roman" w:cs="Times New Roman"/>
          <w:sz w:val="24"/>
          <w:szCs w:val="24"/>
        </w:rPr>
        <w:t xml:space="preserve"> do IFPR, em 2013 e 2015 respectivamente. Arapongas recebeu um </w:t>
      </w:r>
      <w:r w:rsidRPr="009F1C44">
        <w:rPr>
          <w:rFonts w:ascii="Times New Roman" w:eastAsia="Times New Roman" w:hAnsi="Times New Roman" w:cs="Times New Roman"/>
          <w:i/>
          <w:iCs/>
          <w:sz w:val="24"/>
          <w:szCs w:val="24"/>
        </w:rPr>
        <w:t>campus</w:t>
      </w:r>
      <w:r w:rsidRPr="009F1C44">
        <w:rPr>
          <w:rFonts w:ascii="Times New Roman" w:eastAsia="Times New Roman" w:hAnsi="Times New Roman" w:cs="Times New Roman"/>
          <w:sz w:val="24"/>
          <w:szCs w:val="24"/>
        </w:rPr>
        <w:t xml:space="preserve"> avançado do IFPR apenas em 2018 e Guarapuava conta com a UTFPR desde 2011. Apenas o munícipio de Colombo ainda permanece na lista do </w:t>
      </w:r>
      <w:r w:rsidRPr="009F1C44">
        <w:rPr>
          <w:rFonts w:ascii="Times New Roman" w:eastAsia="Times New Roman" w:hAnsi="Times New Roman" w:cs="Times New Roman"/>
          <w:i/>
          <w:iCs/>
          <w:sz w:val="24"/>
          <w:szCs w:val="24"/>
        </w:rPr>
        <w:t>g100</w:t>
      </w:r>
      <w:r w:rsidRPr="009F1C44">
        <w:rPr>
          <w:rFonts w:ascii="Times New Roman" w:eastAsia="Times New Roman" w:hAnsi="Times New Roman" w:cs="Times New Roman"/>
          <w:sz w:val="24"/>
          <w:szCs w:val="24"/>
        </w:rPr>
        <w:t xml:space="preserve"> de 2020, entre os municípios em que foram instalados algum </w:t>
      </w:r>
      <w:r w:rsidRPr="009F1C44">
        <w:rPr>
          <w:rFonts w:ascii="Times New Roman" w:eastAsia="Times New Roman" w:hAnsi="Times New Roman" w:cs="Times New Roman"/>
          <w:i/>
          <w:iCs/>
          <w:sz w:val="24"/>
          <w:szCs w:val="24"/>
        </w:rPr>
        <w:t>campus</w:t>
      </w:r>
      <w:r w:rsidRPr="009F1C44">
        <w:rPr>
          <w:rFonts w:ascii="Times New Roman" w:eastAsia="Times New Roman" w:hAnsi="Times New Roman" w:cs="Times New Roman"/>
          <w:sz w:val="24"/>
          <w:szCs w:val="24"/>
        </w:rPr>
        <w:t>.</w:t>
      </w:r>
    </w:p>
    <w:p w14:paraId="4D164728" w14:textId="77777777" w:rsidR="009F1C44" w:rsidRPr="009F1C44" w:rsidRDefault="009F1C44" w:rsidP="00D406A9">
      <w:pPr>
        <w:widowControl w:val="0"/>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 xml:space="preserve">A instalação das unidades da RFEPCT também deveria ser direcionada pela proximidade com os Arranjos Produtivos Locais (APLs), de acordo a SETEC/MEC. Ademais, a Lei de criação dos IFs determina que a sua oferta formativa deve ser orientada para consolidação e fortalecimento dos arranjos produtivos, sociais e culturais locais, no âmbito de </w:t>
      </w:r>
      <w:r w:rsidRPr="009F1C44">
        <w:rPr>
          <w:rFonts w:ascii="Times New Roman" w:eastAsia="Times New Roman" w:hAnsi="Times New Roman" w:cs="Times New Roman"/>
          <w:sz w:val="24"/>
          <w:szCs w:val="24"/>
        </w:rPr>
        <w:lastRenderedPageBreak/>
        <w:t>atuação da instituição. Além de apoiar e fortalecer os APLs já existentes, os IFs devem atuar para identificar novas potencialidades de desenvolvimento socioeconômico.</w:t>
      </w:r>
    </w:p>
    <w:p w14:paraId="6AB4AA69" w14:textId="77777777" w:rsidR="009F1C44" w:rsidRPr="009F1C44" w:rsidRDefault="009F1C44" w:rsidP="00D406A9">
      <w:pPr>
        <w:widowControl w:val="0"/>
        <w:spacing w:after="0" w:line="360" w:lineRule="auto"/>
        <w:ind w:firstLine="709"/>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 xml:space="preserve">Os APLs estabelecidos no Paraná, bem como os setores produtivos e municípios que os compõem estão relacionados na Quadro 3. Constata-se que APLs relacionados possuem relação com municípios onde há a presença de instituição da Rede Federal. </w:t>
      </w:r>
    </w:p>
    <w:p w14:paraId="2FFA7907" w14:textId="77777777" w:rsidR="009F1C44" w:rsidRPr="009F1C44" w:rsidRDefault="009F1C44" w:rsidP="00D406A9">
      <w:pPr>
        <w:widowControl w:val="0"/>
        <w:spacing w:after="0" w:line="360" w:lineRule="auto"/>
        <w:ind w:firstLine="709"/>
        <w:jc w:val="both"/>
        <w:rPr>
          <w:rFonts w:ascii="Times New Roman" w:eastAsia="Times New Roman" w:hAnsi="Times New Roman" w:cs="Times New Roman"/>
          <w:sz w:val="24"/>
          <w:szCs w:val="24"/>
        </w:rPr>
      </w:pPr>
    </w:p>
    <w:p w14:paraId="3701D730" w14:textId="77777777" w:rsidR="009F1C44" w:rsidRPr="009F1C44" w:rsidRDefault="009F1C44" w:rsidP="009F1C44">
      <w:pPr>
        <w:widowControl w:val="0"/>
        <w:spacing w:after="0" w:line="240" w:lineRule="auto"/>
        <w:jc w:val="both"/>
        <w:rPr>
          <w:rFonts w:ascii="Times New Roman" w:eastAsia="Times New Roman" w:hAnsi="Times New Roman" w:cs="Times New Roman"/>
          <w:sz w:val="24"/>
          <w:szCs w:val="24"/>
        </w:rPr>
      </w:pPr>
      <w:r w:rsidRPr="009F1C44">
        <w:rPr>
          <w:rFonts w:ascii="Times New Roman" w:eastAsia="Times New Roman" w:hAnsi="Times New Roman" w:cs="Times New Roman"/>
          <w:sz w:val="24"/>
          <w:szCs w:val="24"/>
        </w:rPr>
        <w:t>Quadro 3 – APLs paranaenses</w:t>
      </w:r>
    </w:p>
    <w:tbl>
      <w:tblPr>
        <w:tblStyle w:val="Tabelacomgrade"/>
        <w:tblW w:w="0" w:type="auto"/>
        <w:tblLook w:val="04A0" w:firstRow="1" w:lastRow="0" w:firstColumn="1" w:lastColumn="0" w:noHBand="0" w:noVBand="1"/>
      </w:tblPr>
      <w:tblGrid>
        <w:gridCol w:w="2405"/>
        <w:gridCol w:w="1985"/>
        <w:gridCol w:w="4671"/>
      </w:tblGrid>
      <w:tr w:rsidR="009F1C44" w:rsidRPr="0016044D" w14:paraId="222DBB0B" w14:textId="77777777" w:rsidTr="005B0DFB">
        <w:tc>
          <w:tcPr>
            <w:tcW w:w="2405" w:type="dxa"/>
            <w:vAlign w:val="center"/>
          </w:tcPr>
          <w:p w14:paraId="5CA91784" w14:textId="77777777" w:rsidR="009F1C44" w:rsidRPr="0016044D" w:rsidRDefault="009F1C44" w:rsidP="009F1C44">
            <w:pPr>
              <w:widowControl w:val="0"/>
              <w:spacing w:after="0" w:line="240" w:lineRule="auto"/>
              <w:jc w:val="center"/>
              <w:rPr>
                <w:rFonts w:ascii="Times New Roman" w:eastAsia="Times New Roman" w:hAnsi="Times New Roman" w:cs="Times New Roman"/>
                <w:b/>
                <w:bCs/>
                <w:sz w:val="24"/>
                <w:szCs w:val="24"/>
              </w:rPr>
            </w:pPr>
            <w:r w:rsidRPr="0016044D">
              <w:rPr>
                <w:rFonts w:ascii="Times New Roman" w:eastAsia="Times New Roman" w:hAnsi="Times New Roman" w:cs="Times New Roman"/>
                <w:b/>
                <w:bCs/>
                <w:sz w:val="24"/>
                <w:szCs w:val="24"/>
              </w:rPr>
              <w:t>Nome do APL</w:t>
            </w:r>
          </w:p>
        </w:tc>
        <w:tc>
          <w:tcPr>
            <w:tcW w:w="1985" w:type="dxa"/>
            <w:vAlign w:val="center"/>
          </w:tcPr>
          <w:p w14:paraId="5DF7FCF1" w14:textId="77777777" w:rsidR="009F1C44" w:rsidRPr="0016044D" w:rsidRDefault="009F1C44" w:rsidP="009F1C44">
            <w:pPr>
              <w:widowControl w:val="0"/>
              <w:spacing w:after="0" w:line="240" w:lineRule="auto"/>
              <w:jc w:val="center"/>
              <w:rPr>
                <w:rFonts w:ascii="Times New Roman" w:eastAsia="Times New Roman" w:hAnsi="Times New Roman" w:cs="Times New Roman"/>
                <w:b/>
                <w:bCs/>
                <w:sz w:val="24"/>
                <w:szCs w:val="24"/>
              </w:rPr>
            </w:pPr>
            <w:r w:rsidRPr="0016044D">
              <w:rPr>
                <w:rFonts w:ascii="Times New Roman" w:eastAsia="Times New Roman" w:hAnsi="Times New Roman" w:cs="Times New Roman"/>
                <w:b/>
                <w:bCs/>
                <w:sz w:val="24"/>
                <w:szCs w:val="24"/>
              </w:rPr>
              <w:t>Setor Produtivo</w:t>
            </w:r>
          </w:p>
        </w:tc>
        <w:tc>
          <w:tcPr>
            <w:tcW w:w="4671" w:type="dxa"/>
            <w:vAlign w:val="center"/>
          </w:tcPr>
          <w:p w14:paraId="0DAF892A" w14:textId="77777777" w:rsidR="009F1C44" w:rsidRPr="0016044D" w:rsidRDefault="009F1C44" w:rsidP="009F1C44">
            <w:pPr>
              <w:widowControl w:val="0"/>
              <w:spacing w:after="0" w:line="240" w:lineRule="auto"/>
              <w:jc w:val="center"/>
              <w:rPr>
                <w:rFonts w:ascii="Times New Roman" w:eastAsia="Times New Roman" w:hAnsi="Times New Roman" w:cs="Times New Roman"/>
                <w:b/>
                <w:bCs/>
                <w:sz w:val="24"/>
                <w:szCs w:val="24"/>
              </w:rPr>
            </w:pPr>
            <w:r w:rsidRPr="0016044D">
              <w:rPr>
                <w:rFonts w:ascii="Times New Roman" w:eastAsia="Times New Roman" w:hAnsi="Times New Roman" w:cs="Times New Roman"/>
                <w:b/>
                <w:bCs/>
                <w:sz w:val="24"/>
                <w:szCs w:val="24"/>
              </w:rPr>
              <w:t>Municípios que compõem o APL</w:t>
            </w:r>
          </w:p>
        </w:tc>
      </w:tr>
      <w:tr w:rsidR="009F1C44" w:rsidRPr="009F1C44" w14:paraId="66102860" w14:textId="77777777" w:rsidTr="005B0DFB">
        <w:tc>
          <w:tcPr>
            <w:tcW w:w="2405" w:type="dxa"/>
            <w:vAlign w:val="center"/>
          </w:tcPr>
          <w:p w14:paraId="4F6D63F8" w14:textId="77777777" w:rsidR="009F1C44" w:rsidRPr="009F1C44" w:rsidRDefault="009F1C44" w:rsidP="009F1C44">
            <w:pPr>
              <w:widowControl w:val="0"/>
              <w:spacing w:after="0" w:line="240" w:lineRule="auto"/>
              <w:jc w:val="center"/>
              <w:rPr>
                <w:rFonts w:ascii="Times New Roman" w:eastAsia="Times New Roman" w:hAnsi="Times New Roman" w:cs="Times New Roman"/>
              </w:rPr>
            </w:pPr>
            <w:r w:rsidRPr="009F1C44">
              <w:rPr>
                <w:rFonts w:ascii="Times New Roman" w:eastAsia="Times New Roman" w:hAnsi="Times New Roman" w:cs="Times New Roman"/>
              </w:rPr>
              <w:t>Bonés de Apucarana</w:t>
            </w:r>
          </w:p>
        </w:tc>
        <w:tc>
          <w:tcPr>
            <w:tcW w:w="1985" w:type="dxa"/>
            <w:vAlign w:val="center"/>
          </w:tcPr>
          <w:p w14:paraId="32A10C2B" w14:textId="77777777" w:rsidR="009F1C44" w:rsidRPr="009F1C44" w:rsidRDefault="009F1C44" w:rsidP="009F1C44">
            <w:pPr>
              <w:widowControl w:val="0"/>
              <w:spacing w:after="0" w:line="240" w:lineRule="auto"/>
              <w:jc w:val="center"/>
              <w:rPr>
                <w:rFonts w:ascii="Times New Roman" w:eastAsia="Times New Roman" w:hAnsi="Times New Roman" w:cs="Times New Roman"/>
              </w:rPr>
            </w:pPr>
            <w:r w:rsidRPr="009F1C44">
              <w:rPr>
                <w:rFonts w:ascii="Times New Roman" w:eastAsia="Calibri" w:hAnsi="Times New Roman" w:cs="Times New Roman"/>
                <w:shd w:val="clear" w:color="auto" w:fill="FFFFFF"/>
              </w:rPr>
              <w:t>Têxtil e Confecções</w:t>
            </w:r>
          </w:p>
        </w:tc>
        <w:tc>
          <w:tcPr>
            <w:tcW w:w="4671" w:type="dxa"/>
            <w:vAlign w:val="center"/>
          </w:tcPr>
          <w:p w14:paraId="675C96C0" w14:textId="77777777" w:rsidR="009F1C44" w:rsidRPr="009F1C44" w:rsidRDefault="009F1C44" w:rsidP="009F1C44">
            <w:pPr>
              <w:widowControl w:val="0"/>
              <w:spacing w:after="0" w:line="240" w:lineRule="auto"/>
              <w:rPr>
                <w:rFonts w:ascii="Times New Roman" w:eastAsia="Times New Roman" w:hAnsi="Times New Roman" w:cs="Times New Roman"/>
              </w:rPr>
            </w:pPr>
            <w:r w:rsidRPr="009F1C44">
              <w:rPr>
                <w:rFonts w:ascii="Times New Roman" w:eastAsia="Calibri" w:hAnsi="Times New Roman" w:cs="Times New Roman"/>
                <w:shd w:val="clear" w:color="auto" w:fill="FFFFFF"/>
              </w:rPr>
              <w:t>Apucarana</w:t>
            </w:r>
          </w:p>
        </w:tc>
      </w:tr>
      <w:tr w:rsidR="009F1C44" w:rsidRPr="009F1C44" w14:paraId="503D5D1C" w14:textId="77777777" w:rsidTr="005B0DFB">
        <w:tc>
          <w:tcPr>
            <w:tcW w:w="2405" w:type="dxa"/>
            <w:vAlign w:val="center"/>
          </w:tcPr>
          <w:p w14:paraId="14E9E8E8" w14:textId="77777777" w:rsidR="009F1C44" w:rsidRPr="009F1C44" w:rsidRDefault="009F1C44" w:rsidP="009F1C44">
            <w:pPr>
              <w:widowControl w:val="0"/>
              <w:spacing w:after="0" w:line="240" w:lineRule="auto"/>
              <w:jc w:val="center"/>
              <w:rPr>
                <w:rFonts w:ascii="Times New Roman" w:eastAsia="Times New Roman" w:hAnsi="Times New Roman" w:cs="Times New Roman"/>
              </w:rPr>
            </w:pPr>
            <w:r w:rsidRPr="009F1C44">
              <w:rPr>
                <w:rFonts w:ascii="Times New Roman" w:eastAsia="Calibri" w:hAnsi="Times New Roman" w:cs="Times New Roman"/>
                <w:shd w:val="clear" w:color="auto" w:fill="FFFFFF"/>
              </w:rPr>
              <w:t>Confecção Maringá</w:t>
            </w:r>
          </w:p>
        </w:tc>
        <w:tc>
          <w:tcPr>
            <w:tcW w:w="1985" w:type="dxa"/>
            <w:vAlign w:val="center"/>
          </w:tcPr>
          <w:p w14:paraId="6C98D3AF"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Têxtil e Confecções</w:t>
            </w:r>
          </w:p>
        </w:tc>
        <w:tc>
          <w:tcPr>
            <w:tcW w:w="4671" w:type="dxa"/>
            <w:vAlign w:val="center"/>
          </w:tcPr>
          <w:p w14:paraId="3DFDE4C0" w14:textId="77777777" w:rsidR="009F1C44" w:rsidRPr="009F1C44" w:rsidRDefault="009F1C44" w:rsidP="009F1C44">
            <w:pPr>
              <w:widowControl w:val="0"/>
              <w:spacing w:after="0" w:line="240" w:lineRule="auto"/>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Amaporã; Ângulo; Atalaia; Barbosa Ferraz; Cafeara; Corumbataí do Sul ; Cruzeiro do Sul; Diamante do Norte; Fênix; Floraí; Floresta; Flórida; Guairaçá; Guaraci; Iguaraçu; Inajá; Itaguajé; Itambé; Itaúna do Sul; Ivatuba; Jardim Olinda; Lobato; Luiziana; Lupionópolis; Marilena; Maringá; Mirador; Nossa Senhora Das Graças; Nova Aliança do Ivaí; Ourizona; Paiçandu; Paraíso do Norte; Paranacity; Paranapoema; Pitangueiras; Planaltina do Paraná; Porto Rico; Presidente Castelo Branco; Querência do Norte; Quinta do Sol; Santa Cruz de Monte Castelo; Santa Fé; Santa Inês; Santa Isabel do Ivaí; Santa Mônica; Santo Antônio do Caiuá; Santo Inácio; São João do Caiuá; São Pedro do Paraná; Tamboara; Terra Rica; Uniflor.</w:t>
            </w:r>
          </w:p>
        </w:tc>
      </w:tr>
      <w:tr w:rsidR="009F1C44" w:rsidRPr="009F1C44" w14:paraId="7DE50B46" w14:textId="77777777" w:rsidTr="005B0DFB">
        <w:tc>
          <w:tcPr>
            <w:tcW w:w="2405" w:type="dxa"/>
            <w:vAlign w:val="center"/>
          </w:tcPr>
          <w:p w14:paraId="5D29E053"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Confecção Moda Sudoeste</w:t>
            </w:r>
          </w:p>
        </w:tc>
        <w:tc>
          <w:tcPr>
            <w:tcW w:w="1985" w:type="dxa"/>
            <w:vAlign w:val="center"/>
          </w:tcPr>
          <w:p w14:paraId="2A8FB23C"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Têxtil e Confecções</w:t>
            </w:r>
          </w:p>
        </w:tc>
        <w:tc>
          <w:tcPr>
            <w:tcW w:w="4671" w:type="dxa"/>
            <w:vAlign w:val="center"/>
          </w:tcPr>
          <w:p w14:paraId="65B578B8" w14:textId="77777777" w:rsidR="009F1C44" w:rsidRPr="009F1C44" w:rsidRDefault="009F1C44" w:rsidP="009F1C44">
            <w:pPr>
              <w:widowControl w:val="0"/>
              <w:spacing w:after="0" w:line="240" w:lineRule="auto"/>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Ampere; Capanema; Dois Vizinhos; Francisco Beltrão; Palmas; Pato Branco; Salto do Lontra; Santa Izabel do Oeste; Santo Antônio do Sudoeste.</w:t>
            </w:r>
          </w:p>
        </w:tc>
      </w:tr>
      <w:tr w:rsidR="009F1C44" w:rsidRPr="009F1C44" w14:paraId="066666D3" w14:textId="77777777" w:rsidTr="005B0DFB">
        <w:tc>
          <w:tcPr>
            <w:tcW w:w="2405" w:type="dxa"/>
            <w:vAlign w:val="center"/>
          </w:tcPr>
          <w:p w14:paraId="56EE73DD"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Curitiba Tecnoparque</w:t>
            </w:r>
          </w:p>
        </w:tc>
        <w:tc>
          <w:tcPr>
            <w:tcW w:w="1985" w:type="dxa"/>
            <w:vAlign w:val="center"/>
          </w:tcPr>
          <w:p w14:paraId="14DFD3CF"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3º Setor</w:t>
            </w:r>
          </w:p>
        </w:tc>
        <w:tc>
          <w:tcPr>
            <w:tcW w:w="4671" w:type="dxa"/>
            <w:vAlign w:val="center"/>
          </w:tcPr>
          <w:p w14:paraId="69CD5C9A" w14:textId="77777777" w:rsidR="009F1C44" w:rsidRPr="009F1C44" w:rsidRDefault="009F1C44" w:rsidP="009F1C44">
            <w:pPr>
              <w:widowControl w:val="0"/>
              <w:spacing w:after="0" w:line="240" w:lineRule="auto"/>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Campo Largo; Colombo; Curitiba; Mandirituba; Pinhais; São José dos Pinhais.</w:t>
            </w:r>
          </w:p>
        </w:tc>
      </w:tr>
      <w:tr w:rsidR="009F1C44" w:rsidRPr="009F1C44" w14:paraId="7EF5DCFF" w14:textId="77777777" w:rsidTr="005B0DFB">
        <w:tc>
          <w:tcPr>
            <w:tcW w:w="2405" w:type="dxa"/>
            <w:vAlign w:val="center"/>
          </w:tcPr>
          <w:p w14:paraId="21836F31"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Iguassu IT</w:t>
            </w:r>
          </w:p>
        </w:tc>
        <w:tc>
          <w:tcPr>
            <w:tcW w:w="1985" w:type="dxa"/>
            <w:vAlign w:val="center"/>
          </w:tcPr>
          <w:p w14:paraId="4A4D69AA"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Software; Tecnologia</w:t>
            </w:r>
          </w:p>
        </w:tc>
        <w:tc>
          <w:tcPr>
            <w:tcW w:w="4671" w:type="dxa"/>
            <w:vAlign w:val="center"/>
          </w:tcPr>
          <w:p w14:paraId="16DB87CF" w14:textId="77777777" w:rsidR="009F1C44" w:rsidRPr="009F1C44" w:rsidRDefault="009F1C44" w:rsidP="009F1C44">
            <w:pPr>
              <w:widowControl w:val="0"/>
              <w:spacing w:after="0" w:line="240" w:lineRule="auto"/>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Toledo; Cascavel; Foz do Iguaçu; Medianeira; Guaira; Marechal Candido Rondon.</w:t>
            </w:r>
          </w:p>
        </w:tc>
      </w:tr>
      <w:tr w:rsidR="009F1C44" w:rsidRPr="009F1C44" w14:paraId="6D3004CE" w14:textId="77777777" w:rsidTr="005B0DFB">
        <w:tc>
          <w:tcPr>
            <w:tcW w:w="2405" w:type="dxa"/>
            <w:vAlign w:val="center"/>
          </w:tcPr>
          <w:p w14:paraId="392C29CF"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Instrumentos Médico e Odontológicos de Campo Mourão</w:t>
            </w:r>
          </w:p>
        </w:tc>
        <w:tc>
          <w:tcPr>
            <w:tcW w:w="1985" w:type="dxa"/>
            <w:vAlign w:val="center"/>
          </w:tcPr>
          <w:p w14:paraId="6E4CB7BF"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Indústria</w:t>
            </w:r>
          </w:p>
        </w:tc>
        <w:tc>
          <w:tcPr>
            <w:tcW w:w="4671" w:type="dxa"/>
            <w:vAlign w:val="center"/>
          </w:tcPr>
          <w:p w14:paraId="10321A84" w14:textId="77777777" w:rsidR="009F1C44" w:rsidRPr="009F1C44" w:rsidRDefault="009F1C44" w:rsidP="009F1C44">
            <w:pPr>
              <w:widowControl w:val="0"/>
              <w:spacing w:after="0" w:line="240" w:lineRule="auto"/>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Araruna; Campo Mourão; Peabiru.</w:t>
            </w:r>
          </w:p>
        </w:tc>
      </w:tr>
      <w:tr w:rsidR="009F1C44" w:rsidRPr="009F1C44" w14:paraId="324FB669" w14:textId="77777777" w:rsidTr="005B0DFB">
        <w:tc>
          <w:tcPr>
            <w:tcW w:w="2405" w:type="dxa"/>
            <w:vAlign w:val="center"/>
          </w:tcPr>
          <w:p w14:paraId="66353E48"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Madeira e Móveis do Sudoeste</w:t>
            </w:r>
          </w:p>
        </w:tc>
        <w:tc>
          <w:tcPr>
            <w:tcW w:w="1985" w:type="dxa"/>
            <w:vAlign w:val="center"/>
          </w:tcPr>
          <w:p w14:paraId="23A33C48"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Madeira e Móveis</w:t>
            </w:r>
          </w:p>
        </w:tc>
        <w:tc>
          <w:tcPr>
            <w:tcW w:w="4671" w:type="dxa"/>
            <w:vAlign w:val="center"/>
          </w:tcPr>
          <w:p w14:paraId="484C4DC1" w14:textId="77777777" w:rsidR="009F1C44" w:rsidRPr="009F1C44" w:rsidRDefault="009F1C44" w:rsidP="009F1C44">
            <w:pPr>
              <w:widowControl w:val="0"/>
              <w:spacing w:after="0" w:line="240" w:lineRule="auto"/>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Ampere; Barracão; Capanema; Dois Vizinhos; Eneas Marques; Franciso Beltrão; Itapejara do Oeste; Marmeleiro; Nova Prata do Iguaçu; Nove Esperança do Sudoeste; Pérola do Oeste; Planalto; Pranchita; Realeza; Renascença; Salgado Filho; Salto do Lontra; Santa Isabel do Oeste; Santo Antônio do Sudoeste; São Jorge do Oeste; Verê.</w:t>
            </w:r>
          </w:p>
        </w:tc>
      </w:tr>
      <w:tr w:rsidR="009F1C44" w:rsidRPr="009F1C44" w14:paraId="0E2377D7" w14:textId="77777777" w:rsidTr="005B0DFB">
        <w:tc>
          <w:tcPr>
            <w:tcW w:w="2405" w:type="dxa"/>
            <w:vAlign w:val="center"/>
          </w:tcPr>
          <w:p w14:paraId="3715B70E"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lastRenderedPageBreak/>
              <w:t>Mandioca e Derivados</w:t>
            </w:r>
          </w:p>
        </w:tc>
        <w:tc>
          <w:tcPr>
            <w:tcW w:w="1985" w:type="dxa"/>
            <w:vAlign w:val="center"/>
          </w:tcPr>
          <w:p w14:paraId="571C76EA"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Mandioca</w:t>
            </w:r>
          </w:p>
        </w:tc>
        <w:tc>
          <w:tcPr>
            <w:tcW w:w="4671" w:type="dxa"/>
            <w:vAlign w:val="center"/>
          </w:tcPr>
          <w:p w14:paraId="7A0ADF3F" w14:textId="77777777" w:rsidR="009F1C44" w:rsidRPr="009F1C44" w:rsidRDefault="009F1C44" w:rsidP="009F1C44">
            <w:pPr>
              <w:widowControl w:val="0"/>
              <w:spacing w:after="0" w:line="240" w:lineRule="auto"/>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AMUNPAR; Paranavaí.</w:t>
            </w:r>
          </w:p>
        </w:tc>
      </w:tr>
      <w:tr w:rsidR="009F1C44" w:rsidRPr="009F1C44" w14:paraId="7411CE21" w14:textId="77777777" w:rsidTr="005B0DFB">
        <w:tc>
          <w:tcPr>
            <w:tcW w:w="2405" w:type="dxa"/>
            <w:vAlign w:val="center"/>
          </w:tcPr>
          <w:p w14:paraId="01B921A4"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Metais Sanitários</w:t>
            </w:r>
          </w:p>
        </w:tc>
        <w:tc>
          <w:tcPr>
            <w:tcW w:w="1985" w:type="dxa"/>
            <w:vAlign w:val="center"/>
          </w:tcPr>
          <w:p w14:paraId="364C3C56"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Metal Mecânico</w:t>
            </w:r>
          </w:p>
        </w:tc>
        <w:tc>
          <w:tcPr>
            <w:tcW w:w="4671" w:type="dxa"/>
            <w:vAlign w:val="center"/>
          </w:tcPr>
          <w:p w14:paraId="25B38C15" w14:textId="77777777" w:rsidR="009F1C44" w:rsidRPr="009F1C44" w:rsidRDefault="009F1C44" w:rsidP="009F1C44">
            <w:pPr>
              <w:widowControl w:val="0"/>
              <w:spacing w:after="0" w:line="240" w:lineRule="auto"/>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Loanda; Santa Cruz do Monte Castelo; Santa Isabel do Ivaí; São Pedro do Paraná.</w:t>
            </w:r>
          </w:p>
        </w:tc>
      </w:tr>
      <w:tr w:rsidR="009F1C44" w:rsidRPr="009F1C44" w14:paraId="616003FC" w14:textId="77777777" w:rsidTr="005B0DFB">
        <w:tc>
          <w:tcPr>
            <w:tcW w:w="2405" w:type="dxa"/>
            <w:vAlign w:val="center"/>
          </w:tcPr>
          <w:p w14:paraId="6A1DB349"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Moda Bebê de Terra Roxa</w:t>
            </w:r>
          </w:p>
        </w:tc>
        <w:tc>
          <w:tcPr>
            <w:tcW w:w="1985" w:type="dxa"/>
            <w:vAlign w:val="center"/>
          </w:tcPr>
          <w:p w14:paraId="1073D58F"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Têxtil e Confecções</w:t>
            </w:r>
          </w:p>
        </w:tc>
        <w:tc>
          <w:tcPr>
            <w:tcW w:w="4671" w:type="dxa"/>
            <w:vAlign w:val="center"/>
          </w:tcPr>
          <w:p w14:paraId="46D480DA" w14:textId="77777777" w:rsidR="009F1C44" w:rsidRPr="009F1C44" w:rsidRDefault="009F1C44" w:rsidP="009F1C44">
            <w:pPr>
              <w:widowControl w:val="0"/>
              <w:spacing w:after="0" w:line="240" w:lineRule="auto"/>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Terra Roxa.</w:t>
            </w:r>
          </w:p>
        </w:tc>
      </w:tr>
      <w:tr w:rsidR="009F1C44" w:rsidRPr="009F1C44" w14:paraId="629342E1" w14:textId="77777777" w:rsidTr="005B0DFB">
        <w:tc>
          <w:tcPr>
            <w:tcW w:w="2405" w:type="dxa"/>
            <w:vAlign w:val="center"/>
          </w:tcPr>
          <w:p w14:paraId="3B85BDC1"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Móveis Arapongas e Região</w:t>
            </w:r>
          </w:p>
        </w:tc>
        <w:tc>
          <w:tcPr>
            <w:tcW w:w="1985" w:type="dxa"/>
            <w:vAlign w:val="center"/>
          </w:tcPr>
          <w:p w14:paraId="14CD5B79"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Mobília Residencial e Corporativa</w:t>
            </w:r>
          </w:p>
        </w:tc>
        <w:tc>
          <w:tcPr>
            <w:tcW w:w="4671" w:type="dxa"/>
            <w:vAlign w:val="center"/>
          </w:tcPr>
          <w:p w14:paraId="253AF9F0" w14:textId="77777777" w:rsidR="009F1C44" w:rsidRPr="009F1C44" w:rsidRDefault="009F1C44" w:rsidP="009F1C44">
            <w:pPr>
              <w:widowControl w:val="0"/>
              <w:spacing w:after="0" w:line="240" w:lineRule="auto"/>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Apucarana; Arapongas; Astorga; Cambé; Ibiporã; Jandaia do Sul; Londrina; Mandaguaçu; Mandaguari; Marialva; Maringá; Paiçandu; Prado Ferreira; Rolândia; Sabaúdia; Terra Rica.</w:t>
            </w:r>
          </w:p>
        </w:tc>
      </w:tr>
      <w:tr w:rsidR="009F1C44" w:rsidRPr="009F1C44" w14:paraId="31B9F5EB" w14:textId="77777777" w:rsidTr="005B0DFB">
        <w:tc>
          <w:tcPr>
            <w:tcW w:w="2405" w:type="dxa"/>
            <w:vAlign w:val="center"/>
          </w:tcPr>
          <w:p w14:paraId="467991A5"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i/>
                <w:iCs/>
                <w:shd w:val="clear" w:color="auto" w:fill="FFFFFF"/>
              </w:rPr>
              <w:t>Software by</w:t>
            </w:r>
            <w:r w:rsidRPr="009F1C44">
              <w:rPr>
                <w:rFonts w:ascii="Times New Roman" w:eastAsia="Calibri" w:hAnsi="Times New Roman" w:cs="Times New Roman"/>
                <w:shd w:val="clear" w:color="auto" w:fill="FFFFFF"/>
              </w:rPr>
              <w:t xml:space="preserve"> Maringá</w:t>
            </w:r>
          </w:p>
        </w:tc>
        <w:tc>
          <w:tcPr>
            <w:tcW w:w="1985" w:type="dxa"/>
            <w:vAlign w:val="center"/>
          </w:tcPr>
          <w:p w14:paraId="40D553F6"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Tecnologia da Informação e Comunicação (TIC)</w:t>
            </w:r>
          </w:p>
        </w:tc>
        <w:tc>
          <w:tcPr>
            <w:tcW w:w="4671" w:type="dxa"/>
            <w:vAlign w:val="center"/>
          </w:tcPr>
          <w:p w14:paraId="5302E938" w14:textId="77777777" w:rsidR="009F1C44" w:rsidRPr="009F1C44" w:rsidRDefault="009F1C44" w:rsidP="009F1C44">
            <w:pPr>
              <w:widowControl w:val="0"/>
              <w:spacing w:after="0" w:line="240" w:lineRule="auto"/>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Maringá.</w:t>
            </w:r>
          </w:p>
        </w:tc>
      </w:tr>
      <w:tr w:rsidR="009F1C44" w:rsidRPr="009F1C44" w14:paraId="61F10351" w14:textId="77777777" w:rsidTr="005B0DFB">
        <w:tc>
          <w:tcPr>
            <w:tcW w:w="2405" w:type="dxa"/>
            <w:vAlign w:val="center"/>
          </w:tcPr>
          <w:p w14:paraId="461BF36A"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Tecnologia da Informação do Sudoeste do Paraná</w:t>
            </w:r>
          </w:p>
        </w:tc>
        <w:tc>
          <w:tcPr>
            <w:tcW w:w="1985" w:type="dxa"/>
            <w:vAlign w:val="center"/>
          </w:tcPr>
          <w:p w14:paraId="39560871"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Desenvolvimento de Software e Prestação de Serviços em Tecnologia da Informação</w:t>
            </w:r>
          </w:p>
        </w:tc>
        <w:tc>
          <w:tcPr>
            <w:tcW w:w="4671" w:type="dxa"/>
            <w:vAlign w:val="center"/>
          </w:tcPr>
          <w:p w14:paraId="348EB636" w14:textId="77777777" w:rsidR="009F1C44" w:rsidRPr="009F1C44" w:rsidRDefault="009F1C44" w:rsidP="009F1C44">
            <w:pPr>
              <w:widowControl w:val="0"/>
              <w:spacing w:after="0" w:line="240" w:lineRule="auto"/>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Pato Branco.</w:t>
            </w:r>
          </w:p>
        </w:tc>
      </w:tr>
      <w:tr w:rsidR="009F1C44" w:rsidRPr="009F1C44" w14:paraId="02B49651" w14:textId="77777777" w:rsidTr="005B0DFB">
        <w:tc>
          <w:tcPr>
            <w:tcW w:w="2405" w:type="dxa"/>
            <w:vAlign w:val="center"/>
          </w:tcPr>
          <w:p w14:paraId="76192220"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Utensílios Domésticos e Produtos em Alumínio do Sudoeste do Paraná</w:t>
            </w:r>
          </w:p>
        </w:tc>
        <w:tc>
          <w:tcPr>
            <w:tcW w:w="1985" w:type="dxa"/>
            <w:vAlign w:val="center"/>
          </w:tcPr>
          <w:p w14:paraId="3D3F0E73"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Industrial e Serviços</w:t>
            </w:r>
          </w:p>
        </w:tc>
        <w:tc>
          <w:tcPr>
            <w:tcW w:w="4671" w:type="dxa"/>
            <w:vAlign w:val="center"/>
          </w:tcPr>
          <w:p w14:paraId="371A301D" w14:textId="77777777" w:rsidR="009F1C44" w:rsidRPr="009F1C44" w:rsidRDefault="009F1C44" w:rsidP="009F1C44">
            <w:pPr>
              <w:widowControl w:val="0"/>
              <w:spacing w:after="0" w:line="240" w:lineRule="auto"/>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Flor da Serra do Sul; Bom Sucesso do Sul; Coronel Vivida; Francisco Beltrão; Marmeleiro; Nova Prata do Iguaçu; Pato Branco; Realeza; Renascença.</w:t>
            </w:r>
          </w:p>
        </w:tc>
      </w:tr>
      <w:tr w:rsidR="009F1C44" w:rsidRPr="009F1C44" w14:paraId="576C851C" w14:textId="77777777" w:rsidTr="005B0DFB">
        <w:tc>
          <w:tcPr>
            <w:tcW w:w="2405" w:type="dxa"/>
            <w:vAlign w:val="center"/>
          </w:tcPr>
          <w:p w14:paraId="64F7435E"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Vestuário Cianorte de Maringá</w:t>
            </w:r>
          </w:p>
        </w:tc>
        <w:tc>
          <w:tcPr>
            <w:tcW w:w="1985" w:type="dxa"/>
            <w:vAlign w:val="center"/>
          </w:tcPr>
          <w:p w14:paraId="7CE051DA" w14:textId="77777777" w:rsidR="009F1C44" w:rsidRPr="009F1C44" w:rsidRDefault="009F1C44" w:rsidP="009F1C44">
            <w:pPr>
              <w:widowControl w:val="0"/>
              <w:spacing w:after="0" w:line="240" w:lineRule="auto"/>
              <w:jc w:val="center"/>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Indústria de Confecções</w:t>
            </w:r>
          </w:p>
        </w:tc>
        <w:tc>
          <w:tcPr>
            <w:tcW w:w="4671" w:type="dxa"/>
            <w:vAlign w:val="center"/>
          </w:tcPr>
          <w:p w14:paraId="44B10DD5" w14:textId="77777777" w:rsidR="009F1C44" w:rsidRPr="009F1C44" w:rsidRDefault="009F1C44" w:rsidP="009F1C44">
            <w:pPr>
              <w:widowControl w:val="0"/>
              <w:spacing w:after="0" w:line="240" w:lineRule="auto"/>
              <w:rPr>
                <w:rFonts w:ascii="Times New Roman" w:eastAsia="Calibri" w:hAnsi="Times New Roman" w:cs="Times New Roman"/>
                <w:shd w:val="clear" w:color="auto" w:fill="FFFFFF"/>
              </w:rPr>
            </w:pPr>
            <w:r w:rsidRPr="009F1C44">
              <w:rPr>
                <w:rFonts w:ascii="Times New Roman" w:eastAsia="Calibri" w:hAnsi="Times New Roman" w:cs="Times New Roman"/>
                <w:shd w:val="clear" w:color="auto" w:fill="FFFFFF"/>
              </w:rPr>
              <w:t>Cianorte; Maringá.</w:t>
            </w:r>
          </w:p>
        </w:tc>
      </w:tr>
    </w:tbl>
    <w:p w14:paraId="793B701D" w14:textId="77777777" w:rsidR="009F1C44" w:rsidRPr="009F1C44" w:rsidRDefault="009F1C44" w:rsidP="009F1C44">
      <w:pPr>
        <w:widowControl w:val="0"/>
        <w:spacing w:after="0" w:line="360" w:lineRule="auto"/>
        <w:jc w:val="both"/>
        <w:rPr>
          <w:rFonts w:ascii="Times New Roman" w:eastAsia="Times New Roman" w:hAnsi="Times New Roman" w:cs="Times New Roman"/>
          <w:sz w:val="20"/>
          <w:szCs w:val="20"/>
        </w:rPr>
      </w:pPr>
      <w:r w:rsidRPr="009F1C44">
        <w:rPr>
          <w:rFonts w:ascii="Times New Roman" w:eastAsia="Times New Roman" w:hAnsi="Times New Roman" w:cs="Times New Roman"/>
          <w:sz w:val="20"/>
          <w:szCs w:val="20"/>
        </w:rPr>
        <w:t>Fonte: Observatório Brasileiro APL (2022).</w:t>
      </w:r>
    </w:p>
    <w:p w14:paraId="78490CC8" w14:textId="77777777" w:rsidR="009F1C44" w:rsidRPr="009F1C44" w:rsidRDefault="009F1C44" w:rsidP="00D406A9">
      <w:pPr>
        <w:widowControl w:val="0"/>
        <w:spacing w:after="0" w:line="360" w:lineRule="auto"/>
        <w:ind w:firstLine="709"/>
        <w:jc w:val="both"/>
        <w:rPr>
          <w:rFonts w:ascii="Times New Roman" w:eastAsia="Calibri" w:hAnsi="Times New Roman" w:cs="Times New Roman"/>
          <w:sz w:val="24"/>
          <w:szCs w:val="24"/>
        </w:rPr>
      </w:pPr>
    </w:p>
    <w:p w14:paraId="257C456D" w14:textId="77777777" w:rsidR="009F1C44" w:rsidRPr="009F1C44" w:rsidRDefault="009F1C44" w:rsidP="00D406A9">
      <w:pPr>
        <w:widowControl w:val="0"/>
        <w:spacing w:after="0" w:line="360" w:lineRule="auto"/>
        <w:ind w:firstLine="709"/>
        <w:jc w:val="both"/>
        <w:rPr>
          <w:rFonts w:ascii="Times New Roman" w:eastAsia="Calibri" w:hAnsi="Times New Roman" w:cs="Times New Roman"/>
          <w:sz w:val="24"/>
          <w:szCs w:val="24"/>
        </w:rPr>
      </w:pPr>
      <w:r w:rsidRPr="009F1C44">
        <w:rPr>
          <w:rFonts w:ascii="Times New Roman" w:eastAsia="Calibri" w:hAnsi="Times New Roman" w:cs="Times New Roman"/>
          <w:sz w:val="24"/>
          <w:szCs w:val="24"/>
        </w:rPr>
        <w:t xml:space="preserve">O Planejamento de Desenvolvimento Institucional (PDI) do IFPR orienta que as diferenças de territorialidade e dimensões culturais, históricas e econômicas que caracterizam  a localidade devem ser consideradas, além do compromisso com o desenvolvimento regional sustentável; bem como o estudo dos arranjos produtivos sociais e culturais locais, com foco no desenvolvimento de saberes tecnológicos. Desse modo, o Ensino, a Pesquisa, a Extensão e a Inovação devem ter seus objetos definidos a partir da observação dos aspectos regionais, como ponto de partida para o planejamento das ações nos diferentes </w:t>
      </w:r>
      <w:r w:rsidRPr="009F1C44">
        <w:rPr>
          <w:rFonts w:ascii="Times New Roman" w:eastAsia="Calibri" w:hAnsi="Times New Roman" w:cs="Times New Roman"/>
          <w:i/>
          <w:iCs/>
          <w:sz w:val="24"/>
          <w:szCs w:val="24"/>
        </w:rPr>
        <w:t>campi</w:t>
      </w:r>
      <w:r w:rsidRPr="009F1C44">
        <w:rPr>
          <w:rFonts w:ascii="Times New Roman" w:eastAsia="Calibri" w:hAnsi="Times New Roman" w:cs="Times New Roman"/>
          <w:sz w:val="24"/>
          <w:szCs w:val="24"/>
        </w:rPr>
        <w:t xml:space="preserve">, respeitando-se as especificidades de cada região, que devem estar explicitadas nos Projetos Políticos Pedagógicos (PPPs) dos </w:t>
      </w:r>
      <w:r w:rsidRPr="009F1C44">
        <w:rPr>
          <w:rFonts w:ascii="Times New Roman" w:eastAsia="Calibri" w:hAnsi="Times New Roman" w:cs="Times New Roman"/>
          <w:i/>
          <w:iCs/>
          <w:sz w:val="24"/>
          <w:szCs w:val="24"/>
        </w:rPr>
        <w:t>campi</w:t>
      </w:r>
      <w:r w:rsidRPr="009F1C44">
        <w:rPr>
          <w:rFonts w:ascii="Times New Roman" w:eastAsia="Calibri" w:hAnsi="Times New Roman" w:cs="Times New Roman"/>
          <w:sz w:val="24"/>
          <w:szCs w:val="24"/>
        </w:rPr>
        <w:t xml:space="preserve"> (IFPR, 2018).</w:t>
      </w:r>
    </w:p>
    <w:p w14:paraId="2B802850" w14:textId="77777777" w:rsidR="009F1C44" w:rsidRPr="009F1C44" w:rsidRDefault="009F1C44" w:rsidP="00D406A9">
      <w:pPr>
        <w:widowControl w:val="0"/>
        <w:spacing w:after="0" w:line="360" w:lineRule="auto"/>
        <w:ind w:firstLine="709"/>
        <w:jc w:val="both"/>
        <w:rPr>
          <w:rFonts w:ascii="Times New Roman" w:eastAsia="Calibri" w:hAnsi="Times New Roman" w:cs="Times New Roman"/>
          <w:sz w:val="24"/>
          <w:szCs w:val="24"/>
        </w:rPr>
      </w:pPr>
      <w:r w:rsidRPr="009F1C44">
        <w:rPr>
          <w:rFonts w:ascii="Times New Roman" w:eastAsia="Calibri" w:hAnsi="Times New Roman" w:cs="Times New Roman"/>
          <w:sz w:val="24"/>
          <w:szCs w:val="24"/>
        </w:rPr>
        <w:t xml:space="preserve">A seguir são apresentadas algumas informações sobre a oferta de EPT pelo IFPR, dados obtidos através da consulta à Plataforma Nilo Peçanha (PNP), que tem caráter público. A PNP foi desenvolvida para coleta, validação e disseminação de estatísticas da Rede Federal. Ela reúne dados relativos ao corpo docente, discente, técnico-administrativo e de gastos financeiros </w:t>
      </w:r>
      <w:r w:rsidRPr="009F1C44">
        <w:rPr>
          <w:rFonts w:ascii="Times New Roman" w:eastAsia="Calibri" w:hAnsi="Times New Roman" w:cs="Times New Roman"/>
          <w:sz w:val="24"/>
          <w:szCs w:val="24"/>
        </w:rPr>
        <w:lastRenderedPageBreak/>
        <w:t>das unidades, para fins de cálculo dos indicadores de gestão monitorados pela SETEC/MEC (PNP, 2022).</w:t>
      </w:r>
    </w:p>
    <w:p w14:paraId="6E974400" w14:textId="77777777" w:rsidR="009F1C44" w:rsidRPr="009F1C44" w:rsidRDefault="009F1C44" w:rsidP="00D406A9">
      <w:pPr>
        <w:widowControl w:val="0"/>
        <w:spacing w:after="0" w:line="360" w:lineRule="auto"/>
        <w:ind w:firstLine="709"/>
        <w:jc w:val="both"/>
        <w:rPr>
          <w:rFonts w:ascii="Times New Roman" w:eastAsia="Calibri" w:hAnsi="Times New Roman" w:cs="Times New Roman"/>
          <w:sz w:val="24"/>
          <w:szCs w:val="24"/>
        </w:rPr>
      </w:pPr>
      <w:r w:rsidRPr="009F1C44">
        <w:rPr>
          <w:rFonts w:ascii="Times New Roman" w:eastAsia="Calibri" w:hAnsi="Times New Roman" w:cs="Times New Roman"/>
          <w:sz w:val="24"/>
          <w:szCs w:val="24"/>
        </w:rPr>
        <w:t xml:space="preserve">A Tabela 1 apresenta o total de cursos, matrículas, vagas novas ofertadas e quantidade de concluintes de todos os </w:t>
      </w:r>
      <w:r w:rsidRPr="009F1C44">
        <w:rPr>
          <w:rFonts w:ascii="Times New Roman" w:eastAsia="Calibri" w:hAnsi="Times New Roman" w:cs="Times New Roman"/>
          <w:i/>
          <w:iCs/>
          <w:sz w:val="24"/>
          <w:szCs w:val="24"/>
        </w:rPr>
        <w:t>campi</w:t>
      </w:r>
      <w:r w:rsidRPr="009F1C44">
        <w:rPr>
          <w:rFonts w:ascii="Times New Roman" w:eastAsia="Calibri" w:hAnsi="Times New Roman" w:cs="Times New Roman"/>
          <w:sz w:val="24"/>
          <w:szCs w:val="24"/>
        </w:rPr>
        <w:t xml:space="preserve"> do IFPR, de 2017 a 2021, período em que as informações estão disponíveis.</w:t>
      </w:r>
    </w:p>
    <w:p w14:paraId="3C18A405" w14:textId="77777777" w:rsidR="009F1C44" w:rsidRPr="009F1C44" w:rsidRDefault="009F1C44" w:rsidP="00D406A9">
      <w:pPr>
        <w:widowControl w:val="0"/>
        <w:spacing w:after="0" w:line="360" w:lineRule="auto"/>
        <w:ind w:firstLine="709"/>
        <w:jc w:val="both"/>
        <w:rPr>
          <w:rFonts w:ascii="Times New Roman" w:eastAsia="Calibri" w:hAnsi="Times New Roman" w:cs="Times New Roman"/>
          <w:sz w:val="24"/>
          <w:szCs w:val="24"/>
        </w:rPr>
      </w:pPr>
    </w:p>
    <w:p w14:paraId="18591C93" w14:textId="77777777" w:rsidR="009F1C44" w:rsidRPr="009F1C44" w:rsidRDefault="009F1C44" w:rsidP="009F1C44">
      <w:pPr>
        <w:widowControl w:val="0"/>
        <w:spacing w:after="0" w:line="240" w:lineRule="auto"/>
        <w:jc w:val="both"/>
        <w:rPr>
          <w:rFonts w:ascii="Times New Roman" w:eastAsia="Calibri" w:hAnsi="Times New Roman" w:cs="Times New Roman"/>
          <w:sz w:val="24"/>
          <w:szCs w:val="24"/>
        </w:rPr>
      </w:pPr>
      <w:r w:rsidRPr="009F1C44">
        <w:rPr>
          <w:rFonts w:ascii="Times New Roman" w:eastAsia="Calibri" w:hAnsi="Times New Roman" w:cs="Times New Roman"/>
          <w:sz w:val="24"/>
          <w:szCs w:val="24"/>
        </w:rPr>
        <w:t>Tabela 1 – Dados acadêmicos IFPR</w:t>
      </w:r>
    </w:p>
    <w:tbl>
      <w:tblPr>
        <w:tblStyle w:val="Tabelacomgrade"/>
        <w:tblW w:w="0" w:type="auto"/>
        <w:jc w:val="center"/>
        <w:tblLook w:val="04A0" w:firstRow="1" w:lastRow="0" w:firstColumn="1" w:lastColumn="0" w:noHBand="0" w:noVBand="1"/>
      </w:tblPr>
      <w:tblGrid>
        <w:gridCol w:w="1510"/>
        <w:gridCol w:w="1510"/>
        <w:gridCol w:w="1510"/>
        <w:gridCol w:w="1510"/>
        <w:gridCol w:w="1510"/>
        <w:gridCol w:w="1511"/>
      </w:tblGrid>
      <w:tr w:rsidR="009F1C44" w:rsidRPr="0016044D" w14:paraId="4061C1B8" w14:textId="77777777" w:rsidTr="005B0DFB">
        <w:trPr>
          <w:jc w:val="center"/>
        </w:trPr>
        <w:tc>
          <w:tcPr>
            <w:tcW w:w="1510" w:type="dxa"/>
            <w:tcBorders>
              <w:top w:val="single" w:sz="4" w:space="0" w:color="auto"/>
              <w:left w:val="nil"/>
              <w:bottom w:val="single" w:sz="4" w:space="0" w:color="auto"/>
              <w:right w:val="nil"/>
            </w:tcBorders>
          </w:tcPr>
          <w:p w14:paraId="2DA9F531" w14:textId="77777777" w:rsidR="009F1C44" w:rsidRPr="0016044D" w:rsidRDefault="009F1C44" w:rsidP="009F1C44">
            <w:pPr>
              <w:widowControl w:val="0"/>
              <w:spacing w:after="0" w:line="240" w:lineRule="auto"/>
              <w:jc w:val="center"/>
              <w:rPr>
                <w:rFonts w:ascii="Times New Roman" w:eastAsia="Calibri" w:hAnsi="Times New Roman" w:cs="Times New Roman"/>
                <w:b/>
                <w:bCs/>
                <w:sz w:val="24"/>
                <w:szCs w:val="24"/>
              </w:rPr>
            </w:pPr>
            <w:r w:rsidRPr="0016044D">
              <w:rPr>
                <w:rFonts w:ascii="Times New Roman" w:eastAsia="Calibri" w:hAnsi="Times New Roman" w:cs="Times New Roman"/>
                <w:b/>
                <w:bCs/>
                <w:sz w:val="24"/>
                <w:szCs w:val="24"/>
              </w:rPr>
              <w:t>Indicadores</w:t>
            </w:r>
          </w:p>
        </w:tc>
        <w:tc>
          <w:tcPr>
            <w:tcW w:w="1510" w:type="dxa"/>
            <w:tcBorders>
              <w:top w:val="single" w:sz="4" w:space="0" w:color="auto"/>
              <w:left w:val="nil"/>
              <w:bottom w:val="single" w:sz="4" w:space="0" w:color="auto"/>
              <w:right w:val="nil"/>
            </w:tcBorders>
          </w:tcPr>
          <w:p w14:paraId="6C301EB5" w14:textId="77777777" w:rsidR="009F1C44" w:rsidRPr="0016044D" w:rsidRDefault="009F1C44" w:rsidP="009F1C44">
            <w:pPr>
              <w:widowControl w:val="0"/>
              <w:spacing w:after="0" w:line="240" w:lineRule="auto"/>
              <w:jc w:val="center"/>
              <w:rPr>
                <w:rFonts w:ascii="Times New Roman" w:eastAsia="Calibri" w:hAnsi="Times New Roman" w:cs="Times New Roman"/>
                <w:b/>
                <w:bCs/>
                <w:sz w:val="24"/>
                <w:szCs w:val="24"/>
              </w:rPr>
            </w:pPr>
            <w:r w:rsidRPr="0016044D">
              <w:rPr>
                <w:rFonts w:ascii="Times New Roman" w:eastAsia="Calibri" w:hAnsi="Times New Roman" w:cs="Times New Roman"/>
                <w:b/>
                <w:bCs/>
                <w:sz w:val="24"/>
                <w:szCs w:val="24"/>
              </w:rPr>
              <w:t>2017</w:t>
            </w:r>
          </w:p>
        </w:tc>
        <w:tc>
          <w:tcPr>
            <w:tcW w:w="1510" w:type="dxa"/>
            <w:tcBorders>
              <w:top w:val="single" w:sz="4" w:space="0" w:color="auto"/>
              <w:left w:val="nil"/>
              <w:bottom w:val="single" w:sz="4" w:space="0" w:color="auto"/>
              <w:right w:val="nil"/>
            </w:tcBorders>
          </w:tcPr>
          <w:p w14:paraId="0D16F1A7" w14:textId="77777777" w:rsidR="009F1C44" w:rsidRPr="0016044D" w:rsidRDefault="009F1C44" w:rsidP="009F1C44">
            <w:pPr>
              <w:widowControl w:val="0"/>
              <w:spacing w:after="0" w:line="240" w:lineRule="auto"/>
              <w:jc w:val="center"/>
              <w:rPr>
                <w:rFonts w:ascii="Times New Roman" w:eastAsia="Calibri" w:hAnsi="Times New Roman" w:cs="Times New Roman"/>
                <w:b/>
                <w:bCs/>
                <w:sz w:val="24"/>
                <w:szCs w:val="24"/>
              </w:rPr>
            </w:pPr>
            <w:r w:rsidRPr="0016044D">
              <w:rPr>
                <w:rFonts w:ascii="Times New Roman" w:eastAsia="Calibri" w:hAnsi="Times New Roman" w:cs="Times New Roman"/>
                <w:b/>
                <w:bCs/>
                <w:sz w:val="24"/>
                <w:szCs w:val="24"/>
              </w:rPr>
              <w:t>2018</w:t>
            </w:r>
          </w:p>
        </w:tc>
        <w:tc>
          <w:tcPr>
            <w:tcW w:w="1510" w:type="dxa"/>
            <w:tcBorders>
              <w:top w:val="single" w:sz="4" w:space="0" w:color="auto"/>
              <w:left w:val="nil"/>
              <w:bottom w:val="single" w:sz="4" w:space="0" w:color="auto"/>
              <w:right w:val="nil"/>
            </w:tcBorders>
          </w:tcPr>
          <w:p w14:paraId="44415CB9" w14:textId="77777777" w:rsidR="009F1C44" w:rsidRPr="0016044D" w:rsidRDefault="009F1C44" w:rsidP="009F1C44">
            <w:pPr>
              <w:widowControl w:val="0"/>
              <w:spacing w:after="0" w:line="240" w:lineRule="auto"/>
              <w:jc w:val="center"/>
              <w:rPr>
                <w:rFonts w:ascii="Times New Roman" w:eastAsia="Calibri" w:hAnsi="Times New Roman" w:cs="Times New Roman"/>
                <w:b/>
                <w:bCs/>
                <w:sz w:val="24"/>
                <w:szCs w:val="24"/>
              </w:rPr>
            </w:pPr>
            <w:r w:rsidRPr="0016044D">
              <w:rPr>
                <w:rFonts w:ascii="Times New Roman" w:eastAsia="Calibri" w:hAnsi="Times New Roman" w:cs="Times New Roman"/>
                <w:b/>
                <w:bCs/>
                <w:sz w:val="24"/>
                <w:szCs w:val="24"/>
              </w:rPr>
              <w:t>2019</w:t>
            </w:r>
          </w:p>
        </w:tc>
        <w:tc>
          <w:tcPr>
            <w:tcW w:w="1510" w:type="dxa"/>
            <w:tcBorders>
              <w:top w:val="single" w:sz="4" w:space="0" w:color="auto"/>
              <w:left w:val="nil"/>
              <w:bottom w:val="single" w:sz="4" w:space="0" w:color="auto"/>
              <w:right w:val="nil"/>
            </w:tcBorders>
          </w:tcPr>
          <w:p w14:paraId="1A8F02DF" w14:textId="77777777" w:rsidR="009F1C44" w:rsidRPr="0016044D" w:rsidRDefault="009F1C44" w:rsidP="009F1C44">
            <w:pPr>
              <w:widowControl w:val="0"/>
              <w:spacing w:after="0" w:line="240" w:lineRule="auto"/>
              <w:jc w:val="center"/>
              <w:rPr>
                <w:rFonts w:ascii="Times New Roman" w:eastAsia="Calibri" w:hAnsi="Times New Roman" w:cs="Times New Roman"/>
                <w:b/>
                <w:bCs/>
                <w:sz w:val="24"/>
                <w:szCs w:val="24"/>
              </w:rPr>
            </w:pPr>
            <w:r w:rsidRPr="0016044D">
              <w:rPr>
                <w:rFonts w:ascii="Times New Roman" w:eastAsia="Calibri" w:hAnsi="Times New Roman" w:cs="Times New Roman"/>
                <w:b/>
                <w:bCs/>
                <w:sz w:val="24"/>
                <w:szCs w:val="24"/>
              </w:rPr>
              <w:t>2020</w:t>
            </w:r>
          </w:p>
        </w:tc>
        <w:tc>
          <w:tcPr>
            <w:tcW w:w="1511" w:type="dxa"/>
            <w:tcBorders>
              <w:top w:val="single" w:sz="4" w:space="0" w:color="auto"/>
              <w:left w:val="nil"/>
              <w:bottom w:val="single" w:sz="4" w:space="0" w:color="auto"/>
              <w:right w:val="nil"/>
            </w:tcBorders>
          </w:tcPr>
          <w:p w14:paraId="7B6DDA6F" w14:textId="77777777" w:rsidR="009F1C44" w:rsidRPr="0016044D" w:rsidRDefault="009F1C44" w:rsidP="009F1C44">
            <w:pPr>
              <w:widowControl w:val="0"/>
              <w:spacing w:after="0" w:line="240" w:lineRule="auto"/>
              <w:jc w:val="center"/>
              <w:rPr>
                <w:rFonts w:ascii="Times New Roman" w:eastAsia="Calibri" w:hAnsi="Times New Roman" w:cs="Times New Roman"/>
                <w:b/>
                <w:bCs/>
                <w:sz w:val="24"/>
                <w:szCs w:val="24"/>
              </w:rPr>
            </w:pPr>
            <w:r w:rsidRPr="0016044D">
              <w:rPr>
                <w:rFonts w:ascii="Times New Roman" w:eastAsia="Calibri" w:hAnsi="Times New Roman" w:cs="Times New Roman"/>
                <w:b/>
                <w:bCs/>
                <w:sz w:val="24"/>
                <w:szCs w:val="24"/>
              </w:rPr>
              <w:t>2021</w:t>
            </w:r>
          </w:p>
        </w:tc>
      </w:tr>
      <w:tr w:rsidR="009F1C44" w:rsidRPr="0016044D" w14:paraId="1FCC9BF6" w14:textId="77777777" w:rsidTr="005B0DFB">
        <w:trPr>
          <w:jc w:val="center"/>
        </w:trPr>
        <w:tc>
          <w:tcPr>
            <w:tcW w:w="1510" w:type="dxa"/>
            <w:tcBorders>
              <w:top w:val="single" w:sz="4" w:space="0" w:color="auto"/>
              <w:left w:val="nil"/>
              <w:bottom w:val="nil"/>
              <w:right w:val="nil"/>
            </w:tcBorders>
          </w:tcPr>
          <w:p w14:paraId="0151912E"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Cursos</w:t>
            </w:r>
          </w:p>
        </w:tc>
        <w:tc>
          <w:tcPr>
            <w:tcW w:w="1510" w:type="dxa"/>
            <w:tcBorders>
              <w:top w:val="single" w:sz="4" w:space="0" w:color="auto"/>
              <w:left w:val="nil"/>
              <w:bottom w:val="nil"/>
              <w:right w:val="nil"/>
            </w:tcBorders>
          </w:tcPr>
          <w:p w14:paraId="313B4351"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362</w:t>
            </w:r>
          </w:p>
        </w:tc>
        <w:tc>
          <w:tcPr>
            <w:tcW w:w="1510" w:type="dxa"/>
            <w:tcBorders>
              <w:top w:val="single" w:sz="4" w:space="0" w:color="auto"/>
              <w:left w:val="nil"/>
              <w:bottom w:val="nil"/>
              <w:right w:val="nil"/>
            </w:tcBorders>
          </w:tcPr>
          <w:p w14:paraId="49923758"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325</w:t>
            </w:r>
          </w:p>
        </w:tc>
        <w:tc>
          <w:tcPr>
            <w:tcW w:w="1510" w:type="dxa"/>
            <w:tcBorders>
              <w:top w:val="single" w:sz="4" w:space="0" w:color="auto"/>
              <w:left w:val="nil"/>
              <w:bottom w:val="nil"/>
              <w:right w:val="nil"/>
            </w:tcBorders>
          </w:tcPr>
          <w:p w14:paraId="096203CD"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317</w:t>
            </w:r>
          </w:p>
        </w:tc>
        <w:tc>
          <w:tcPr>
            <w:tcW w:w="1510" w:type="dxa"/>
            <w:tcBorders>
              <w:top w:val="single" w:sz="4" w:space="0" w:color="auto"/>
              <w:left w:val="nil"/>
              <w:bottom w:val="nil"/>
              <w:right w:val="nil"/>
            </w:tcBorders>
          </w:tcPr>
          <w:p w14:paraId="10387C95"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308</w:t>
            </w:r>
          </w:p>
        </w:tc>
        <w:tc>
          <w:tcPr>
            <w:tcW w:w="1511" w:type="dxa"/>
            <w:tcBorders>
              <w:top w:val="single" w:sz="4" w:space="0" w:color="auto"/>
              <w:left w:val="nil"/>
              <w:bottom w:val="nil"/>
              <w:right w:val="nil"/>
            </w:tcBorders>
          </w:tcPr>
          <w:p w14:paraId="621020F1"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310</w:t>
            </w:r>
          </w:p>
        </w:tc>
      </w:tr>
      <w:tr w:rsidR="009F1C44" w:rsidRPr="0016044D" w14:paraId="312F88CA" w14:textId="77777777" w:rsidTr="005B0DFB">
        <w:trPr>
          <w:jc w:val="center"/>
        </w:trPr>
        <w:tc>
          <w:tcPr>
            <w:tcW w:w="1510" w:type="dxa"/>
            <w:tcBorders>
              <w:top w:val="nil"/>
              <w:left w:val="nil"/>
              <w:bottom w:val="nil"/>
              <w:right w:val="nil"/>
            </w:tcBorders>
          </w:tcPr>
          <w:p w14:paraId="0788011D"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Matrículas</w:t>
            </w:r>
          </w:p>
        </w:tc>
        <w:tc>
          <w:tcPr>
            <w:tcW w:w="1510" w:type="dxa"/>
            <w:tcBorders>
              <w:top w:val="nil"/>
              <w:left w:val="nil"/>
              <w:bottom w:val="nil"/>
              <w:right w:val="nil"/>
            </w:tcBorders>
          </w:tcPr>
          <w:p w14:paraId="079F79B9"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44.359</w:t>
            </w:r>
          </w:p>
        </w:tc>
        <w:tc>
          <w:tcPr>
            <w:tcW w:w="1510" w:type="dxa"/>
            <w:tcBorders>
              <w:top w:val="nil"/>
              <w:left w:val="nil"/>
              <w:bottom w:val="nil"/>
              <w:right w:val="nil"/>
            </w:tcBorders>
          </w:tcPr>
          <w:p w14:paraId="0C0D6CED"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30.228</w:t>
            </w:r>
          </w:p>
        </w:tc>
        <w:tc>
          <w:tcPr>
            <w:tcW w:w="1510" w:type="dxa"/>
            <w:tcBorders>
              <w:top w:val="nil"/>
              <w:left w:val="nil"/>
              <w:bottom w:val="nil"/>
              <w:right w:val="nil"/>
            </w:tcBorders>
          </w:tcPr>
          <w:p w14:paraId="7A1874D8"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29.840</w:t>
            </w:r>
          </w:p>
        </w:tc>
        <w:tc>
          <w:tcPr>
            <w:tcW w:w="1510" w:type="dxa"/>
            <w:tcBorders>
              <w:top w:val="nil"/>
              <w:left w:val="nil"/>
              <w:bottom w:val="nil"/>
              <w:right w:val="nil"/>
            </w:tcBorders>
          </w:tcPr>
          <w:p w14:paraId="17477DE1"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26.408</w:t>
            </w:r>
          </w:p>
        </w:tc>
        <w:tc>
          <w:tcPr>
            <w:tcW w:w="1511" w:type="dxa"/>
            <w:tcBorders>
              <w:top w:val="nil"/>
              <w:left w:val="nil"/>
              <w:bottom w:val="nil"/>
              <w:right w:val="nil"/>
            </w:tcBorders>
          </w:tcPr>
          <w:p w14:paraId="2CB4DA82"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29.094</w:t>
            </w:r>
          </w:p>
        </w:tc>
      </w:tr>
      <w:tr w:rsidR="009F1C44" w:rsidRPr="0016044D" w14:paraId="0D6D211D" w14:textId="77777777" w:rsidTr="005B0DFB">
        <w:trPr>
          <w:jc w:val="center"/>
        </w:trPr>
        <w:tc>
          <w:tcPr>
            <w:tcW w:w="1510" w:type="dxa"/>
            <w:tcBorders>
              <w:top w:val="nil"/>
              <w:left w:val="nil"/>
              <w:bottom w:val="nil"/>
              <w:right w:val="nil"/>
            </w:tcBorders>
          </w:tcPr>
          <w:p w14:paraId="079F85E0"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Vagas</w:t>
            </w:r>
          </w:p>
        </w:tc>
        <w:tc>
          <w:tcPr>
            <w:tcW w:w="1510" w:type="dxa"/>
            <w:tcBorders>
              <w:top w:val="nil"/>
              <w:left w:val="nil"/>
              <w:bottom w:val="nil"/>
              <w:right w:val="nil"/>
            </w:tcBorders>
          </w:tcPr>
          <w:p w14:paraId="0DDFA9B6"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13.617</w:t>
            </w:r>
          </w:p>
        </w:tc>
        <w:tc>
          <w:tcPr>
            <w:tcW w:w="1510" w:type="dxa"/>
            <w:tcBorders>
              <w:top w:val="nil"/>
              <w:left w:val="nil"/>
              <w:bottom w:val="nil"/>
              <w:right w:val="nil"/>
            </w:tcBorders>
          </w:tcPr>
          <w:p w14:paraId="587E5B98"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13.798</w:t>
            </w:r>
          </w:p>
        </w:tc>
        <w:tc>
          <w:tcPr>
            <w:tcW w:w="1510" w:type="dxa"/>
            <w:tcBorders>
              <w:top w:val="nil"/>
              <w:left w:val="nil"/>
              <w:bottom w:val="nil"/>
              <w:right w:val="nil"/>
            </w:tcBorders>
          </w:tcPr>
          <w:p w14:paraId="028CC411"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13.149</w:t>
            </w:r>
          </w:p>
        </w:tc>
        <w:tc>
          <w:tcPr>
            <w:tcW w:w="1510" w:type="dxa"/>
            <w:tcBorders>
              <w:top w:val="nil"/>
              <w:left w:val="nil"/>
              <w:bottom w:val="nil"/>
              <w:right w:val="nil"/>
            </w:tcBorders>
          </w:tcPr>
          <w:p w14:paraId="6D4A7E97"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6.968</w:t>
            </w:r>
          </w:p>
        </w:tc>
        <w:tc>
          <w:tcPr>
            <w:tcW w:w="1511" w:type="dxa"/>
            <w:tcBorders>
              <w:top w:val="nil"/>
              <w:left w:val="nil"/>
              <w:bottom w:val="nil"/>
              <w:right w:val="nil"/>
            </w:tcBorders>
          </w:tcPr>
          <w:p w14:paraId="5DE74C76"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7.631</w:t>
            </w:r>
          </w:p>
        </w:tc>
      </w:tr>
      <w:tr w:rsidR="009F1C44" w:rsidRPr="0016044D" w14:paraId="550E08D6" w14:textId="77777777" w:rsidTr="005B0DFB">
        <w:trPr>
          <w:jc w:val="center"/>
        </w:trPr>
        <w:tc>
          <w:tcPr>
            <w:tcW w:w="1510" w:type="dxa"/>
            <w:tcBorders>
              <w:top w:val="nil"/>
              <w:left w:val="nil"/>
              <w:bottom w:val="single" w:sz="4" w:space="0" w:color="auto"/>
              <w:right w:val="nil"/>
            </w:tcBorders>
          </w:tcPr>
          <w:p w14:paraId="2E9C0BA3"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Concluintes</w:t>
            </w:r>
          </w:p>
        </w:tc>
        <w:tc>
          <w:tcPr>
            <w:tcW w:w="1510" w:type="dxa"/>
            <w:tcBorders>
              <w:top w:val="nil"/>
              <w:left w:val="nil"/>
              <w:bottom w:val="single" w:sz="4" w:space="0" w:color="auto"/>
              <w:right w:val="nil"/>
            </w:tcBorders>
          </w:tcPr>
          <w:p w14:paraId="3377253D"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14.057</w:t>
            </w:r>
          </w:p>
        </w:tc>
        <w:tc>
          <w:tcPr>
            <w:tcW w:w="1510" w:type="dxa"/>
            <w:tcBorders>
              <w:top w:val="nil"/>
              <w:left w:val="nil"/>
              <w:bottom w:val="single" w:sz="4" w:space="0" w:color="auto"/>
              <w:right w:val="nil"/>
            </w:tcBorders>
          </w:tcPr>
          <w:p w14:paraId="7CDC5166"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5.382</w:t>
            </w:r>
          </w:p>
        </w:tc>
        <w:tc>
          <w:tcPr>
            <w:tcW w:w="1510" w:type="dxa"/>
            <w:tcBorders>
              <w:top w:val="nil"/>
              <w:left w:val="nil"/>
              <w:bottom w:val="single" w:sz="4" w:space="0" w:color="auto"/>
              <w:right w:val="nil"/>
            </w:tcBorders>
          </w:tcPr>
          <w:p w14:paraId="2B2BB7C2"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4.590</w:t>
            </w:r>
          </w:p>
        </w:tc>
        <w:tc>
          <w:tcPr>
            <w:tcW w:w="1510" w:type="dxa"/>
            <w:tcBorders>
              <w:top w:val="nil"/>
              <w:left w:val="nil"/>
              <w:bottom w:val="single" w:sz="4" w:space="0" w:color="auto"/>
              <w:right w:val="nil"/>
            </w:tcBorders>
          </w:tcPr>
          <w:p w14:paraId="47355123"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1.710</w:t>
            </w:r>
          </w:p>
        </w:tc>
        <w:tc>
          <w:tcPr>
            <w:tcW w:w="1511" w:type="dxa"/>
            <w:tcBorders>
              <w:top w:val="nil"/>
              <w:left w:val="nil"/>
              <w:bottom w:val="single" w:sz="4" w:space="0" w:color="auto"/>
              <w:right w:val="nil"/>
            </w:tcBorders>
          </w:tcPr>
          <w:p w14:paraId="63768660" w14:textId="77777777" w:rsidR="009F1C44" w:rsidRPr="0016044D" w:rsidRDefault="009F1C44" w:rsidP="009F1C44">
            <w:pPr>
              <w:widowControl w:val="0"/>
              <w:spacing w:after="0" w:line="240" w:lineRule="auto"/>
              <w:jc w:val="center"/>
              <w:rPr>
                <w:rFonts w:ascii="Times New Roman" w:eastAsia="Calibri" w:hAnsi="Times New Roman" w:cs="Times New Roman"/>
                <w:sz w:val="24"/>
                <w:szCs w:val="24"/>
              </w:rPr>
            </w:pPr>
            <w:r w:rsidRPr="0016044D">
              <w:rPr>
                <w:rFonts w:ascii="Times New Roman" w:eastAsia="Calibri" w:hAnsi="Times New Roman" w:cs="Times New Roman"/>
                <w:sz w:val="24"/>
                <w:szCs w:val="24"/>
              </w:rPr>
              <w:t>3.087</w:t>
            </w:r>
          </w:p>
        </w:tc>
      </w:tr>
    </w:tbl>
    <w:p w14:paraId="1675CC2B" w14:textId="77777777" w:rsidR="009F1C44" w:rsidRPr="009F1C44" w:rsidRDefault="009F1C44" w:rsidP="009F1C44">
      <w:pPr>
        <w:widowControl w:val="0"/>
        <w:spacing w:after="0" w:line="360" w:lineRule="auto"/>
        <w:jc w:val="both"/>
        <w:rPr>
          <w:rFonts w:ascii="Times New Roman" w:eastAsia="Calibri" w:hAnsi="Times New Roman" w:cs="Times New Roman"/>
          <w:sz w:val="20"/>
          <w:szCs w:val="20"/>
        </w:rPr>
      </w:pPr>
      <w:r w:rsidRPr="009F1C44">
        <w:rPr>
          <w:rFonts w:ascii="Times New Roman" w:eastAsia="Calibri" w:hAnsi="Times New Roman" w:cs="Times New Roman"/>
          <w:sz w:val="20"/>
          <w:szCs w:val="20"/>
        </w:rPr>
        <w:t>Fonte: PNP (2022).</w:t>
      </w:r>
    </w:p>
    <w:p w14:paraId="4026399B" w14:textId="77777777" w:rsidR="009F1C44" w:rsidRPr="009F1C44" w:rsidRDefault="009F1C44" w:rsidP="00D406A9">
      <w:pPr>
        <w:widowControl w:val="0"/>
        <w:spacing w:after="0" w:line="360" w:lineRule="auto"/>
        <w:ind w:firstLine="709"/>
        <w:jc w:val="both"/>
        <w:rPr>
          <w:rFonts w:ascii="Times New Roman" w:eastAsia="Calibri" w:hAnsi="Times New Roman" w:cs="Times New Roman"/>
          <w:sz w:val="24"/>
          <w:szCs w:val="24"/>
        </w:rPr>
      </w:pPr>
    </w:p>
    <w:p w14:paraId="157CBAB0" w14:textId="77777777" w:rsidR="009F1C44" w:rsidRPr="009F1C44" w:rsidRDefault="009F1C44" w:rsidP="00D406A9">
      <w:pPr>
        <w:widowControl w:val="0"/>
        <w:spacing w:after="0" w:line="360" w:lineRule="auto"/>
        <w:ind w:firstLine="709"/>
        <w:jc w:val="both"/>
        <w:rPr>
          <w:rFonts w:ascii="Times New Roman" w:eastAsia="Calibri" w:hAnsi="Times New Roman" w:cs="Times New Roman"/>
          <w:sz w:val="24"/>
          <w:szCs w:val="24"/>
        </w:rPr>
      </w:pPr>
      <w:r w:rsidRPr="009F1C44">
        <w:rPr>
          <w:rFonts w:ascii="Times New Roman" w:eastAsia="Calibri" w:hAnsi="Times New Roman" w:cs="Times New Roman"/>
          <w:sz w:val="24"/>
          <w:szCs w:val="24"/>
        </w:rPr>
        <w:t>Verifica-se que houve uma redução na oferta de cursos, passando de 362 em 2017 para 310 em 2021. Isso ocorreu porque em 2017 houve maior oferta de cursos subsequentes à distância, realizados em parceria com outras entidades, principalmente prefeituras, de diversos municípios.</w:t>
      </w:r>
    </w:p>
    <w:p w14:paraId="6D12C16F" w14:textId="372F2FE2" w:rsidR="009F1C44" w:rsidRDefault="009F1C44" w:rsidP="00D406A9">
      <w:pPr>
        <w:widowControl w:val="0"/>
        <w:spacing w:after="0" w:line="360" w:lineRule="auto"/>
        <w:ind w:firstLine="709"/>
        <w:jc w:val="both"/>
        <w:rPr>
          <w:rFonts w:ascii="Times New Roman" w:eastAsia="Calibri" w:hAnsi="Times New Roman" w:cs="Times New Roman"/>
          <w:sz w:val="24"/>
          <w:szCs w:val="24"/>
        </w:rPr>
      </w:pPr>
      <w:r w:rsidRPr="009F1C44">
        <w:rPr>
          <w:rFonts w:ascii="Times New Roman" w:eastAsia="Calibri" w:hAnsi="Times New Roman" w:cs="Times New Roman"/>
          <w:sz w:val="24"/>
          <w:szCs w:val="24"/>
        </w:rPr>
        <w:t>As matrículas indicam a quantidade de alunos que estiveram com matrícula ativa em pelo menos um dia no ano de referência. Reduziu-se a quantidade de alunos, principalmente no ano de 2020, podendo ser uma consequência da pandemia de Covid-19 que afetou as atividades das instituições de ensino. As vagas novas ofertadas em 2020 também sofreram grande redução. A quantidade de estudantes concluintes foi afetada nesse ano, reduzindo para 1.710, porém em 2021 já se percebe uma recuperação, considerando esse fato, para ilustrar a importância dessas unidades nas realidades em que se inserem, procedeu-se um levantamento dos dados relativos ao ano de 2021, em que se começou a estabilizar os efeitos da pandemia, considerando a disponibilidade da vacinação e o progressivo retorno ao ensino de modo presencial.  A Tabela 2, mostra a distribuição dos cursos ofertados e as matrículas do ano 2021, por eixo tecnológico.</w:t>
      </w:r>
    </w:p>
    <w:p w14:paraId="18893B58" w14:textId="0B2C4A19" w:rsidR="00D406A9" w:rsidRDefault="00AC3C6C" w:rsidP="00D406A9">
      <w:pPr>
        <w:widowControl w:val="0"/>
        <w:spacing w:after="0" w:line="360" w:lineRule="auto"/>
        <w:ind w:firstLine="709"/>
        <w:jc w:val="both"/>
        <w:rPr>
          <w:rFonts w:ascii="Times New Roman" w:eastAsia="Calibri" w:hAnsi="Times New Roman" w:cs="Times New Roman"/>
          <w:sz w:val="24"/>
          <w:szCs w:val="24"/>
        </w:rPr>
      </w:pPr>
      <w:r w:rsidRPr="00AC3C6C">
        <w:rPr>
          <w:rFonts w:ascii="Times New Roman" w:eastAsia="Calibri" w:hAnsi="Times New Roman" w:cs="Times New Roman"/>
          <w:sz w:val="24"/>
          <w:szCs w:val="24"/>
        </w:rPr>
        <w:t xml:space="preserve">A maioria dos cursos oferecidos pelo IFPR estão concentrados nos eixos Desenvolvimento Educacional e Social (20%), Informação e Comunicação (20%) e Gestão e Negócios (16%). O maior quantitativo de matrículas em 2021 também foi nesses eixos, sendo </w:t>
      </w:r>
      <w:r w:rsidRPr="00AC3C6C">
        <w:rPr>
          <w:rFonts w:ascii="Times New Roman" w:eastAsia="Calibri" w:hAnsi="Times New Roman" w:cs="Times New Roman"/>
          <w:sz w:val="24"/>
          <w:szCs w:val="24"/>
        </w:rPr>
        <w:lastRenderedPageBreak/>
        <w:t>que: Informação e Comunicação, Gestão e Negócios, ambos com 20%, e o de Desenvolvimento Educacional e Social com 15% das matrículas.</w:t>
      </w:r>
    </w:p>
    <w:p w14:paraId="3D235455" w14:textId="77777777" w:rsidR="0016044D" w:rsidRPr="009F1C44" w:rsidRDefault="0016044D" w:rsidP="00492E74">
      <w:pPr>
        <w:widowControl w:val="0"/>
        <w:spacing w:after="0" w:line="240" w:lineRule="auto"/>
        <w:ind w:firstLine="709"/>
        <w:jc w:val="both"/>
        <w:rPr>
          <w:rFonts w:ascii="Times New Roman" w:eastAsia="Calibri" w:hAnsi="Times New Roman" w:cs="Times New Roman"/>
          <w:sz w:val="24"/>
          <w:szCs w:val="24"/>
        </w:rPr>
      </w:pPr>
    </w:p>
    <w:p w14:paraId="548C6235" w14:textId="77777777" w:rsidR="009F1C44" w:rsidRPr="009F1C44" w:rsidRDefault="009F1C44" w:rsidP="009F1C44">
      <w:pPr>
        <w:widowControl w:val="0"/>
        <w:spacing w:after="0" w:line="240" w:lineRule="auto"/>
        <w:jc w:val="both"/>
        <w:rPr>
          <w:rFonts w:ascii="Times New Roman" w:eastAsia="Calibri" w:hAnsi="Times New Roman" w:cs="Times New Roman"/>
          <w:sz w:val="24"/>
          <w:szCs w:val="24"/>
        </w:rPr>
      </w:pPr>
      <w:r w:rsidRPr="009F1C44">
        <w:rPr>
          <w:rFonts w:ascii="Times New Roman" w:eastAsia="Calibri" w:hAnsi="Times New Roman" w:cs="Times New Roman"/>
          <w:sz w:val="24"/>
          <w:szCs w:val="24"/>
        </w:rPr>
        <w:t>Tabela 2 – Cursos e matrículas por eixo tecnológico (2021)</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127"/>
        <w:gridCol w:w="708"/>
        <w:gridCol w:w="2127"/>
        <w:gridCol w:w="697"/>
      </w:tblGrid>
      <w:tr w:rsidR="009F1C44" w:rsidRPr="0016044D" w14:paraId="31E7F47A" w14:textId="77777777" w:rsidTr="00077706">
        <w:trPr>
          <w:jc w:val="center"/>
        </w:trPr>
        <w:tc>
          <w:tcPr>
            <w:tcW w:w="3402" w:type="dxa"/>
            <w:tcBorders>
              <w:top w:val="single" w:sz="4" w:space="0" w:color="auto"/>
              <w:bottom w:val="single" w:sz="4" w:space="0" w:color="auto"/>
            </w:tcBorders>
            <w:vAlign w:val="center"/>
          </w:tcPr>
          <w:p w14:paraId="28A07282" w14:textId="77777777" w:rsidR="009F1C44" w:rsidRPr="0016044D" w:rsidRDefault="009F1C44" w:rsidP="009F1C44">
            <w:pPr>
              <w:widowControl w:val="0"/>
              <w:spacing w:after="0" w:line="240" w:lineRule="auto"/>
              <w:jc w:val="center"/>
              <w:rPr>
                <w:rFonts w:ascii="Times New Roman" w:eastAsia="Calibri" w:hAnsi="Times New Roman" w:cs="Times New Roman"/>
                <w:b/>
                <w:bCs/>
                <w:sz w:val="24"/>
                <w:szCs w:val="24"/>
              </w:rPr>
            </w:pPr>
            <w:r w:rsidRPr="0016044D">
              <w:rPr>
                <w:rFonts w:ascii="Times New Roman" w:eastAsia="Calibri" w:hAnsi="Times New Roman" w:cs="Times New Roman"/>
                <w:b/>
                <w:bCs/>
                <w:sz w:val="24"/>
                <w:szCs w:val="24"/>
              </w:rPr>
              <w:t>Eixo Tecnológico</w:t>
            </w:r>
          </w:p>
        </w:tc>
        <w:tc>
          <w:tcPr>
            <w:tcW w:w="2127" w:type="dxa"/>
            <w:tcBorders>
              <w:top w:val="single" w:sz="4" w:space="0" w:color="auto"/>
              <w:bottom w:val="single" w:sz="4" w:space="0" w:color="auto"/>
            </w:tcBorders>
            <w:vAlign w:val="center"/>
          </w:tcPr>
          <w:p w14:paraId="2E55A43E" w14:textId="0F1EA37A" w:rsidR="009F1C44" w:rsidRPr="0016044D" w:rsidRDefault="00492E74" w:rsidP="009F1C44">
            <w:pPr>
              <w:widowControl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Nº</w:t>
            </w:r>
            <w:r w:rsidR="009F1C44" w:rsidRPr="0016044D">
              <w:rPr>
                <w:rFonts w:ascii="Times New Roman" w:eastAsia="Calibri" w:hAnsi="Times New Roman" w:cs="Times New Roman"/>
                <w:b/>
                <w:bCs/>
                <w:sz w:val="24"/>
                <w:szCs w:val="24"/>
              </w:rPr>
              <w:t xml:space="preserve"> de Cursos</w:t>
            </w:r>
          </w:p>
        </w:tc>
        <w:tc>
          <w:tcPr>
            <w:tcW w:w="708" w:type="dxa"/>
            <w:tcBorders>
              <w:top w:val="single" w:sz="4" w:space="0" w:color="auto"/>
              <w:bottom w:val="single" w:sz="4" w:space="0" w:color="auto"/>
            </w:tcBorders>
            <w:vAlign w:val="center"/>
          </w:tcPr>
          <w:p w14:paraId="268AAF26" w14:textId="77777777" w:rsidR="009F1C44" w:rsidRPr="0016044D" w:rsidRDefault="009F1C44" w:rsidP="009F1C44">
            <w:pPr>
              <w:widowControl w:val="0"/>
              <w:spacing w:after="0" w:line="240" w:lineRule="auto"/>
              <w:jc w:val="center"/>
              <w:rPr>
                <w:rFonts w:ascii="Times New Roman" w:eastAsia="Calibri" w:hAnsi="Times New Roman" w:cs="Times New Roman"/>
                <w:b/>
                <w:bCs/>
                <w:sz w:val="24"/>
                <w:szCs w:val="24"/>
              </w:rPr>
            </w:pPr>
            <w:r w:rsidRPr="0016044D">
              <w:rPr>
                <w:rFonts w:ascii="Times New Roman" w:eastAsia="Calibri" w:hAnsi="Times New Roman" w:cs="Times New Roman"/>
                <w:b/>
                <w:bCs/>
                <w:sz w:val="24"/>
                <w:szCs w:val="24"/>
              </w:rPr>
              <w:t>%</w:t>
            </w:r>
          </w:p>
        </w:tc>
        <w:tc>
          <w:tcPr>
            <w:tcW w:w="2127" w:type="dxa"/>
            <w:tcBorders>
              <w:top w:val="single" w:sz="4" w:space="0" w:color="auto"/>
              <w:bottom w:val="single" w:sz="4" w:space="0" w:color="auto"/>
            </w:tcBorders>
            <w:vAlign w:val="center"/>
          </w:tcPr>
          <w:p w14:paraId="316E095E" w14:textId="40CBF9AD" w:rsidR="009F1C44" w:rsidRPr="0016044D" w:rsidRDefault="00492E74" w:rsidP="009F1C44">
            <w:pPr>
              <w:widowControl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Nº</w:t>
            </w:r>
            <w:r w:rsidR="009F1C44" w:rsidRPr="0016044D">
              <w:rPr>
                <w:rFonts w:ascii="Times New Roman" w:eastAsia="Calibri" w:hAnsi="Times New Roman" w:cs="Times New Roman"/>
                <w:b/>
                <w:bCs/>
                <w:sz w:val="24"/>
                <w:szCs w:val="24"/>
              </w:rPr>
              <w:t xml:space="preserve"> de Matrículas</w:t>
            </w:r>
          </w:p>
        </w:tc>
        <w:tc>
          <w:tcPr>
            <w:tcW w:w="697" w:type="dxa"/>
            <w:tcBorders>
              <w:top w:val="single" w:sz="4" w:space="0" w:color="auto"/>
              <w:bottom w:val="single" w:sz="4" w:space="0" w:color="auto"/>
            </w:tcBorders>
            <w:vAlign w:val="center"/>
          </w:tcPr>
          <w:p w14:paraId="656A1657" w14:textId="77777777" w:rsidR="009F1C44" w:rsidRPr="0016044D" w:rsidRDefault="009F1C44" w:rsidP="009F1C44">
            <w:pPr>
              <w:widowControl w:val="0"/>
              <w:spacing w:after="0" w:line="240" w:lineRule="auto"/>
              <w:jc w:val="center"/>
              <w:rPr>
                <w:rFonts w:ascii="Times New Roman" w:eastAsia="Calibri" w:hAnsi="Times New Roman" w:cs="Times New Roman"/>
                <w:b/>
                <w:bCs/>
                <w:sz w:val="24"/>
                <w:szCs w:val="24"/>
              </w:rPr>
            </w:pPr>
            <w:r w:rsidRPr="0016044D">
              <w:rPr>
                <w:rFonts w:ascii="Times New Roman" w:eastAsia="Calibri" w:hAnsi="Times New Roman" w:cs="Times New Roman"/>
                <w:b/>
                <w:bCs/>
                <w:sz w:val="24"/>
                <w:szCs w:val="24"/>
              </w:rPr>
              <w:t>%</w:t>
            </w:r>
          </w:p>
        </w:tc>
      </w:tr>
      <w:tr w:rsidR="009F1C44" w:rsidRPr="0016044D" w14:paraId="0975539D" w14:textId="77777777" w:rsidTr="00077706">
        <w:trPr>
          <w:trHeight w:val="300"/>
          <w:jc w:val="center"/>
        </w:trPr>
        <w:tc>
          <w:tcPr>
            <w:tcW w:w="3402" w:type="dxa"/>
            <w:tcBorders>
              <w:top w:val="single" w:sz="4" w:space="0" w:color="auto"/>
            </w:tcBorders>
            <w:noWrap/>
            <w:vAlign w:val="center"/>
            <w:hideMark/>
          </w:tcPr>
          <w:p w14:paraId="2A9AC33D"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Desenvolvimento Educacional e Social</w:t>
            </w:r>
          </w:p>
        </w:tc>
        <w:tc>
          <w:tcPr>
            <w:tcW w:w="2127" w:type="dxa"/>
            <w:tcBorders>
              <w:top w:val="single" w:sz="4" w:space="0" w:color="auto"/>
            </w:tcBorders>
            <w:noWrap/>
            <w:vAlign w:val="center"/>
            <w:hideMark/>
          </w:tcPr>
          <w:p w14:paraId="0E40C99D"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61</w:t>
            </w:r>
          </w:p>
        </w:tc>
        <w:tc>
          <w:tcPr>
            <w:tcW w:w="708" w:type="dxa"/>
            <w:tcBorders>
              <w:top w:val="single" w:sz="4" w:space="0" w:color="auto"/>
            </w:tcBorders>
            <w:noWrap/>
            <w:vAlign w:val="center"/>
            <w:hideMark/>
          </w:tcPr>
          <w:p w14:paraId="66834654"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20%</w:t>
            </w:r>
          </w:p>
        </w:tc>
        <w:tc>
          <w:tcPr>
            <w:tcW w:w="2127" w:type="dxa"/>
            <w:tcBorders>
              <w:top w:val="single" w:sz="4" w:space="0" w:color="auto"/>
            </w:tcBorders>
            <w:noWrap/>
            <w:vAlign w:val="center"/>
            <w:hideMark/>
          </w:tcPr>
          <w:p w14:paraId="552DEA7E"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4.358</w:t>
            </w:r>
          </w:p>
        </w:tc>
        <w:tc>
          <w:tcPr>
            <w:tcW w:w="697" w:type="dxa"/>
            <w:tcBorders>
              <w:top w:val="single" w:sz="4" w:space="0" w:color="auto"/>
            </w:tcBorders>
            <w:noWrap/>
            <w:vAlign w:val="center"/>
            <w:hideMark/>
          </w:tcPr>
          <w:p w14:paraId="5D89C5C7"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15%</w:t>
            </w:r>
          </w:p>
        </w:tc>
      </w:tr>
      <w:tr w:rsidR="009F1C44" w:rsidRPr="0016044D" w14:paraId="74391F1A" w14:textId="77777777" w:rsidTr="00077706">
        <w:trPr>
          <w:trHeight w:val="300"/>
          <w:jc w:val="center"/>
        </w:trPr>
        <w:tc>
          <w:tcPr>
            <w:tcW w:w="3402" w:type="dxa"/>
            <w:noWrap/>
            <w:vAlign w:val="center"/>
            <w:hideMark/>
          </w:tcPr>
          <w:p w14:paraId="75156C39"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Informação e Comunicação</w:t>
            </w:r>
          </w:p>
        </w:tc>
        <w:tc>
          <w:tcPr>
            <w:tcW w:w="2127" w:type="dxa"/>
            <w:noWrap/>
            <w:vAlign w:val="center"/>
            <w:hideMark/>
          </w:tcPr>
          <w:p w14:paraId="51E5BDC4"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61</w:t>
            </w:r>
          </w:p>
        </w:tc>
        <w:tc>
          <w:tcPr>
            <w:tcW w:w="708" w:type="dxa"/>
            <w:noWrap/>
            <w:vAlign w:val="center"/>
            <w:hideMark/>
          </w:tcPr>
          <w:p w14:paraId="75ADFA2B"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20%</w:t>
            </w:r>
          </w:p>
        </w:tc>
        <w:tc>
          <w:tcPr>
            <w:tcW w:w="2127" w:type="dxa"/>
            <w:noWrap/>
            <w:vAlign w:val="center"/>
            <w:hideMark/>
          </w:tcPr>
          <w:p w14:paraId="2E632807"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5.815</w:t>
            </w:r>
          </w:p>
        </w:tc>
        <w:tc>
          <w:tcPr>
            <w:tcW w:w="697" w:type="dxa"/>
            <w:noWrap/>
            <w:vAlign w:val="center"/>
            <w:hideMark/>
          </w:tcPr>
          <w:p w14:paraId="2D03574E"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20%</w:t>
            </w:r>
          </w:p>
        </w:tc>
      </w:tr>
      <w:tr w:rsidR="009F1C44" w:rsidRPr="0016044D" w14:paraId="36CAD074" w14:textId="77777777" w:rsidTr="00077706">
        <w:trPr>
          <w:trHeight w:val="300"/>
          <w:jc w:val="center"/>
        </w:trPr>
        <w:tc>
          <w:tcPr>
            <w:tcW w:w="3402" w:type="dxa"/>
            <w:noWrap/>
            <w:vAlign w:val="center"/>
            <w:hideMark/>
          </w:tcPr>
          <w:p w14:paraId="4E6B2B7F"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Gestão e Negócios</w:t>
            </w:r>
          </w:p>
        </w:tc>
        <w:tc>
          <w:tcPr>
            <w:tcW w:w="2127" w:type="dxa"/>
            <w:noWrap/>
            <w:vAlign w:val="center"/>
            <w:hideMark/>
          </w:tcPr>
          <w:p w14:paraId="00707524"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49</w:t>
            </w:r>
          </w:p>
        </w:tc>
        <w:tc>
          <w:tcPr>
            <w:tcW w:w="708" w:type="dxa"/>
            <w:noWrap/>
            <w:vAlign w:val="center"/>
            <w:hideMark/>
          </w:tcPr>
          <w:p w14:paraId="754A9CEC"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16%</w:t>
            </w:r>
          </w:p>
        </w:tc>
        <w:tc>
          <w:tcPr>
            <w:tcW w:w="2127" w:type="dxa"/>
            <w:noWrap/>
            <w:vAlign w:val="center"/>
            <w:hideMark/>
          </w:tcPr>
          <w:p w14:paraId="4A730870"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5.708</w:t>
            </w:r>
          </w:p>
        </w:tc>
        <w:tc>
          <w:tcPr>
            <w:tcW w:w="697" w:type="dxa"/>
            <w:noWrap/>
            <w:vAlign w:val="center"/>
            <w:hideMark/>
          </w:tcPr>
          <w:p w14:paraId="3A179C0F"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20%</w:t>
            </w:r>
          </w:p>
        </w:tc>
      </w:tr>
      <w:tr w:rsidR="009F1C44" w:rsidRPr="0016044D" w14:paraId="6072437C" w14:textId="77777777" w:rsidTr="00077706">
        <w:trPr>
          <w:trHeight w:val="300"/>
          <w:jc w:val="center"/>
        </w:trPr>
        <w:tc>
          <w:tcPr>
            <w:tcW w:w="3402" w:type="dxa"/>
            <w:noWrap/>
            <w:vAlign w:val="center"/>
            <w:hideMark/>
          </w:tcPr>
          <w:p w14:paraId="1DABC64A"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Controle e Processos Industriais</w:t>
            </w:r>
          </w:p>
        </w:tc>
        <w:tc>
          <w:tcPr>
            <w:tcW w:w="2127" w:type="dxa"/>
            <w:noWrap/>
            <w:vAlign w:val="center"/>
            <w:hideMark/>
          </w:tcPr>
          <w:p w14:paraId="61E2B7AF"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41</w:t>
            </w:r>
          </w:p>
        </w:tc>
        <w:tc>
          <w:tcPr>
            <w:tcW w:w="708" w:type="dxa"/>
            <w:noWrap/>
            <w:vAlign w:val="center"/>
            <w:hideMark/>
          </w:tcPr>
          <w:p w14:paraId="51AD9442"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13%</w:t>
            </w:r>
          </w:p>
        </w:tc>
        <w:tc>
          <w:tcPr>
            <w:tcW w:w="2127" w:type="dxa"/>
            <w:noWrap/>
            <w:vAlign w:val="center"/>
            <w:hideMark/>
          </w:tcPr>
          <w:p w14:paraId="0B1D8019"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3.469</w:t>
            </w:r>
          </w:p>
        </w:tc>
        <w:tc>
          <w:tcPr>
            <w:tcW w:w="697" w:type="dxa"/>
            <w:noWrap/>
            <w:vAlign w:val="center"/>
            <w:hideMark/>
          </w:tcPr>
          <w:p w14:paraId="05C7E393"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12%</w:t>
            </w:r>
          </w:p>
        </w:tc>
      </w:tr>
      <w:tr w:rsidR="009F1C44" w:rsidRPr="0016044D" w14:paraId="11721B85" w14:textId="77777777" w:rsidTr="00077706">
        <w:trPr>
          <w:trHeight w:val="300"/>
          <w:jc w:val="center"/>
        </w:trPr>
        <w:tc>
          <w:tcPr>
            <w:tcW w:w="3402" w:type="dxa"/>
            <w:noWrap/>
            <w:vAlign w:val="center"/>
            <w:hideMark/>
          </w:tcPr>
          <w:p w14:paraId="1A93D805"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Ambiente e Saúde</w:t>
            </w:r>
          </w:p>
        </w:tc>
        <w:tc>
          <w:tcPr>
            <w:tcW w:w="2127" w:type="dxa"/>
            <w:noWrap/>
            <w:vAlign w:val="center"/>
            <w:hideMark/>
          </w:tcPr>
          <w:p w14:paraId="34D307D7"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33</w:t>
            </w:r>
          </w:p>
        </w:tc>
        <w:tc>
          <w:tcPr>
            <w:tcW w:w="708" w:type="dxa"/>
            <w:noWrap/>
            <w:vAlign w:val="center"/>
            <w:hideMark/>
          </w:tcPr>
          <w:p w14:paraId="1EE09CA6"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11%</w:t>
            </w:r>
          </w:p>
        </w:tc>
        <w:tc>
          <w:tcPr>
            <w:tcW w:w="2127" w:type="dxa"/>
            <w:noWrap/>
            <w:vAlign w:val="center"/>
            <w:hideMark/>
          </w:tcPr>
          <w:p w14:paraId="29E6421B"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3.154</w:t>
            </w:r>
          </w:p>
        </w:tc>
        <w:tc>
          <w:tcPr>
            <w:tcW w:w="697" w:type="dxa"/>
            <w:noWrap/>
            <w:vAlign w:val="center"/>
            <w:hideMark/>
          </w:tcPr>
          <w:p w14:paraId="0182C953"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11%</w:t>
            </w:r>
          </w:p>
        </w:tc>
      </w:tr>
      <w:tr w:rsidR="009F1C44" w:rsidRPr="0016044D" w14:paraId="1D3C6FFB" w14:textId="77777777" w:rsidTr="00077706">
        <w:trPr>
          <w:trHeight w:val="300"/>
          <w:jc w:val="center"/>
        </w:trPr>
        <w:tc>
          <w:tcPr>
            <w:tcW w:w="3402" w:type="dxa"/>
            <w:noWrap/>
            <w:vAlign w:val="center"/>
            <w:hideMark/>
          </w:tcPr>
          <w:p w14:paraId="619670CB"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Recursos Naturais</w:t>
            </w:r>
          </w:p>
        </w:tc>
        <w:tc>
          <w:tcPr>
            <w:tcW w:w="2127" w:type="dxa"/>
            <w:noWrap/>
            <w:vAlign w:val="center"/>
            <w:hideMark/>
          </w:tcPr>
          <w:p w14:paraId="6371F8EB"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25</w:t>
            </w:r>
          </w:p>
        </w:tc>
        <w:tc>
          <w:tcPr>
            <w:tcW w:w="708" w:type="dxa"/>
            <w:noWrap/>
            <w:vAlign w:val="center"/>
            <w:hideMark/>
          </w:tcPr>
          <w:p w14:paraId="26673760"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8%</w:t>
            </w:r>
          </w:p>
        </w:tc>
        <w:tc>
          <w:tcPr>
            <w:tcW w:w="2127" w:type="dxa"/>
            <w:noWrap/>
            <w:vAlign w:val="center"/>
            <w:hideMark/>
          </w:tcPr>
          <w:p w14:paraId="60C415D8"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1725</w:t>
            </w:r>
          </w:p>
        </w:tc>
        <w:tc>
          <w:tcPr>
            <w:tcW w:w="697" w:type="dxa"/>
            <w:noWrap/>
            <w:vAlign w:val="center"/>
            <w:hideMark/>
          </w:tcPr>
          <w:p w14:paraId="5D86F39B"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6%</w:t>
            </w:r>
          </w:p>
        </w:tc>
      </w:tr>
      <w:tr w:rsidR="009F1C44" w:rsidRPr="0016044D" w14:paraId="5C0D79E6" w14:textId="77777777" w:rsidTr="00077706">
        <w:trPr>
          <w:trHeight w:val="300"/>
          <w:jc w:val="center"/>
        </w:trPr>
        <w:tc>
          <w:tcPr>
            <w:tcW w:w="3402" w:type="dxa"/>
            <w:noWrap/>
            <w:vAlign w:val="center"/>
            <w:hideMark/>
          </w:tcPr>
          <w:p w14:paraId="32A0AE86"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Produção Cultural e Design</w:t>
            </w:r>
          </w:p>
        </w:tc>
        <w:tc>
          <w:tcPr>
            <w:tcW w:w="2127" w:type="dxa"/>
            <w:noWrap/>
            <w:vAlign w:val="center"/>
            <w:hideMark/>
          </w:tcPr>
          <w:p w14:paraId="59542950"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10</w:t>
            </w:r>
          </w:p>
        </w:tc>
        <w:tc>
          <w:tcPr>
            <w:tcW w:w="708" w:type="dxa"/>
            <w:noWrap/>
            <w:vAlign w:val="center"/>
            <w:hideMark/>
          </w:tcPr>
          <w:p w14:paraId="0CC1CBB7"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3%</w:t>
            </w:r>
          </w:p>
        </w:tc>
        <w:tc>
          <w:tcPr>
            <w:tcW w:w="2127" w:type="dxa"/>
            <w:noWrap/>
            <w:vAlign w:val="center"/>
            <w:hideMark/>
          </w:tcPr>
          <w:p w14:paraId="01B0E34E"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448</w:t>
            </w:r>
          </w:p>
        </w:tc>
        <w:tc>
          <w:tcPr>
            <w:tcW w:w="697" w:type="dxa"/>
            <w:noWrap/>
            <w:vAlign w:val="center"/>
            <w:hideMark/>
          </w:tcPr>
          <w:p w14:paraId="7A0CE72C"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2%</w:t>
            </w:r>
          </w:p>
        </w:tc>
      </w:tr>
      <w:tr w:rsidR="009F1C44" w:rsidRPr="0016044D" w14:paraId="41F8CD6C" w14:textId="77777777" w:rsidTr="00077706">
        <w:trPr>
          <w:trHeight w:val="300"/>
          <w:jc w:val="center"/>
        </w:trPr>
        <w:tc>
          <w:tcPr>
            <w:tcW w:w="3402" w:type="dxa"/>
            <w:noWrap/>
            <w:vAlign w:val="center"/>
            <w:hideMark/>
          </w:tcPr>
          <w:p w14:paraId="0C0A4127"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Infraestrutura</w:t>
            </w:r>
          </w:p>
        </w:tc>
        <w:tc>
          <w:tcPr>
            <w:tcW w:w="2127" w:type="dxa"/>
            <w:noWrap/>
            <w:vAlign w:val="center"/>
            <w:hideMark/>
          </w:tcPr>
          <w:p w14:paraId="00722B6C"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8</w:t>
            </w:r>
          </w:p>
        </w:tc>
        <w:tc>
          <w:tcPr>
            <w:tcW w:w="708" w:type="dxa"/>
            <w:noWrap/>
            <w:vAlign w:val="center"/>
            <w:hideMark/>
          </w:tcPr>
          <w:p w14:paraId="36F86ED4"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3%</w:t>
            </w:r>
          </w:p>
        </w:tc>
        <w:tc>
          <w:tcPr>
            <w:tcW w:w="2127" w:type="dxa"/>
            <w:noWrap/>
            <w:vAlign w:val="center"/>
            <w:hideMark/>
          </w:tcPr>
          <w:p w14:paraId="73C09561"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657</w:t>
            </w:r>
          </w:p>
        </w:tc>
        <w:tc>
          <w:tcPr>
            <w:tcW w:w="697" w:type="dxa"/>
            <w:noWrap/>
            <w:vAlign w:val="center"/>
            <w:hideMark/>
          </w:tcPr>
          <w:p w14:paraId="3E2F91CA"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2%</w:t>
            </w:r>
          </w:p>
        </w:tc>
      </w:tr>
      <w:tr w:rsidR="009F1C44" w:rsidRPr="0016044D" w14:paraId="192ECA8A" w14:textId="77777777" w:rsidTr="00077706">
        <w:trPr>
          <w:trHeight w:val="300"/>
          <w:jc w:val="center"/>
        </w:trPr>
        <w:tc>
          <w:tcPr>
            <w:tcW w:w="3402" w:type="dxa"/>
            <w:noWrap/>
            <w:vAlign w:val="center"/>
            <w:hideMark/>
          </w:tcPr>
          <w:p w14:paraId="00ED7650"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Produção Alimentícia</w:t>
            </w:r>
          </w:p>
        </w:tc>
        <w:tc>
          <w:tcPr>
            <w:tcW w:w="2127" w:type="dxa"/>
            <w:noWrap/>
            <w:vAlign w:val="center"/>
            <w:hideMark/>
          </w:tcPr>
          <w:p w14:paraId="30E098E1"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8</w:t>
            </w:r>
          </w:p>
        </w:tc>
        <w:tc>
          <w:tcPr>
            <w:tcW w:w="708" w:type="dxa"/>
            <w:noWrap/>
            <w:vAlign w:val="center"/>
            <w:hideMark/>
          </w:tcPr>
          <w:p w14:paraId="3355C3F6"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3%</w:t>
            </w:r>
          </w:p>
        </w:tc>
        <w:tc>
          <w:tcPr>
            <w:tcW w:w="2127" w:type="dxa"/>
            <w:noWrap/>
            <w:vAlign w:val="center"/>
            <w:hideMark/>
          </w:tcPr>
          <w:p w14:paraId="7C4B79A3"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961</w:t>
            </w:r>
          </w:p>
        </w:tc>
        <w:tc>
          <w:tcPr>
            <w:tcW w:w="697" w:type="dxa"/>
            <w:noWrap/>
            <w:vAlign w:val="center"/>
            <w:hideMark/>
          </w:tcPr>
          <w:p w14:paraId="76864C6C"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3%</w:t>
            </w:r>
          </w:p>
        </w:tc>
      </w:tr>
      <w:tr w:rsidR="009F1C44" w:rsidRPr="0016044D" w14:paraId="09939121" w14:textId="77777777" w:rsidTr="00077706">
        <w:trPr>
          <w:trHeight w:val="300"/>
          <w:jc w:val="center"/>
        </w:trPr>
        <w:tc>
          <w:tcPr>
            <w:tcW w:w="3402" w:type="dxa"/>
            <w:noWrap/>
            <w:vAlign w:val="center"/>
            <w:hideMark/>
          </w:tcPr>
          <w:p w14:paraId="331CDAFD"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Produção Industrial</w:t>
            </w:r>
          </w:p>
        </w:tc>
        <w:tc>
          <w:tcPr>
            <w:tcW w:w="2127" w:type="dxa"/>
            <w:noWrap/>
            <w:vAlign w:val="center"/>
            <w:hideMark/>
          </w:tcPr>
          <w:p w14:paraId="7509E0FE"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6</w:t>
            </w:r>
          </w:p>
        </w:tc>
        <w:tc>
          <w:tcPr>
            <w:tcW w:w="708" w:type="dxa"/>
            <w:noWrap/>
            <w:vAlign w:val="center"/>
            <w:hideMark/>
          </w:tcPr>
          <w:p w14:paraId="17095C3F"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2%</w:t>
            </w:r>
          </w:p>
        </w:tc>
        <w:tc>
          <w:tcPr>
            <w:tcW w:w="2127" w:type="dxa"/>
            <w:noWrap/>
            <w:vAlign w:val="center"/>
            <w:hideMark/>
          </w:tcPr>
          <w:p w14:paraId="5D24ACFC"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554</w:t>
            </w:r>
          </w:p>
        </w:tc>
        <w:tc>
          <w:tcPr>
            <w:tcW w:w="697" w:type="dxa"/>
            <w:noWrap/>
            <w:vAlign w:val="center"/>
            <w:hideMark/>
          </w:tcPr>
          <w:p w14:paraId="630D200D"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2%</w:t>
            </w:r>
          </w:p>
        </w:tc>
      </w:tr>
      <w:tr w:rsidR="009F1C44" w:rsidRPr="0016044D" w14:paraId="2D183DE3" w14:textId="77777777" w:rsidTr="00077706">
        <w:trPr>
          <w:trHeight w:val="300"/>
          <w:jc w:val="center"/>
        </w:trPr>
        <w:tc>
          <w:tcPr>
            <w:tcW w:w="3402" w:type="dxa"/>
            <w:noWrap/>
            <w:vAlign w:val="center"/>
            <w:hideMark/>
          </w:tcPr>
          <w:p w14:paraId="7D3362DF"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Segurança</w:t>
            </w:r>
          </w:p>
        </w:tc>
        <w:tc>
          <w:tcPr>
            <w:tcW w:w="2127" w:type="dxa"/>
            <w:noWrap/>
            <w:vAlign w:val="center"/>
            <w:hideMark/>
          </w:tcPr>
          <w:p w14:paraId="3764F495"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4</w:t>
            </w:r>
          </w:p>
        </w:tc>
        <w:tc>
          <w:tcPr>
            <w:tcW w:w="708" w:type="dxa"/>
            <w:noWrap/>
            <w:vAlign w:val="center"/>
            <w:hideMark/>
          </w:tcPr>
          <w:p w14:paraId="3707BD70"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1%</w:t>
            </w:r>
          </w:p>
        </w:tc>
        <w:tc>
          <w:tcPr>
            <w:tcW w:w="2127" w:type="dxa"/>
            <w:noWrap/>
            <w:vAlign w:val="center"/>
            <w:hideMark/>
          </w:tcPr>
          <w:p w14:paraId="3EFB4C34"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1.377</w:t>
            </w:r>
          </w:p>
        </w:tc>
        <w:tc>
          <w:tcPr>
            <w:tcW w:w="697" w:type="dxa"/>
            <w:noWrap/>
            <w:vAlign w:val="center"/>
            <w:hideMark/>
          </w:tcPr>
          <w:p w14:paraId="49A72A8D"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5%</w:t>
            </w:r>
          </w:p>
        </w:tc>
      </w:tr>
      <w:tr w:rsidR="009F1C44" w:rsidRPr="0016044D" w14:paraId="08024083" w14:textId="77777777" w:rsidTr="00077706">
        <w:trPr>
          <w:trHeight w:val="300"/>
          <w:jc w:val="center"/>
        </w:trPr>
        <w:tc>
          <w:tcPr>
            <w:tcW w:w="3402" w:type="dxa"/>
            <w:tcBorders>
              <w:bottom w:val="single" w:sz="4" w:space="0" w:color="auto"/>
            </w:tcBorders>
            <w:noWrap/>
            <w:vAlign w:val="center"/>
            <w:hideMark/>
          </w:tcPr>
          <w:p w14:paraId="160AFF11"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Turismo, Hospitalidade e Lazer</w:t>
            </w:r>
          </w:p>
        </w:tc>
        <w:tc>
          <w:tcPr>
            <w:tcW w:w="2127" w:type="dxa"/>
            <w:tcBorders>
              <w:bottom w:val="single" w:sz="4" w:space="0" w:color="auto"/>
            </w:tcBorders>
            <w:noWrap/>
            <w:vAlign w:val="center"/>
            <w:hideMark/>
          </w:tcPr>
          <w:p w14:paraId="3EE7DB3C"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4</w:t>
            </w:r>
          </w:p>
        </w:tc>
        <w:tc>
          <w:tcPr>
            <w:tcW w:w="708" w:type="dxa"/>
            <w:tcBorders>
              <w:bottom w:val="single" w:sz="4" w:space="0" w:color="auto"/>
            </w:tcBorders>
            <w:noWrap/>
            <w:vAlign w:val="center"/>
            <w:hideMark/>
          </w:tcPr>
          <w:p w14:paraId="5FD25F24"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1%</w:t>
            </w:r>
          </w:p>
        </w:tc>
        <w:tc>
          <w:tcPr>
            <w:tcW w:w="2127" w:type="dxa"/>
            <w:tcBorders>
              <w:bottom w:val="single" w:sz="4" w:space="0" w:color="auto"/>
            </w:tcBorders>
            <w:noWrap/>
            <w:vAlign w:val="center"/>
            <w:hideMark/>
          </w:tcPr>
          <w:p w14:paraId="2498D9D2"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868</w:t>
            </w:r>
          </w:p>
        </w:tc>
        <w:tc>
          <w:tcPr>
            <w:tcW w:w="697" w:type="dxa"/>
            <w:tcBorders>
              <w:bottom w:val="single" w:sz="4" w:space="0" w:color="auto"/>
            </w:tcBorders>
            <w:noWrap/>
            <w:vAlign w:val="center"/>
            <w:hideMark/>
          </w:tcPr>
          <w:p w14:paraId="16E91CCA" w14:textId="77777777" w:rsidR="009F1C44" w:rsidRPr="0016044D" w:rsidRDefault="009F1C44" w:rsidP="009F1C44">
            <w:pPr>
              <w:spacing w:after="0" w:line="240" w:lineRule="auto"/>
              <w:jc w:val="center"/>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3%</w:t>
            </w:r>
          </w:p>
        </w:tc>
      </w:tr>
      <w:tr w:rsidR="009F1C44" w:rsidRPr="0016044D" w14:paraId="7F76C49D" w14:textId="77777777" w:rsidTr="00077706">
        <w:trPr>
          <w:trHeight w:val="300"/>
          <w:jc w:val="center"/>
        </w:trPr>
        <w:tc>
          <w:tcPr>
            <w:tcW w:w="3402" w:type="dxa"/>
            <w:tcBorders>
              <w:top w:val="single" w:sz="4" w:space="0" w:color="auto"/>
              <w:bottom w:val="single" w:sz="4" w:space="0" w:color="auto"/>
            </w:tcBorders>
            <w:noWrap/>
            <w:vAlign w:val="center"/>
          </w:tcPr>
          <w:p w14:paraId="59718DDF" w14:textId="77777777" w:rsidR="009F1C44" w:rsidRPr="0016044D" w:rsidRDefault="009F1C44" w:rsidP="009F1C44">
            <w:pPr>
              <w:spacing w:after="0" w:line="240" w:lineRule="auto"/>
              <w:jc w:val="center"/>
              <w:rPr>
                <w:rFonts w:ascii="Times New Roman" w:eastAsia="Times New Roman" w:hAnsi="Times New Roman" w:cs="Times New Roman"/>
                <w:b/>
                <w:bCs/>
                <w:sz w:val="24"/>
                <w:szCs w:val="24"/>
                <w:lang w:eastAsia="pt-BR"/>
              </w:rPr>
            </w:pPr>
            <w:r w:rsidRPr="0016044D">
              <w:rPr>
                <w:rFonts w:ascii="Times New Roman" w:eastAsia="Times New Roman" w:hAnsi="Times New Roman" w:cs="Times New Roman"/>
                <w:b/>
                <w:bCs/>
                <w:sz w:val="24"/>
                <w:szCs w:val="24"/>
                <w:lang w:eastAsia="pt-BR"/>
              </w:rPr>
              <w:t>Total</w:t>
            </w:r>
          </w:p>
        </w:tc>
        <w:tc>
          <w:tcPr>
            <w:tcW w:w="2127" w:type="dxa"/>
            <w:tcBorders>
              <w:top w:val="single" w:sz="4" w:space="0" w:color="auto"/>
              <w:bottom w:val="single" w:sz="4" w:space="0" w:color="auto"/>
            </w:tcBorders>
            <w:noWrap/>
            <w:vAlign w:val="center"/>
          </w:tcPr>
          <w:p w14:paraId="745C8B43" w14:textId="77777777" w:rsidR="009F1C44" w:rsidRPr="0016044D" w:rsidRDefault="009F1C44" w:rsidP="009F1C44">
            <w:pPr>
              <w:spacing w:after="0" w:line="240" w:lineRule="auto"/>
              <w:jc w:val="center"/>
              <w:rPr>
                <w:rFonts w:ascii="Times New Roman" w:eastAsia="Times New Roman" w:hAnsi="Times New Roman" w:cs="Times New Roman"/>
                <w:b/>
                <w:bCs/>
                <w:sz w:val="24"/>
                <w:szCs w:val="24"/>
                <w:lang w:eastAsia="pt-BR"/>
              </w:rPr>
            </w:pPr>
            <w:r w:rsidRPr="0016044D">
              <w:rPr>
                <w:rFonts w:ascii="Times New Roman" w:eastAsia="Times New Roman" w:hAnsi="Times New Roman" w:cs="Times New Roman"/>
                <w:b/>
                <w:bCs/>
                <w:sz w:val="24"/>
                <w:szCs w:val="24"/>
                <w:lang w:eastAsia="pt-BR"/>
              </w:rPr>
              <w:t>310</w:t>
            </w:r>
          </w:p>
        </w:tc>
        <w:tc>
          <w:tcPr>
            <w:tcW w:w="708" w:type="dxa"/>
            <w:tcBorders>
              <w:top w:val="single" w:sz="4" w:space="0" w:color="auto"/>
              <w:bottom w:val="single" w:sz="4" w:space="0" w:color="auto"/>
            </w:tcBorders>
            <w:noWrap/>
            <w:vAlign w:val="center"/>
          </w:tcPr>
          <w:p w14:paraId="1D576EB8" w14:textId="77777777" w:rsidR="009F1C44" w:rsidRPr="0016044D" w:rsidRDefault="009F1C44" w:rsidP="009F1C44">
            <w:pPr>
              <w:spacing w:after="0" w:line="240" w:lineRule="auto"/>
              <w:jc w:val="center"/>
              <w:rPr>
                <w:rFonts w:ascii="Times New Roman" w:eastAsia="Times New Roman" w:hAnsi="Times New Roman" w:cs="Times New Roman"/>
                <w:b/>
                <w:bCs/>
                <w:sz w:val="24"/>
                <w:szCs w:val="24"/>
                <w:lang w:eastAsia="pt-BR"/>
              </w:rPr>
            </w:pPr>
            <w:r w:rsidRPr="0016044D">
              <w:rPr>
                <w:rFonts w:ascii="Times New Roman" w:eastAsia="Times New Roman" w:hAnsi="Times New Roman" w:cs="Times New Roman"/>
                <w:b/>
                <w:bCs/>
                <w:sz w:val="24"/>
                <w:szCs w:val="24"/>
                <w:lang w:eastAsia="pt-BR"/>
              </w:rPr>
              <w:t>100</w:t>
            </w:r>
          </w:p>
        </w:tc>
        <w:tc>
          <w:tcPr>
            <w:tcW w:w="2127" w:type="dxa"/>
            <w:tcBorders>
              <w:top w:val="single" w:sz="4" w:space="0" w:color="auto"/>
              <w:bottom w:val="single" w:sz="4" w:space="0" w:color="auto"/>
            </w:tcBorders>
            <w:noWrap/>
            <w:vAlign w:val="center"/>
          </w:tcPr>
          <w:p w14:paraId="3E3F598B" w14:textId="77777777" w:rsidR="009F1C44" w:rsidRPr="0016044D" w:rsidRDefault="009F1C44" w:rsidP="009F1C44">
            <w:pPr>
              <w:spacing w:after="0" w:line="240" w:lineRule="auto"/>
              <w:jc w:val="center"/>
              <w:rPr>
                <w:rFonts w:ascii="Times New Roman" w:eastAsia="Times New Roman" w:hAnsi="Times New Roman" w:cs="Times New Roman"/>
                <w:b/>
                <w:bCs/>
                <w:sz w:val="24"/>
                <w:szCs w:val="24"/>
                <w:lang w:eastAsia="pt-BR"/>
              </w:rPr>
            </w:pPr>
            <w:r w:rsidRPr="0016044D">
              <w:rPr>
                <w:rFonts w:ascii="Times New Roman" w:eastAsia="Times New Roman" w:hAnsi="Times New Roman" w:cs="Times New Roman"/>
                <w:b/>
                <w:bCs/>
                <w:sz w:val="24"/>
                <w:szCs w:val="24"/>
                <w:lang w:eastAsia="pt-BR"/>
              </w:rPr>
              <w:t>29094</w:t>
            </w:r>
          </w:p>
        </w:tc>
        <w:tc>
          <w:tcPr>
            <w:tcW w:w="697" w:type="dxa"/>
            <w:tcBorders>
              <w:top w:val="single" w:sz="4" w:space="0" w:color="auto"/>
              <w:bottom w:val="single" w:sz="4" w:space="0" w:color="auto"/>
            </w:tcBorders>
            <w:noWrap/>
            <w:vAlign w:val="center"/>
          </w:tcPr>
          <w:p w14:paraId="1F5AF507" w14:textId="77777777" w:rsidR="009F1C44" w:rsidRPr="0016044D" w:rsidRDefault="009F1C44" w:rsidP="009F1C44">
            <w:pPr>
              <w:spacing w:after="0" w:line="240" w:lineRule="auto"/>
              <w:jc w:val="center"/>
              <w:rPr>
                <w:rFonts w:ascii="Times New Roman" w:eastAsia="Times New Roman" w:hAnsi="Times New Roman" w:cs="Times New Roman"/>
                <w:b/>
                <w:bCs/>
                <w:sz w:val="24"/>
                <w:szCs w:val="24"/>
                <w:lang w:eastAsia="pt-BR"/>
              </w:rPr>
            </w:pPr>
            <w:r w:rsidRPr="0016044D">
              <w:rPr>
                <w:rFonts w:ascii="Times New Roman" w:eastAsia="Times New Roman" w:hAnsi="Times New Roman" w:cs="Times New Roman"/>
                <w:b/>
                <w:bCs/>
                <w:sz w:val="24"/>
                <w:szCs w:val="24"/>
                <w:lang w:eastAsia="pt-BR"/>
              </w:rPr>
              <w:t>100</w:t>
            </w:r>
          </w:p>
        </w:tc>
      </w:tr>
    </w:tbl>
    <w:p w14:paraId="0A61A849" w14:textId="77777777" w:rsidR="009F1C44" w:rsidRPr="009F1C44" w:rsidRDefault="009F1C44" w:rsidP="009F1C44">
      <w:pPr>
        <w:widowControl w:val="0"/>
        <w:spacing w:after="0" w:line="360" w:lineRule="auto"/>
        <w:jc w:val="both"/>
        <w:rPr>
          <w:rFonts w:ascii="Times New Roman" w:eastAsia="Calibri" w:hAnsi="Times New Roman" w:cs="Times New Roman"/>
          <w:sz w:val="20"/>
          <w:szCs w:val="20"/>
        </w:rPr>
      </w:pPr>
      <w:r w:rsidRPr="009F1C44">
        <w:rPr>
          <w:rFonts w:ascii="Times New Roman" w:eastAsia="Calibri" w:hAnsi="Times New Roman" w:cs="Times New Roman"/>
          <w:sz w:val="20"/>
          <w:szCs w:val="20"/>
        </w:rPr>
        <w:t>Fonte: PNP (2022).</w:t>
      </w:r>
    </w:p>
    <w:p w14:paraId="5F81A5B3" w14:textId="77777777" w:rsidR="009F1C44" w:rsidRPr="009F1C44" w:rsidRDefault="009F1C44" w:rsidP="00492E74">
      <w:pPr>
        <w:widowControl w:val="0"/>
        <w:spacing w:after="0" w:line="240" w:lineRule="auto"/>
        <w:ind w:firstLine="709"/>
        <w:jc w:val="both"/>
        <w:rPr>
          <w:rFonts w:ascii="Times New Roman" w:eastAsia="Calibri" w:hAnsi="Times New Roman" w:cs="Times New Roman"/>
          <w:sz w:val="24"/>
          <w:szCs w:val="24"/>
        </w:rPr>
      </w:pPr>
    </w:p>
    <w:p w14:paraId="2DC61C46" w14:textId="46958CD4" w:rsidR="009F1C44" w:rsidRPr="009F1C44" w:rsidRDefault="009F1C44" w:rsidP="009B5E77">
      <w:pPr>
        <w:widowControl w:val="0"/>
        <w:spacing w:after="0" w:line="360" w:lineRule="auto"/>
        <w:ind w:firstLine="709"/>
        <w:jc w:val="both"/>
        <w:rPr>
          <w:rFonts w:ascii="Times New Roman" w:eastAsia="Times New Roman" w:hAnsi="Times New Roman" w:cs="Times New Roman"/>
          <w:sz w:val="24"/>
          <w:szCs w:val="24"/>
          <w:lang w:eastAsia="pt-BR"/>
        </w:rPr>
      </w:pPr>
      <w:r w:rsidRPr="009F1C44">
        <w:rPr>
          <w:rFonts w:ascii="Times New Roman" w:eastAsia="Times New Roman" w:hAnsi="Times New Roman" w:cs="Times New Roman"/>
          <w:sz w:val="24"/>
          <w:szCs w:val="24"/>
          <w:lang w:eastAsia="pt-BR"/>
        </w:rPr>
        <w:t>Esses cursos estão distribuídos em diversos níveis e modalidades, sendo a maioria de cursos técnicos de nível médio (54%) nas formas de oferta integrada, subsequente e concomitante. Em seguida estão os cursos superiores de Tecnologia (11%) e Qualificação Profissional (10%)</w:t>
      </w:r>
      <w:r w:rsidR="009B5E77">
        <w:rPr>
          <w:rFonts w:ascii="Times New Roman" w:eastAsia="Times New Roman" w:hAnsi="Times New Roman" w:cs="Times New Roman"/>
          <w:sz w:val="24"/>
          <w:szCs w:val="24"/>
          <w:lang w:eastAsia="pt-BR"/>
        </w:rPr>
        <w:t>, conforme Tabela 3</w:t>
      </w:r>
      <w:r w:rsidRPr="009F1C44">
        <w:rPr>
          <w:rFonts w:ascii="Times New Roman" w:eastAsia="Times New Roman" w:hAnsi="Times New Roman" w:cs="Times New Roman"/>
          <w:sz w:val="24"/>
          <w:szCs w:val="24"/>
          <w:lang w:eastAsia="pt-BR"/>
        </w:rPr>
        <w:t xml:space="preserve">. Em 2021, 58% das matrículas foram em cursos técnicos. </w:t>
      </w:r>
    </w:p>
    <w:p w14:paraId="24377E8D" w14:textId="77777777" w:rsidR="009F1C44" w:rsidRPr="009F1C44" w:rsidRDefault="009F1C44" w:rsidP="00492E74">
      <w:pPr>
        <w:widowControl w:val="0"/>
        <w:spacing w:after="0" w:line="240" w:lineRule="auto"/>
        <w:ind w:firstLine="709"/>
        <w:jc w:val="both"/>
        <w:rPr>
          <w:rFonts w:ascii="Times New Roman" w:eastAsia="Times New Roman" w:hAnsi="Times New Roman" w:cs="Times New Roman"/>
          <w:sz w:val="24"/>
          <w:szCs w:val="24"/>
          <w:lang w:eastAsia="pt-BR"/>
        </w:rPr>
      </w:pPr>
    </w:p>
    <w:p w14:paraId="7FFEA7E2" w14:textId="77777777" w:rsidR="009F1C44" w:rsidRPr="009F1C44" w:rsidRDefault="009F1C44" w:rsidP="009F1C44">
      <w:pPr>
        <w:widowControl w:val="0"/>
        <w:spacing w:after="0" w:line="240" w:lineRule="auto"/>
        <w:jc w:val="both"/>
        <w:rPr>
          <w:rFonts w:ascii="Times New Roman" w:eastAsia="Times New Roman" w:hAnsi="Times New Roman" w:cs="Times New Roman"/>
          <w:sz w:val="24"/>
          <w:szCs w:val="24"/>
          <w:lang w:eastAsia="pt-BR"/>
        </w:rPr>
      </w:pPr>
      <w:r w:rsidRPr="009F1C44">
        <w:rPr>
          <w:rFonts w:ascii="Times New Roman" w:eastAsia="Times New Roman" w:hAnsi="Times New Roman" w:cs="Times New Roman"/>
          <w:sz w:val="24"/>
          <w:szCs w:val="24"/>
          <w:lang w:eastAsia="pt-BR"/>
        </w:rPr>
        <w:t>Tabela 3 – Tipos de curso e matrículas IFPR (2021)</w:t>
      </w:r>
    </w:p>
    <w:tbl>
      <w:tblPr>
        <w:tblW w:w="9369" w:type="dxa"/>
        <w:jc w:val="center"/>
        <w:tblCellMar>
          <w:left w:w="70" w:type="dxa"/>
          <w:right w:w="70" w:type="dxa"/>
        </w:tblCellMar>
        <w:tblLook w:val="04A0" w:firstRow="1" w:lastRow="0" w:firstColumn="1" w:lastColumn="0" w:noHBand="0" w:noVBand="1"/>
      </w:tblPr>
      <w:tblGrid>
        <w:gridCol w:w="3456"/>
        <w:gridCol w:w="2073"/>
        <w:gridCol w:w="850"/>
        <w:gridCol w:w="2410"/>
        <w:gridCol w:w="580"/>
      </w:tblGrid>
      <w:tr w:rsidR="009F1C44" w:rsidRPr="0016044D" w14:paraId="37E65DA6" w14:textId="77777777" w:rsidTr="00077706">
        <w:trPr>
          <w:trHeight w:val="300"/>
          <w:jc w:val="center"/>
        </w:trPr>
        <w:tc>
          <w:tcPr>
            <w:tcW w:w="3456" w:type="dxa"/>
            <w:tcBorders>
              <w:top w:val="single" w:sz="4" w:space="0" w:color="auto"/>
              <w:left w:val="nil"/>
              <w:bottom w:val="single" w:sz="4" w:space="0" w:color="auto"/>
              <w:right w:val="nil"/>
            </w:tcBorders>
            <w:shd w:val="clear" w:color="auto" w:fill="auto"/>
            <w:noWrap/>
            <w:vAlign w:val="center"/>
            <w:hideMark/>
          </w:tcPr>
          <w:p w14:paraId="677B7FF0" w14:textId="77777777" w:rsidR="009F1C44" w:rsidRPr="0016044D" w:rsidRDefault="009F1C44" w:rsidP="009F1C44">
            <w:pPr>
              <w:spacing w:after="0" w:line="240" w:lineRule="auto"/>
              <w:jc w:val="center"/>
              <w:rPr>
                <w:rFonts w:ascii="Times New Roman" w:eastAsia="Times New Roman" w:hAnsi="Times New Roman" w:cs="Times New Roman"/>
                <w:b/>
                <w:bCs/>
                <w:color w:val="000000"/>
                <w:sz w:val="24"/>
                <w:szCs w:val="24"/>
                <w:lang w:eastAsia="pt-BR"/>
              </w:rPr>
            </w:pPr>
            <w:r w:rsidRPr="0016044D">
              <w:rPr>
                <w:rFonts w:ascii="Times New Roman" w:eastAsia="Times New Roman" w:hAnsi="Times New Roman" w:cs="Times New Roman"/>
                <w:b/>
                <w:bCs/>
                <w:color w:val="000000"/>
                <w:sz w:val="24"/>
                <w:szCs w:val="24"/>
                <w:lang w:eastAsia="pt-BR"/>
              </w:rPr>
              <w:t>Tipo de Curso</w:t>
            </w:r>
          </w:p>
        </w:tc>
        <w:tc>
          <w:tcPr>
            <w:tcW w:w="2073" w:type="dxa"/>
            <w:tcBorders>
              <w:top w:val="single" w:sz="4" w:space="0" w:color="auto"/>
              <w:left w:val="nil"/>
              <w:bottom w:val="single" w:sz="4" w:space="0" w:color="auto"/>
              <w:right w:val="nil"/>
            </w:tcBorders>
            <w:shd w:val="clear" w:color="auto" w:fill="auto"/>
            <w:noWrap/>
            <w:vAlign w:val="center"/>
            <w:hideMark/>
          </w:tcPr>
          <w:p w14:paraId="07E7F754" w14:textId="3E7899CC" w:rsidR="009F1C44" w:rsidRPr="0016044D" w:rsidRDefault="00492E74" w:rsidP="009F1C44">
            <w:pPr>
              <w:spacing w:after="0" w:line="240" w:lineRule="auto"/>
              <w:jc w:val="center"/>
              <w:rPr>
                <w:rFonts w:ascii="Times New Roman" w:eastAsia="Times New Roman" w:hAnsi="Times New Roman" w:cs="Times New Roman"/>
                <w:b/>
                <w:bCs/>
                <w:color w:val="000000"/>
                <w:sz w:val="24"/>
                <w:szCs w:val="24"/>
                <w:lang w:eastAsia="pt-BR"/>
              </w:rPr>
            </w:pPr>
            <w:r>
              <w:rPr>
                <w:rFonts w:ascii="Times New Roman" w:eastAsia="Calibri" w:hAnsi="Times New Roman" w:cs="Times New Roman"/>
                <w:b/>
                <w:bCs/>
                <w:sz w:val="24"/>
                <w:szCs w:val="24"/>
              </w:rPr>
              <w:t>Nº</w:t>
            </w:r>
            <w:r w:rsidR="009F1C44" w:rsidRPr="0016044D">
              <w:rPr>
                <w:rFonts w:ascii="Times New Roman" w:eastAsia="Calibri" w:hAnsi="Times New Roman" w:cs="Times New Roman"/>
                <w:b/>
                <w:bCs/>
                <w:sz w:val="24"/>
                <w:szCs w:val="24"/>
              </w:rPr>
              <w:t xml:space="preserve"> de Cursos</w:t>
            </w:r>
          </w:p>
        </w:tc>
        <w:tc>
          <w:tcPr>
            <w:tcW w:w="850" w:type="dxa"/>
            <w:tcBorders>
              <w:top w:val="single" w:sz="4" w:space="0" w:color="auto"/>
              <w:left w:val="nil"/>
              <w:bottom w:val="single" w:sz="4" w:space="0" w:color="auto"/>
              <w:right w:val="nil"/>
            </w:tcBorders>
            <w:shd w:val="clear" w:color="auto" w:fill="auto"/>
            <w:noWrap/>
            <w:vAlign w:val="center"/>
            <w:hideMark/>
          </w:tcPr>
          <w:p w14:paraId="6907FC86" w14:textId="77777777" w:rsidR="009F1C44" w:rsidRPr="0016044D" w:rsidRDefault="009F1C44" w:rsidP="009F1C44">
            <w:pPr>
              <w:spacing w:after="0" w:line="240" w:lineRule="auto"/>
              <w:jc w:val="center"/>
              <w:rPr>
                <w:rFonts w:ascii="Times New Roman" w:eastAsia="Times New Roman" w:hAnsi="Times New Roman" w:cs="Times New Roman"/>
                <w:b/>
                <w:bCs/>
                <w:sz w:val="24"/>
                <w:szCs w:val="24"/>
                <w:lang w:eastAsia="pt-BR"/>
              </w:rPr>
            </w:pPr>
            <w:r w:rsidRPr="0016044D">
              <w:rPr>
                <w:rFonts w:ascii="Times New Roman" w:eastAsia="Calibri" w:hAnsi="Times New Roman" w:cs="Times New Roman"/>
                <w:b/>
                <w:bCs/>
                <w:sz w:val="24"/>
                <w:szCs w:val="24"/>
              </w:rPr>
              <w:t>%</w:t>
            </w:r>
          </w:p>
        </w:tc>
        <w:tc>
          <w:tcPr>
            <w:tcW w:w="2410" w:type="dxa"/>
            <w:tcBorders>
              <w:top w:val="single" w:sz="4" w:space="0" w:color="auto"/>
              <w:left w:val="nil"/>
              <w:bottom w:val="single" w:sz="4" w:space="0" w:color="auto"/>
              <w:right w:val="nil"/>
            </w:tcBorders>
            <w:shd w:val="clear" w:color="auto" w:fill="auto"/>
            <w:noWrap/>
            <w:vAlign w:val="center"/>
            <w:hideMark/>
          </w:tcPr>
          <w:p w14:paraId="726F848E" w14:textId="0DC0D14B" w:rsidR="009F1C44" w:rsidRPr="0016044D" w:rsidRDefault="00492E74" w:rsidP="009F1C44">
            <w:pPr>
              <w:spacing w:after="0" w:line="240" w:lineRule="auto"/>
              <w:jc w:val="center"/>
              <w:rPr>
                <w:rFonts w:ascii="Times New Roman" w:eastAsia="Times New Roman" w:hAnsi="Times New Roman" w:cs="Times New Roman"/>
                <w:b/>
                <w:bCs/>
                <w:sz w:val="24"/>
                <w:szCs w:val="24"/>
                <w:lang w:eastAsia="pt-BR"/>
              </w:rPr>
            </w:pPr>
            <w:r>
              <w:rPr>
                <w:rFonts w:ascii="Times New Roman" w:eastAsia="Calibri" w:hAnsi="Times New Roman" w:cs="Times New Roman"/>
                <w:b/>
                <w:bCs/>
                <w:sz w:val="24"/>
                <w:szCs w:val="24"/>
              </w:rPr>
              <w:t>Nº</w:t>
            </w:r>
            <w:r w:rsidR="009F1C44" w:rsidRPr="0016044D">
              <w:rPr>
                <w:rFonts w:ascii="Times New Roman" w:eastAsia="Calibri" w:hAnsi="Times New Roman" w:cs="Times New Roman"/>
                <w:b/>
                <w:bCs/>
                <w:sz w:val="24"/>
                <w:szCs w:val="24"/>
              </w:rPr>
              <w:t xml:space="preserve"> de Matrículas</w:t>
            </w:r>
          </w:p>
        </w:tc>
        <w:tc>
          <w:tcPr>
            <w:tcW w:w="580" w:type="dxa"/>
            <w:tcBorders>
              <w:top w:val="single" w:sz="4" w:space="0" w:color="auto"/>
              <w:left w:val="nil"/>
              <w:bottom w:val="single" w:sz="4" w:space="0" w:color="auto"/>
              <w:right w:val="nil"/>
            </w:tcBorders>
            <w:shd w:val="clear" w:color="auto" w:fill="auto"/>
            <w:noWrap/>
            <w:vAlign w:val="center"/>
            <w:hideMark/>
          </w:tcPr>
          <w:p w14:paraId="3B3D40A9" w14:textId="77777777" w:rsidR="009F1C44" w:rsidRPr="0016044D" w:rsidRDefault="009F1C44" w:rsidP="009F1C44">
            <w:pPr>
              <w:spacing w:after="0" w:line="240" w:lineRule="auto"/>
              <w:jc w:val="center"/>
              <w:rPr>
                <w:rFonts w:ascii="Times New Roman" w:eastAsia="Times New Roman" w:hAnsi="Times New Roman" w:cs="Times New Roman"/>
                <w:b/>
                <w:bCs/>
                <w:sz w:val="24"/>
                <w:szCs w:val="24"/>
                <w:lang w:eastAsia="pt-BR"/>
              </w:rPr>
            </w:pPr>
            <w:r w:rsidRPr="0016044D">
              <w:rPr>
                <w:rFonts w:ascii="Times New Roman" w:eastAsia="Calibri" w:hAnsi="Times New Roman" w:cs="Times New Roman"/>
                <w:b/>
                <w:bCs/>
                <w:sz w:val="24"/>
                <w:szCs w:val="24"/>
              </w:rPr>
              <w:t>%</w:t>
            </w:r>
          </w:p>
        </w:tc>
      </w:tr>
      <w:tr w:rsidR="009F1C44" w:rsidRPr="0016044D" w14:paraId="69645320" w14:textId="77777777" w:rsidTr="00077706">
        <w:trPr>
          <w:trHeight w:val="300"/>
          <w:jc w:val="center"/>
        </w:trPr>
        <w:tc>
          <w:tcPr>
            <w:tcW w:w="3456" w:type="dxa"/>
            <w:tcBorders>
              <w:top w:val="single" w:sz="4" w:space="0" w:color="auto"/>
              <w:left w:val="nil"/>
              <w:bottom w:val="nil"/>
              <w:right w:val="nil"/>
            </w:tcBorders>
            <w:shd w:val="clear" w:color="auto" w:fill="auto"/>
            <w:noWrap/>
            <w:vAlign w:val="center"/>
            <w:hideMark/>
          </w:tcPr>
          <w:p w14:paraId="1BA3835F"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Técnico</w:t>
            </w:r>
          </w:p>
        </w:tc>
        <w:tc>
          <w:tcPr>
            <w:tcW w:w="2073" w:type="dxa"/>
            <w:tcBorders>
              <w:top w:val="single" w:sz="4" w:space="0" w:color="auto"/>
              <w:left w:val="nil"/>
              <w:bottom w:val="nil"/>
              <w:right w:val="nil"/>
            </w:tcBorders>
            <w:shd w:val="clear" w:color="auto" w:fill="auto"/>
            <w:noWrap/>
            <w:vAlign w:val="center"/>
            <w:hideMark/>
          </w:tcPr>
          <w:p w14:paraId="6AF393B9"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167</w:t>
            </w:r>
          </w:p>
        </w:tc>
        <w:tc>
          <w:tcPr>
            <w:tcW w:w="850" w:type="dxa"/>
            <w:tcBorders>
              <w:top w:val="single" w:sz="4" w:space="0" w:color="auto"/>
              <w:left w:val="nil"/>
              <w:bottom w:val="nil"/>
              <w:right w:val="nil"/>
            </w:tcBorders>
            <w:shd w:val="clear" w:color="auto" w:fill="auto"/>
            <w:noWrap/>
            <w:vAlign w:val="center"/>
            <w:hideMark/>
          </w:tcPr>
          <w:p w14:paraId="1D771399"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54%</w:t>
            </w:r>
          </w:p>
        </w:tc>
        <w:tc>
          <w:tcPr>
            <w:tcW w:w="2410" w:type="dxa"/>
            <w:tcBorders>
              <w:top w:val="single" w:sz="4" w:space="0" w:color="auto"/>
              <w:left w:val="nil"/>
              <w:bottom w:val="nil"/>
              <w:right w:val="nil"/>
            </w:tcBorders>
            <w:shd w:val="clear" w:color="auto" w:fill="auto"/>
            <w:noWrap/>
            <w:vAlign w:val="center"/>
            <w:hideMark/>
          </w:tcPr>
          <w:p w14:paraId="7C37A3EE"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16.835</w:t>
            </w:r>
          </w:p>
        </w:tc>
        <w:tc>
          <w:tcPr>
            <w:tcW w:w="580" w:type="dxa"/>
            <w:tcBorders>
              <w:top w:val="single" w:sz="4" w:space="0" w:color="auto"/>
              <w:left w:val="nil"/>
              <w:bottom w:val="nil"/>
              <w:right w:val="nil"/>
            </w:tcBorders>
            <w:shd w:val="clear" w:color="auto" w:fill="auto"/>
            <w:noWrap/>
            <w:vAlign w:val="center"/>
            <w:hideMark/>
          </w:tcPr>
          <w:p w14:paraId="7D98C902"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58%</w:t>
            </w:r>
          </w:p>
        </w:tc>
      </w:tr>
      <w:tr w:rsidR="009F1C44" w:rsidRPr="0016044D" w14:paraId="2B88ADF1" w14:textId="77777777" w:rsidTr="00077706">
        <w:trPr>
          <w:trHeight w:val="300"/>
          <w:jc w:val="center"/>
        </w:trPr>
        <w:tc>
          <w:tcPr>
            <w:tcW w:w="3456" w:type="dxa"/>
            <w:tcBorders>
              <w:top w:val="nil"/>
              <w:left w:val="nil"/>
              <w:bottom w:val="nil"/>
              <w:right w:val="nil"/>
            </w:tcBorders>
            <w:shd w:val="clear" w:color="auto" w:fill="auto"/>
            <w:noWrap/>
            <w:vAlign w:val="center"/>
            <w:hideMark/>
          </w:tcPr>
          <w:p w14:paraId="48D5E723"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Tecnologia</w:t>
            </w:r>
          </w:p>
        </w:tc>
        <w:tc>
          <w:tcPr>
            <w:tcW w:w="2073" w:type="dxa"/>
            <w:tcBorders>
              <w:top w:val="nil"/>
              <w:left w:val="nil"/>
              <w:bottom w:val="nil"/>
              <w:right w:val="nil"/>
            </w:tcBorders>
            <w:shd w:val="clear" w:color="auto" w:fill="auto"/>
            <w:noWrap/>
            <w:vAlign w:val="center"/>
            <w:hideMark/>
          </w:tcPr>
          <w:p w14:paraId="511114DD"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34</w:t>
            </w:r>
          </w:p>
        </w:tc>
        <w:tc>
          <w:tcPr>
            <w:tcW w:w="850" w:type="dxa"/>
            <w:tcBorders>
              <w:top w:val="nil"/>
              <w:left w:val="nil"/>
              <w:bottom w:val="nil"/>
              <w:right w:val="nil"/>
            </w:tcBorders>
            <w:shd w:val="clear" w:color="auto" w:fill="auto"/>
            <w:noWrap/>
            <w:vAlign w:val="center"/>
            <w:hideMark/>
          </w:tcPr>
          <w:p w14:paraId="175A3263"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11%</w:t>
            </w:r>
          </w:p>
        </w:tc>
        <w:tc>
          <w:tcPr>
            <w:tcW w:w="2410" w:type="dxa"/>
            <w:tcBorders>
              <w:top w:val="nil"/>
              <w:left w:val="nil"/>
              <w:bottom w:val="nil"/>
              <w:right w:val="nil"/>
            </w:tcBorders>
            <w:shd w:val="clear" w:color="auto" w:fill="auto"/>
            <w:noWrap/>
            <w:vAlign w:val="center"/>
            <w:hideMark/>
          </w:tcPr>
          <w:p w14:paraId="7A4BBA1B"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3.436</w:t>
            </w:r>
          </w:p>
        </w:tc>
        <w:tc>
          <w:tcPr>
            <w:tcW w:w="580" w:type="dxa"/>
            <w:tcBorders>
              <w:top w:val="nil"/>
              <w:left w:val="nil"/>
              <w:bottom w:val="nil"/>
              <w:right w:val="nil"/>
            </w:tcBorders>
            <w:shd w:val="clear" w:color="auto" w:fill="auto"/>
            <w:noWrap/>
            <w:vAlign w:val="center"/>
            <w:hideMark/>
          </w:tcPr>
          <w:p w14:paraId="462F9C36"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12%</w:t>
            </w:r>
          </w:p>
        </w:tc>
      </w:tr>
      <w:tr w:rsidR="009F1C44" w:rsidRPr="0016044D" w14:paraId="3BB79AA7" w14:textId="77777777" w:rsidTr="00077706">
        <w:trPr>
          <w:trHeight w:val="300"/>
          <w:jc w:val="center"/>
        </w:trPr>
        <w:tc>
          <w:tcPr>
            <w:tcW w:w="3456" w:type="dxa"/>
            <w:tcBorders>
              <w:top w:val="nil"/>
              <w:left w:val="nil"/>
              <w:bottom w:val="nil"/>
              <w:right w:val="nil"/>
            </w:tcBorders>
            <w:shd w:val="clear" w:color="auto" w:fill="auto"/>
            <w:noWrap/>
            <w:vAlign w:val="center"/>
            <w:hideMark/>
          </w:tcPr>
          <w:p w14:paraId="3585C6BA"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Qualificação Profissional (FIC)</w:t>
            </w:r>
          </w:p>
        </w:tc>
        <w:tc>
          <w:tcPr>
            <w:tcW w:w="2073" w:type="dxa"/>
            <w:tcBorders>
              <w:top w:val="nil"/>
              <w:left w:val="nil"/>
              <w:bottom w:val="nil"/>
              <w:right w:val="nil"/>
            </w:tcBorders>
            <w:shd w:val="clear" w:color="auto" w:fill="auto"/>
            <w:noWrap/>
            <w:vAlign w:val="center"/>
            <w:hideMark/>
          </w:tcPr>
          <w:p w14:paraId="68258EAE"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32</w:t>
            </w:r>
          </w:p>
        </w:tc>
        <w:tc>
          <w:tcPr>
            <w:tcW w:w="850" w:type="dxa"/>
            <w:tcBorders>
              <w:top w:val="nil"/>
              <w:left w:val="nil"/>
              <w:bottom w:val="nil"/>
              <w:right w:val="nil"/>
            </w:tcBorders>
            <w:shd w:val="clear" w:color="auto" w:fill="auto"/>
            <w:noWrap/>
            <w:vAlign w:val="center"/>
            <w:hideMark/>
          </w:tcPr>
          <w:p w14:paraId="03DFA37F"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10%</w:t>
            </w:r>
          </w:p>
        </w:tc>
        <w:tc>
          <w:tcPr>
            <w:tcW w:w="2410" w:type="dxa"/>
            <w:tcBorders>
              <w:top w:val="nil"/>
              <w:left w:val="nil"/>
              <w:bottom w:val="nil"/>
              <w:right w:val="nil"/>
            </w:tcBorders>
            <w:shd w:val="clear" w:color="auto" w:fill="auto"/>
            <w:noWrap/>
            <w:vAlign w:val="center"/>
            <w:hideMark/>
          </w:tcPr>
          <w:p w14:paraId="35900366"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1798</w:t>
            </w:r>
          </w:p>
        </w:tc>
        <w:tc>
          <w:tcPr>
            <w:tcW w:w="580" w:type="dxa"/>
            <w:tcBorders>
              <w:top w:val="nil"/>
              <w:left w:val="nil"/>
              <w:bottom w:val="nil"/>
              <w:right w:val="nil"/>
            </w:tcBorders>
            <w:shd w:val="clear" w:color="auto" w:fill="auto"/>
            <w:noWrap/>
            <w:vAlign w:val="center"/>
            <w:hideMark/>
          </w:tcPr>
          <w:p w14:paraId="70DF25BC"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6%</w:t>
            </w:r>
          </w:p>
        </w:tc>
      </w:tr>
      <w:tr w:rsidR="009F1C44" w:rsidRPr="0016044D" w14:paraId="75D190AC" w14:textId="77777777" w:rsidTr="00077706">
        <w:trPr>
          <w:trHeight w:val="300"/>
          <w:jc w:val="center"/>
        </w:trPr>
        <w:tc>
          <w:tcPr>
            <w:tcW w:w="3456" w:type="dxa"/>
            <w:tcBorders>
              <w:top w:val="nil"/>
              <w:left w:val="nil"/>
              <w:bottom w:val="nil"/>
              <w:right w:val="nil"/>
            </w:tcBorders>
            <w:shd w:val="clear" w:color="auto" w:fill="auto"/>
            <w:noWrap/>
            <w:vAlign w:val="center"/>
            <w:hideMark/>
          </w:tcPr>
          <w:p w14:paraId="0DB4CE2A"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Licenciatura</w:t>
            </w:r>
          </w:p>
        </w:tc>
        <w:tc>
          <w:tcPr>
            <w:tcW w:w="2073" w:type="dxa"/>
            <w:tcBorders>
              <w:top w:val="nil"/>
              <w:left w:val="nil"/>
              <w:bottom w:val="nil"/>
              <w:right w:val="nil"/>
            </w:tcBorders>
            <w:shd w:val="clear" w:color="auto" w:fill="auto"/>
            <w:noWrap/>
            <w:vAlign w:val="center"/>
            <w:hideMark/>
          </w:tcPr>
          <w:p w14:paraId="6C55DE66"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27</w:t>
            </w:r>
          </w:p>
        </w:tc>
        <w:tc>
          <w:tcPr>
            <w:tcW w:w="850" w:type="dxa"/>
            <w:tcBorders>
              <w:top w:val="nil"/>
              <w:left w:val="nil"/>
              <w:bottom w:val="nil"/>
              <w:right w:val="nil"/>
            </w:tcBorders>
            <w:shd w:val="clear" w:color="auto" w:fill="auto"/>
            <w:noWrap/>
            <w:vAlign w:val="center"/>
            <w:hideMark/>
          </w:tcPr>
          <w:p w14:paraId="3541D149"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9%</w:t>
            </w:r>
          </w:p>
        </w:tc>
        <w:tc>
          <w:tcPr>
            <w:tcW w:w="2410" w:type="dxa"/>
            <w:tcBorders>
              <w:top w:val="nil"/>
              <w:left w:val="nil"/>
              <w:bottom w:val="nil"/>
              <w:right w:val="nil"/>
            </w:tcBorders>
            <w:shd w:val="clear" w:color="auto" w:fill="auto"/>
            <w:noWrap/>
            <w:vAlign w:val="center"/>
            <w:hideMark/>
          </w:tcPr>
          <w:p w14:paraId="3906BC74"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3.190</w:t>
            </w:r>
          </w:p>
        </w:tc>
        <w:tc>
          <w:tcPr>
            <w:tcW w:w="580" w:type="dxa"/>
            <w:tcBorders>
              <w:top w:val="nil"/>
              <w:left w:val="nil"/>
              <w:bottom w:val="nil"/>
              <w:right w:val="nil"/>
            </w:tcBorders>
            <w:shd w:val="clear" w:color="auto" w:fill="auto"/>
            <w:noWrap/>
            <w:vAlign w:val="center"/>
            <w:hideMark/>
          </w:tcPr>
          <w:p w14:paraId="52788D4C"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11%</w:t>
            </w:r>
          </w:p>
        </w:tc>
      </w:tr>
      <w:tr w:rsidR="009F1C44" w:rsidRPr="0016044D" w14:paraId="51A2BF89" w14:textId="77777777" w:rsidTr="00077706">
        <w:trPr>
          <w:trHeight w:val="300"/>
          <w:jc w:val="center"/>
        </w:trPr>
        <w:tc>
          <w:tcPr>
            <w:tcW w:w="3456" w:type="dxa"/>
            <w:tcBorders>
              <w:top w:val="nil"/>
              <w:left w:val="nil"/>
              <w:bottom w:val="nil"/>
              <w:right w:val="nil"/>
            </w:tcBorders>
            <w:shd w:val="clear" w:color="auto" w:fill="auto"/>
            <w:noWrap/>
            <w:vAlign w:val="center"/>
            <w:hideMark/>
          </w:tcPr>
          <w:p w14:paraId="03A7FE30"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Bacharelado</w:t>
            </w:r>
          </w:p>
        </w:tc>
        <w:tc>
          <w:tcPr>
            <w:tcW w:w="2073" w:type="dxa"/>
            <w:tcBorders>
              <w:top w:val="nil"/>
              <w:left w:val="nil"/>
              <w:bottom w:val="nil"/>
              <w:right w:val="nil"/>
            </w:tcBorders>
            <w:shd w:val="clear" w:color="auto" w:fill="auto"/>
            <w:noWrap/>
            <w:vAlign w:val="center"/>
            <w:hideMark/>
          </w:tcPr>
          <w:p w14:paraId="5ECF39E6"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23</w:t>
            </w:r>
          </w:p>
        </w:tc>
        <w:tc>
          <w:tcPr>
            <w:tcW w:w="850" w:type="dxa"/>
            <w:tcBorders>
              <w:top w:val="nil"/>
              <w:left w:val="nil"/>
              <w:bottom w:val="nil"/>
              <w:right w:val="nil"/>
            </w:tcBorders>
            <w:shd w:val="clear" w:color="auto" w:fill="auto"/>
            <w:noWrap/>
            <w:vAlign w:val="center"/>
            <w:hideMark/>
          </w:tcPr>
          <w:p w14:paraId="4EED0AD0"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7%</w:t>
            </w:r>
          </w:p>
        </w:tc>
        <w:tc>
          <w:tcPr>
            <w:tcW w:w="2410" w:type="dxa"/>
            <w:tcBorders>
              <w:top w:val="nil"/>
              <w:left w:val="nil"/>
              <w:bottom w:val="nil"/>
              <w:right w:val="nil"/>
            </w:tcBorders>
            <w:shd w:val="clear" w:color="auto" w:fill="auto"/>
            <w:noWrap/>
            <w:vAlign w:val="center"/>
            <w:hideMark/>
          </w:tcPr>
          <w:p w14:paraId="76C4BABB"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2.865</w:t>
            </w:r>
          </w:p>
        </w:tc>
        <w:tc>
          <w:tcPr>
            <w:tcW w:w="580" w:type="dxa"/>
            <w:tcBorders>
              <w:top w:val="nil"/>
              <w:left w:val="nil"/>
              <w:bottom w:val="nil"/>
              <w:right w:val="nil"/>
            </w:tcBorders>
            <w:shd w:val="clear" w:color="auto" w:fill="auto"/>
            <w:noWrap/>
            <w:vAlign w:val="center"/>
            <w:hideMark/>
          </w:tcPr>
          <w:p w14:paraId="743C8AB9"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10%</w:t>
            </w:r>
          </w:p>
        </w:tc>
      </w:tr>
      <w:tr w:rsidR="009F1C44" w:rsidRPr="0016044D" w14:paraId="15646F5B" w14:textId="77777777" w:rsidTr="00077706">
        <w:trPr>
          <w:trHeight w:val="300"/>
          <w:jc w:val="center"/>
        </w:trPr>
        <w:tc>
          <w:tcPr>
            <w:tcW w:w="3456" w:type="dxa"/>
            <w:tcBorders>
              <w:top w:val="nil"/>
              <w:left w:val="nil"/>
              <w:bottom w:val="nil"/>
              <w:right w:val="nil"/>
            </w:tcBorders>
            <w:shd w:val="clear" w:color="auto" w:fill="auto"/>
            <w:noWrap/>
            <w:vAlign w:val="center"/>
            <w:hideMark/>
          </w:tcPr>
          <w:p w14:paraId="6B9ACD00"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Especialização Lato Sensu</w:t>
            </w:r>
          </w:p>
        </w:tc>
        <w:tc>
          <w:tcPr>
            <w:tcW w:w="2073" w:type="dxa"/>
            <w:tcBorders>
              <w:top w:val="nil"/>
              <w:left w:val="nil"/>
              <w:bottom w:val="nil"/>
              <w:right w:val="nil"/>
            </w:tcBorders>
            <w:shd w:val="clear" w:color="auto" w:fill="auto"/>
            <w:noWrap/>
            <w:vAlign w:val="center"/>
            <w:hideMark/>
          </w:tcPr>
          <w:p w14:paraId="2CB757DC"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22</w:t>
            </w:r>
          </w:p>
        </w:tc>
        <w:tc>
          <w:tcPr>
            <w:tcW w:w="850" w:type="dxa"/>
            <w:tcBorders>
              <w:top w:val="nil"/>
              <w:left w:val="nil"/>
              <w:bottom w:val="nil"/>
              <w:right w:val="nil"/>
            </w:tcBorders>
            <w:shd w:val="clear" w:color="auto" w:fill="auto"/>
            <w:noWrap/>
            <w:vAlign w:val="center"/>
            <w:hideMark/>
          </w:tcPr>
          <w:p w14:paraId="10B26B44"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7%</w:t>
            </w:r>
          </w:p>
        </w:tc>
        <w:tc>
          <w:tcPr>
            <w:tcW w:w="2410" w:type="dxa"/>
            <w:tcBorders>
              <w:top w:val="nil"/>
              <w:left w:val="nil"/>
              <w:bottom w:val="nil"/>
              <w:right w:val="nil"/>
            </w:tcBorders>
            <w:shd w:val="clear" w:color="auto" w:fill="auto"/>
            <w:noWrap/>
            <w:vAlign w:val="center"/>
            <w:hideMark/>
          </w:tcPr>
          <w:p w14:paraId="27C9C91A"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764</w:t>
            </w:r>
          </w:p>
        </w:tc>
        <w:tc>
          <w:tcPr>
            <w:tcW w:w="580" w:type="dxa"/>
            <w:tcBorders>
              <w:top w:val="nil"/>
              <w:left w:val="nil"/>
              <w:bottom w:val="nil"/>
              <w:right w:val="nil"/>
            </w:tcBorders>
            <w:shd w:val="clear" w:color="auto" w:fill="auto"/>
            <w:noWrap/>
            <w:vAlign w:val="center"/>
            <w:hideMark/>
          </w:tcPr>
          <w:p w14:paraId="0334A32C"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3%</w:t>
            </w:r>
          </w:p>
        </w:tc>
      </w:tr>
      <w:tr w:rsidR="009F1C44" w:rsidRPr="0016044D" w14:paraId="152884AB" w14:textId="77777777" w:rsidTr="00077706">
        <w:trPr>
          <w:trHeight w:val="300"/>
          <w:jc w:val="center"/>
        </w:trPr>
        <w:tc>
          <w:tcPr>
            <w:tcW w:w="3456" w:type="dxa"/>
            <w:tcBorders>
              <w:top w:val="nil"/>
              <w:left w:val="nil"/>
              <w:bottom w:val="single" w:sz="4" w:space="0" w:color="auto"/>
              <w:right w:val="nil"/>
            </w:tcBorders>
            <w:shd w:val="clear" w:color="auto" w:fill="auto"/>
            <w:noWrap/>
            <w:vAlign w:val="center"/>
            <w:hideMark/>
          </w:tcPr>
          <w:p w14:paraId="4910BB85"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Mestrado</w:t>
            </w:r>
          </w:p>
        </w:tc>
        <w:tc>
          <w:tcPr>
            <w:tcW w:w="2073" w:type="dxa"/>
            <w:tcBorders>
              <w:top w:val="nil"/>
              <w:left w:val="nil"/>
              <w:bottom w:val="single" w:sz="4" w:space="0" w:color="auto"/>
              <w:right w:val="nil"/>
            </w:tcBorders>
            <w:shd w:val="clear" w:color="auto" w:fill="auto"/>
            <w:noWrap/>
            <w:vAlign w:val="center"/>
            <w:hideMark/>
          </w:tcPr>
          <w:p w14:paraId="21F6B669"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5</w:t>
            </w:r>
          </w:p>
        </w:tc>
        <w:tc>
          <w:tcPr>
            <w:tcW w:w="850" w:type="dxa"/>
            <w:tcBorders>
              <w:top w:val="nil"/>
              <w:left w:val="nil"/>
              <w:bottom w:val="single" w:sz="4" w:space="0" w:color="auto"/>
              <w:right w:val="nil"/>
            </w:tcBorders>
            <w:shd w:val="clear" w:color="auto" w:fill="auto"/>
            <w:noWrap/>
            <w:vAlign w:val="center"/>
            <w:hideMark/>
          </w:tcPr>
          <w:p w14:paraId="10C08C80"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2%</w:t>
            </w:r>
          </w:p>
        </w:tc>
        <w:tc>
          <w:tcPr>
            <w:tcW w:w="2410" w:type="dxa"/>
            <w:tcBorders>
              <w:top w:val="nil"/>
              <w:left w:val="nil"/>
              <w:bottom w:val="single" w:sz="4" w:space="0" w:color="auto"/>
              <w:right w:val="nil"/>
            </w:tcBorders>
            <w:shd w:val="clear" w:color="auto" w:fill="auto"/>
            <w:noWrap/>
            <w:vAlign w:val="center"/>
            <w:hideMark/>
          </w:tcPr>
          <w:p w14:paraId="45DAC060"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206</w:t>
            </w:r>
          </w:p>
        </w:tc>
        <w:tc>
          <w:tcPr>
            <w:tcW w:w="580" w:type="dxa"/>
            <w:tcBorders>
              <w:top w:val="nil"/>
              <w:left w:val="nil"/>
              <w:bottom w:val="single" w:sz="4" w:space="0" w:color="auto"/>
              <w:right w:val="nil"/>
            </w:tcBorders>
            <w:shd w:val="clear" w:color="auto" w:fill="auto"/>
            <w:noWrap/>
            <w:vAlign w:val="center"/>
            <w:hideMark/>
          </w:tcPr>
          <w:p w14:paraId="7412ED5A" w14:textId="77777777" w:rsidR="009F1C44" w:rsidRPr="0016044D" w:rsidRDefault="009F1C44" w:rsidP="009F1C44">
            <w:pPr>
              <w:spacing w:after="0" w:line="240" w:lineRule="auto"/>
              <w:jc w:val="center"/>
              <w:rPr>
                <w:rFonts w:ascii="Times New Roman" w:eastAsia="Times New Roman" w:hAnsi="Times New Roman" w:cs="Times New Roman"/>
                <w:color w:val="000000"/>
                <w:sz w:val="24"/>
                <w:szCs w:val="24"/>
                <w:lang w:eastAsia="pt-BR"/>
              </w:rPr>
            </w:pPr>
            <w:r w:rsidRPr="0016044D">
              <w:rPr>
                <w:rFonts w:ascii="Times New Roman" w:eastAsia="Times New Roman" w:hAnsi="Times New Roman" w:cs="Times New Roman"/>
                <w:color w:val="000000"/>
                <w:sz w:val="24"/>
                <w:szCs w:val="24"/>
                <w:lang w:eastAsia="pt-BR"/>
              </w:rPr>
              <w:t>1%</w:t>
            </w:r>
          </w:p>
        </w:tc>
      </w:tr>
      <w:tr w:rsidR="009F1C44" w:rsidRPr="0016044D" w14:paraId="12D42B17" w14:textId="77777777" w:rsidTr="00077706">
        <w:trPr>
          <w:trHeight w:val="300"/>
          <w:jc w:val="center"/>
        </w:trPr>
        <w:tc>
          <w:tcPr>
            <w:tcW w:w="3456" w:type="dxa"/>
            <w:tcBorders>
              <w:top w:val="single" w:sz="4" w:space="0" w:color="auto"/>
              <w:left w:val="nil"/>
              <w:bottom w:val="single" w:sz="4" w:space="0" w:color="auto"/>
              <w:right w:val="nil"/>
            </w:tcBorders>
            <w:shd w:val="clear" w:color="auto" w:fill="auto"/>
            <w:noWrap/>
            <w:vAlign w:val="center"/>
            <w:hideMark/>
          </w:tcPr>
          <w:p w14:paraId="4E76480C" w14:textId="77777777" w:rsidR="009F1C44" w:rsidRPr="0016044D" w:rsidRDefault="009F1C44" w:rsidP="00492E74">
            <w:pPr>
              <w:spacing w:after="0" w:line="240" w:lineRule="auto"/>
              <w:jc w:val="center"/>
              <w:rPr>
                <w:rFonts w:ascii="Times New Roman" w:eastAsia="Times New Roman" w:hAnsi="Times New Roman" w:cs="Times New Roman"/>
                <w:b/>
                <w:bCs/>
                <w:color w:val="000000"/>
                <w:sz w:val="24"/>
                <w:szCs w:val="24"/>
                <w:lang w:eastAsia="pt-BR"/>
              </w:rPr>
            </w:pPr>
            <w:r w:rsidRPr="0016044D">
              <w:rPr>
                <w:rFonts w:ascii="Times New Roman" w:eastAsia="Times New Roman" w:hAnsi="Times New Roman" w:cs="Times New Roman"/>
                <w:b/>
                <w:bCs/>
                <w:color w:val="000000"/>
                <w:sz w:val="24"/>
                <w:szCs w:val="24"/>
                <w:lang w:eastAsia="pt-BR"/>
              </w:rPr>
              <w:t>Total</w:t>
            </w:r>
          </w:p>
        </w:tc>
        <w:tc>
          <w:tcPr>
            <w:tcW w:w="2073" w:type="dxa"/>
            <w:tcBorders>
              <w:top w:val="single" w:sz="4" w:space="0" w:color="auto"/>
              <w:left w:val="nil"/>
              <w:bottom w:val="single" w:sz="4" w:space="0" w:color="auto"/>
              <w:right w:val="nil"/>
            </w:tcBorders>
            <w:shd w:val="clear" w:color="auto" w:fill="auto"/>
            <w:noWrap/>
            <w:vAlign w:val="center"/>
            <w:hideMark/>
          </w:tcPr>
          <w:p w14:paraId="2AB6C97B" w14:textId="77777777" w:rsidR="009F1C44" w:rsidRPr="0016044D" w:rsidRDefault="009F1C44" w:rsidP="00492E74">
            <w:pPr>
              <w:spacing w:after="0" w:line="240" w:lineRule="auto"/>
              <w:jc w:val="center"/>
              <w:rPr>
                <w:rFonts w:ascii="Times New Roman" w:eastAsia="Times New Roman" w:hAnsi="Times New Roman" w:cs="Times New Roman"/>
                <w:b/>
                <w:bCs/>
                <w:color w:val="000000"/>
                <w:sz w:val="24"/>
                <w:szCs w:val="24"/>
                <w:lang w:eastAsia="pt-BR"/>
              </w:rPr>
            </w:pPr>
            <w:r w:rsidRPr="0016044D">
              <w:rPr>
                <w:rFonts w:ascii="Times New Roman" w:eastAsia="Times New Roman" w:hAnsi="Times New Roman" w:cs="Times New Roman"/>
                <w:b/>
                <w:bCs/>
                <w:color w:val="000000"/>
                <w:sz w:val="24"/>
                <w:szCs w:val="24"/>
                <w:lang w:eastAsia="pt-BR"/>
              </w:rPr>
              <w:t>310</w:t>
            </w:r>
          </w:p>
        </w:tc>
        <w:tc>
          <w:tcPr>
            <w:tcW w:w="850" w:type="dxa"/>
            <w:tcBorders>
              <w:top w:val="single" w:sz="4" w:space="0" w:color="auto"/>
              <w:left w:val="nil"/>
              <w:bottom w:val="single" w:sz="4" w:space="0" w:color="auto"/>
              <w:right w:val="nil"/>
            </w:tcBorders>
            <w:shd w:val="clear" w:color="auto" w:fill="auto"/>
            <w:noWrap/>
            <w:vAlign w:val="center"/>
            <w:hideMark/>
          </w:tcPr>
          <w:p w14:paraId="415C3459" w14:textId="77777777" w:rsidR="009F1C44" w:rsidRPr="0016044D" w:rsidRDefault="009F1C44" w:rsidP="00492E74">
            <w:pPr>
              <w:spacing w:after="0" w:line="240" w:lineRule="auto"/>
              <w:jc w:val="center"/>
              <w:rPr>
                <w:rFonts w:ascii="Times New Roman" w:eastAsia="Times New Roman" w:hAnsi="Times New Roman" w:cs="Times New Roman"/>
                <w:b/>
                <w:bCs/>
                <w:color w:val="000000"/>
                <w:sz w:val="24"/>
                <w:szCs w:val="24"/>
                <w:lang w:eastAsia="pt-BR"/>
              </w:rPr>
            </w:pPr>
            <w:r w:rsidRPr="0016044D">
              <w:rPr>
                <w:rFonts w:ascii="Times New Roman" w:eastAsia="Times New Roman" w:hAnsi="Times New Roman" w:cs="Times New Roman"/>
                <w:b/>
                <w:bCs/>
                <w:color w:val="000000"/>
                <w:sz w:val="24"/>
                <w:szCs w:val="24"/>
                <w:lang w:eastAsia="pt-BR"/>
              </w:rPr>
              <w:t>100</w:t>
            </w:r>
          </w:p>
        </w:tc>
        <w:tc>
          <w:tcPr>
            <w:tcW w:w="2410" w:type="dxa"/>
            <w:tcBorders>
              <w:top w:val="single" w:sz="4" w:space="0" w:color="auto"/>
              <w:left w:val="nil"/>
              <w:bottom w:val="single" w:sz="4" w:space="0" w:color="auto"/>
              <w:right w:val="nil"/>
            </w:tcBorders>
            <w:shd w:val="clear" w:color="auto" w:fill="auto"/>
            <w:noWrap/>
            <w:vAlign w:val="center"/>
            <w:hideMark/>
          </w:tcPr>
          <w:p w14:paraId="09510ACF" w14:textId="77777777" w:rsidR="009F1C44" w:rsidRPr="0016044D" w:rsidRDefault="009F1C44" w:rsidP="00492E74">
            <w:pPr>
              <w:spacing w:after="0" w:line="240" w:lineRule="auto"/>
              <w:jc w:val="center"/>
              <w:rPr>
                <w:rFonts w:ascii="Times New Roman" w:eastAsia="Times New Roman" w:hAnsi="Times New Roman" w:cs="Times New Roman"/>
                <w:b/>
                <w:bCs/>
                <w:color w:val="000000"/>
                <w:sz w:val="24"/>
                <w:szCs w:val="24"/>
                <w:lang w:eastAsia="pt-BR"/>
              </w:rPr>
            </w:pPr>
            <w:r w:rsidRPr="0016044D">
              <w:rPr>
                <w:rFonts w:ascii="Times New Roman" w:eastAsia="Times New Roman" w:hAnsi="Times New Roman" w:cs="Times New Roman"/>
                <w:b/>
                <w:bCs/>
                <w:color w:val="000000"/>
                <w:sz w:val="24"/>
                <w:szCs w:val="24"/>
                <w:lang w:eastAsia="pt-BR"/>
              </w:rPr>
              <w:t>29.094</w:t>
            </w:r>
          </w:p>
        </w:tc>
        <w:tc>
          <w:tcPr>
            <w:tcW w:w="580" w:type="dxa"/>
            <w:tcBorders>
              <w:top w:val="single" w:sz="4" w:space="0" w:color="auto"/>
              <w:left w:val="nil"/>
              <w:bottom w:val="single" w:sz="4" w:space="0" w:color="auto"/>
              <w:right w:val="nil"/>
            </w:tcBorders>
            <w:shd w:val="clear" w:color="auto" w:fill="auto"/>
            <w:noWrap/>
            <w:vAlign w:val="center"/>
            <w:hideMark/>
          </w:tcPr>
          <w:p w14:paraId="05185DD3" w14:textId="77777777" w:rsidR="009F1C44" w:rsidRPr="0016044D" w:rsidRDefault="009F1C44" w:rsidP="00492E74">
            <w:pPr>
              <w:spacing w:after="0" w:line="240" w:lineRule="auto"/>
              <w:jc w:val="center"/>
              <w:rPr>
                <w:rFonts w:ascii="Times New Roman" w:eastAsia="Times New Roman" w:hAnsi="Times New Roman" w:cs="Times New Roman"/>
                <w:b/>
                <w:bCs/>
                <w:color w:val="000000"/>
                <w:sz w:val="24"/>
                <w:szCs w:val="24"/>
                <w:lang w:eastAsia="pt-BR"/>
              </w:rPr>
            </w:pPr>
            <w:r w:rsidRPr="0016044D">
              <w:rPr>
                <w:rFonts w:ascii="Times New Roman" w:eastAsia="Times New Roman" w:hAnsi="Times New Roman" w:cs="Times New Roman"/>
                <w:b/>
                <w:bCs/>
                <w:color w:val="000000"/>
                <w:sz w:val="24"/>
                <w:szCs w:val="24"/>
                <w:lang w:eastAsia="pt-BR"/>
              </w:rPr>
              <w:t>100</w:t>
            </w:r>
          </w:p>
        </w:tc>
      </w:tr>
    </w:tbl>
    <w:p w14:paraId="7085D71C" w14:textId="77777777" w:rsidR="009F1C44" w:rsidRPr="009F1C44" w:rsidRDefault="009F1C44" w:rsidP="00492E74">
      <w:pPr>
        <w:widowControl w:val="0"/>
        <w:spacing w:after="0" w:line="240" w:lineRule="auto"/>
        <w:jc w:val="both"/>
        <w:rPr>
          <w:rFonts w:ascii="Times New Roman" w:eastAsia="Calibri" w:hAnsi="Times New Roman" w:cs="Times New Roman"/>
          <w:sz w:val="20"/>
          <w:szCs w:val="20"/>
        </w:rPr>
      </w:pPr>
      <w:r w:rsidRPr="009F1C44">
        <w:rPr>
          <w:rFonts w:ascii="Times New Roman" w:eastAsia="Calibri" w:hAnsi="Times New Roman" w:cs="Times New Roman"/>
          <w:sz w:val="20"/>
          <w:szCs w:val="20"/>
        </w:rPr>
        <w:t>Fonte: PNP (2022).</w:t>
      </w:r>
    </w:p>
    <w:p w14:paraId="599A517E" w14:textId="77777777" w:rsidR="009F1C44" w:rsidRPr="009F1C44" w:rsidRDefault="009F1C44" w:rsidP="009F1C44">
      <w:pPr>
        <w:widowControl w:val="0"/>
        <w:spacing w:after="0" w:line="360" w:lineRule="auto"/>
        <w:ind w:firstLine="851"/>
        <w:jc w:val="both"/>
        <w:rPr>
          <w:rFonts w:ascii="Times New Roman" w:eastAsia="Calibri" w:hAnsi="Times New Roman" w:cs="Times New Roman"/>
          <w:sz w:val="24"/>
          <w:szCs w:val="24"/>
        </w:rPr>
      </w:pPr>
    </w:p>
    <w:p w14:paraId="10354696" w14:textId="77777777" w:rsidR="009F1C44" w:rsidRPr="009F1C44" w:rsidRDefault="009F1C44" w:rsidP="009B5E77">
      <w:pPr>
        <w:widowControl w:val="0"/>
        <w:spacing w:after="0" w:line="360" w:lineRule="auto"/>
        <w:ind w:firstLine="709"/>
        <w:jc w:val="both"/>
        <w:rPr>
          <w:rFonts w:ascii="Times New Roman" w:eastAsia="Calibri" w:hAnsi="Times New Roman" w:cs="Times New Roman"/>
          <w:sz w:val="24"/>
          <w:szCs w:val="24"/>
        </w:rPr>
      </w:pPr>
      <w:r w:rsidRPr="009F1C44">
        <w:rPr>
          <w:rFonts w:ascii="Times New Roman" w:eastAsia="Times New Roman" w:hAnsi="Times New Roman" w:cs="Times New Roman"/>
          <w:sz w:val="24"/>
          <w:szCs w:val="24"/>
          <w:lang w:eastAsia="pt-BR"/>
        </w:rPr>
        <w:t>Importa lembrar que a Lei nº 11.892/2008 determina que 50% das vagas dos IFs devem ser destinadas para cursos técnicos de nível médio e 20% para cursos de licenciatura ou programas especiais de formação pedagógica, visando a formação de professores para a educação básica, principalmente nas áreas de ciências e matemática, e para a educação profissional.</w:t>
      </w:r>
      <w:r w:rsidRPr="009F1C44">
        <w:rPr>
          <w:rFonts w:ascii="Times New Roman" w:eastAsia="Calibri" w:hAnsi="Times New Roman" w:cs="Times New Roman"/>
          <w:sz w:val="24"/>
          <w:szCs w:val="24"/>
        </w:rPr>
        <w:t xml:space="preserve"> A SETEC/MEC utiliza o conceito de matrícula equivalente para calcular esses percentuais, que corresponde à matrícula ponderada pelos fatores: equiparação de carga horária, esforço de curso e nível de curso. Assim, de acordo com a PNP (2022), o IFPR atingiu 61,33% de matrículas em cursos técnicos superando a meta, porém, quanto à formação de professores não atingiu o percentual estabelecido, obtendo 13,25% em 2021.</w:t>
      </w:r>
    </w:p>
    <w:p w14:paraId="66E1ACF9" w14:textId="77777777" w:rsidR="009F1C44" w:rsidRPr="009F1C44" w:rsidRDefault="009F1C44" w:rsidP="009B5E77">
      <w:pPr>
        <w:widowControl w:val="0"/>
        <w:spacing w:after="0" w:line="360" w:lineRule="auto"/>
        <w:ind w:firstLine="709"/>
        <w:jc w:val="both"/>
        <w:rPr>
          <w:rFonts w:ascii="Times New Roman" w:eastAsia="Calibri" w:hAnsi="Times New Roman" w:cs="Times New Roman"/>
          <w:sz w:val="24"/>
          <w:szCs w:val="24"/>
        </w:rPr>
      </w:pPr>
      <w:r w:rsidRPr="009F1C44">
        <w:rPr>
          <w:rFonts w:ascii="Times New Roman" w:eastAsia="Calibri" w:hAnsi="Times New Roman" w:cs="Times New Roman"/>
          <w:sz w:val="24"/>
          <w:szCs w:val="24"/>
        </w:rPr>
        <w:t>No tocante ao perfil dos estudantes, 51,42% eram do sexo masculino e 48,58% do sexo feminino. A faixa etária de 15 a 19 anos correspondeu a 36,52% das matrículas e de 20 a 24 anos representou 22,05%, demonstrando que a maioria do público atendido pelo IFPR é jovem.</w:t>
      </w:r>
    </w:p>
    <w:p w14:paraId="7AB5CD68" w14:textId="65E2210A" w:rsidR="009F1C44" w:rsidRDefault="009F1C44" w:rsidP="009B5E77">
      <w:pPr>
        <w:widowControl w:val="0"/>
        <w:spacing w:after="0" w:line="360" w:lineRule="auto"/>
        <w:ind w:firstLine="709"/>
        <w:jc w:val="both"/>
        <w:rPr>
          <w:rFonts w:ascii="Times New Roman" w:eastAsia="Calibri" w:hAnsi="Times New Roman" w:cs="Times New Roman"/>
          <w:sz w:val="24"/>
          <w:szCs w:val="24"/>
        </w:rPr>
      </w:pPr>
      <w:r w:rsidRPr="009F1C44">
        <w:rPr>
          <w:rFonts w:ascii="Times New Roman" w:eastAsia="Calibri" w:hAnsi="Times New Roman" w:cs="Times New Roman"/>
          <w:sz w:val="24"/>
          <w:szCs w:val="24"/>
        </w:rPr>
        <w:t xml:space="preserve">A PNP (2022) também procura coletar dados sobre a renda familiar do público abrangido pelas unidades da Rede Federal, porém cerca de 37% das matrículas não têm renda declarada, 22% possuem renda familiar </w:t>
      </w:r>
      <w:r w:rsidRPr="009F1C44">
        <w:rPr>
          <w:rFonts w:ascii="Times New Roman" w:eastAsia="Calibri" w:hAnsi="Times New Roman" w:cs="Times New Roman"/>
          <w:i/>
          <w:iCs/>
          <w:sz w:val="24"/>
          <w:szCs w:val="24"/>
        </w:rPr>
        <w:t xml:space="preserve">per capita </w:t>
      </w:r>
      <w:r w:rsidRPr="009F1C44">
        <w:rPr>
          <w:rFonts w:ascii="Times New Roman" w:eastAsia="Calibri" w:hAnsi="Times New Roman" w:cs="Times New Roman"/>
          <w:sz w:val="24"/>
          <w:szCs w:val="24"/>
        </w:rPr>
        <w:t>entre 0,5 e 1 salário-mínimo, 14% renda de até 0,5 salário-mínimo e 14% estão na faixa de 1 a 1,5 salário-mínimo. A classificação racial não foi declarada em 32,7% das matrículas, contudo 43,62% dos estudantes são brancos, 18,64% pardos e 3,79% pretos. A complementação dessas informações contribui para que o IFPR possa estabelecer estratégias para melhorar a efetividade de sua política de inclusão, e no que tange especificamente à EPT, seja através das cotas e/ou das bolsas e auxílios estudantis, que visam assegurar aos discentes em situação de vulnerabilidade social condições de permanência e êxito.</w:t>
      </w:r>
    </w:p>
    <w:p w14:paraId="1121E4FB" w14:textId="77777777" w:rsidR="003D72A2" w:rsidRDefault="003D72A2" w:rsidP="009B5E77">
      <w:pPr>
        <w:spacing w:after="0" w:line="360" w:lineRule="auto"/>
        <w:ind w:firstLine="709"/>
        <w:jc w:val="both"/>
        <w:rPr>
          <w:rFonts w:ascii="Times New Roman" w:hAnsi="Times New Roman" w:cs="Times New Roman"/>
          <w:sz w:val="24"/>
          <w:szCs w:val="24"/>
        </w:rPr>
      </w:pPr>
    </w:p>
    <w:p w14:paraId="4E5E2743" w14:textId="5A64BE37" w:rsidR="00AA685F" w:rsidRPr="00AA685F" w:rsidRDefault="000625AD" w:rsidP="009B5E77">
      <w:pPr>
        <w:widowControl w:val="0"/>
        <w:spacing w:after="0" w:line="36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5 </w:t>
      </w:r>
      <w:r w:rsidR="00AA685F" w:rsidRPr="00AA685F">
        <w:rPr>
          <w:rFonts w:ascii="Times New Roman" w:eastAsia="Calibri" w:hAnsi="Times New Roman" w:cs="Times New Roman"/>
          <w:b/>
          <w:bCs/>
          <w:sz w:val="24"/>
          <w:szCs w:val="24"/>
        </w:rPr>
        <w:t>CONSIDERAÇÕES FINAIS</w:t>
      </w:r>
    </w:p>
    <w:p w14:paraId="0D1510FB" w14:textId="77777777" w:rsidR="00AA685F" w:rsidRPr="00AA685F" w:rsidRDefault="00AA685F" w:rsidP="009B5E77">
      <w:pPr>
        <w:widowControl w:val="0"/>
        <w:spacing w:after="0" w:line="360" w:lineRule="auto"/>
        <w:ind w:firstLine="709"/>
        <w:jc w:val="both"/>
        <w:rPr>
          <w:rFonts w:ascii="Times New Roman" w:eastAsia="Calibri" w:hAnsi="Times New Roman" w:cs="Times New Roman"/>
          <w:b/>
          <w:bCs/>
          <w:sz w:val="24"/>
          <w:szCs w:val="24"/>
        </w:rPr>
      </w:pPr>
      <w:r w:rsidRPr="00AA685F">
        <w:rPr>
          <w:rFonts w:ascii="Times New Roman" w:eastAsia="Calibri" w:hAnsi="Times New Roman" w:cs="Times New Roman"/>
          <w:sz w:val="24"/>
          <w:szCs w:val="24"/>
        </w:rPr>
        <w:t>Este trabalho teve como objetivo identificar os critérios elencados pelo Ministério da Educação para expansão da Rede Federal de Educação Profissional e analisar como ocorreu essa expansão no Paraná, bem como apresentar informações sobre a oferta de EPT pelo IFPR</w:t>
      </w:r>
      <w:r w:rsidRPr="00AA685F">
        <w:rPr>
          <w:rFonts w:ascii="Times New Roman" w:eastAsia="Calibri" w:hAnsi="Times New Roman" w:cs="Times New Roman"/>
          <w:b/>
          <w:bCs/>
          <w:sz w:val="24"/>
          <w:szCs w:val="24"/>
        </w:rPr>
        <w:t>.</w:t>
      </w:r>
    </w:p>
    <w:p w14:paraId="7C392647" w14:textId="77777777" w:rsidR="00AA685F" w:rsidRPr="00AA685F" w:rsidRDefault="00AA685F" w:rsidP="009B5E77">
      <w:pPr>
        <w:widowControl w:val="0"/>
        <w:spacing w:after="0" w:line="360" w:lineRule="auto"/>
        <w:ind w:firstLine="709"/>
        <w:jc w:val="both"/>
        <w:rPr>
          <w:rFonts w:ascii="Times New Roman" w:eastAsia="Calibri" w:hAnsi="Times New Roman" w:cs="Times New Roman"/>
          <w:sz w:val="24"/>
          <w:szCs w:val="24"/>
        </w:rPr>
      </w:pPr>
      <w:r w:rsidRPr="00AA685F">
        <w:rPr>
          <w:rFonts w:ascii="Times New Roman" w:eastAsia="Calibri" w:hAnsi="Times New Roman" w:cs="Times New Roman"/>
          <w:sz w:val="24"/>
          <w:szCs w:val="24"/>
        </w:rPr>
        <w:t xml:space="preserve">A presença de uma instituição de ensino altera a dinâmica regional. De acordo com </w:t>
      </w:r>
      <w:r w:rsidRPr="00AA685F">
        <w:rPr>
          <w:rFonts w:ascii="Times New Roman" w:eastAsia="Calibri" w:hAnsi="Times New Roman" w:cs="Times New Roman"/>
          <w:sz w:val="24"/>
          <w:szCs w:val="24"/>
        </w:rPr>
        <w:lastRenderedPageBreak/>
        <w:t xml:space="preserve">Kempton </w:t>
      </w:r>
      <w:r w:rsidRPr="00AA685F">
        <w:rPr>
          <w:rFonts w:ascii="Times New Roman" w:eastAsia="Calibri" w:hAnsi="Times New Roman" w:cs="Times New Roman"/>
          <w:i/>
          <w:iCs/>
          <w:sz w:val="24"/>
          <w:szCs w:val="24"/>
        </w:rPr>
        <w:t>et al</w:t>
      </w:r>
      <w:r w:rsidRPr="00AA685F">
        <w:rPr>
          <w:rFonts w:ascii="Times New Roman" w:eastAsia="Calibri" w:hAnsi="Times New Roman" w:cs="Times New Roman"/>
          <w:sz w:val="24"/>
          <w:szCs w:val="24"/>
        </w:rPr>
        <w:t>. (2021), às universidades contribuem para o desenvolvimento local através de três processos: ancoragem do emprego e do consumo locais, pois geram empregos e demanda por bens e serviços locais; fornecimento de capital humano, aumentando o conhecimento e as habilidades da força de trabalho local; desenvolvimento de inovação e transferência de conhecimento.</w:t>
      </w:r>
    </w:p>
    <w:p w14:paraId="377E5B5E" w14:textId="77777777" w:rsidR="00AA685F" w:rsidRPr="00AA685F" w:rsidRDefault="00AA685F" w:rsidP="009B5E77">
      <w:pPr>
        <w:widowControl w:val="0"/>
        <w:spacing w:after="0" w:line="360" w:lineRule="auto"/>
        <w:ind w:firstLine="709"/>
        <w:jc w:val="both"/>
        <w:rPr>
          <w:rFonts w:ascii="Times New Roman" w:eastAsia="Calibri" w:hAnsi="Times New Roman" w:cs="Times New Roman"/>
          <w:sz w:val="24"/>
          <w:szCs w:val="24"/>
        </w:rPr>
      </w:pPr>
      <w:r w:rsidRPr="00AA685F">
        <w:rPr>
          <w:rFonts w:ascii="Times New Roman" w:eastAsia="Calibri" w:hAnsi="Times New Roman" w:cs="Times New Roman"/>
          <w:sz w:val="24"/>
          <w:szCs w:val="24"/>
        </w:rPr>
        <w:t>Verifica-se que houve uma preocupação em instalar as unidades da RFEPCT para atender regiões com maior vulnerabilidade socioeconômica e promover a interiorização dessas instituições. Diante das desigualdades regionais, as políticas públicas que visem desenvolver os territórios são imprescindíveis, porém precisam ser planejadas e estarem articuladas.</w:t>
      </w:r>
    </w:p>
    <w:p w14:paraId="0583FC72" w14:textId="77777777" w:rsidR="00AA685F" w:rsidRPr="00AA685F" w:rsidRDefault="00AA685F" w:rsidP="009B5E77">
      <w:pPr>
        <w:widowControl w:val="0"/>
        <w:spacing w:after="0" w:line="360" w:lineRule="auto"/>
        <w:ind w:firstLine="709"/>
        <w:jc w:val="both"/>
        <w:rPr>
          <w:rFonts w:ascii="Times New Roman" w:eastAsia="Calibri" w:hAnsi="Times New Roman" w:cs="Times New Roman"/>
          <w:sz w:val="24"/>
          <w:szCs w:val="24"/>
        </w:rPr>
      </w:pPr>
      <w:r w:rsidRPr="00AA685F">
        <w:rPr>
          <w:rFonts w:ascii="Times New Roman" w:eastAsia="Calibri" w:hAnsi="Times New Roman" w:cs="Times New Roman"/>
          <w:sz w:val="24"/>
          <w:szCs w:val="24"/>
        </w:rPr>
        <w:t xml:space="preserve">No Paraná todas as mesorregiões possuem alguma instituição da Rede Federal e o IFPR tem como missão ofertar EPT, por meio do ensino, pesquisa e extensão, com vistas à formação integral de cidadãos. Os cursos técnicos de nível médio abrangem a maior parte das vagas oferecidas, conforme estabelecido pela legislação. Esses dados representam o resultado para o total dos </w:t>
      </w:r>
      <w:r w:rsidRPr="00AA685F">
        <w:rPr>
          <w:rFonts w:ascii="Times New Roman" w:eastAsia="Calibri" w:hAnsi="Times New Roman" w:cs="Times New Roman"/>
          <w:i/>
          <w:iCs/>
          <w:sz w:val="24"/>
          <w:szCs w:val="24"/>
        </w:rPr>
        <w:t>campi</w:t>
      </w:r>
      <w:r w:rsidRPr="00AA685F">
        <w:rPr>
          <w:rFonts w:ascii="Times New Roman" w:eastAsia="Calibri" w:hAnsi="Times New Roman" w:cs="Times New Roman"/>
          <w:sz w:val="24"/>
          <w:szCs w:val="24"/>
        </w:rPr>
        <w:t xml:space="preserve"> do IFPR, podendo ocorrer variações entre as unidades devido a autonomia na oferta e atuação para atendimento de cada região.</w:t>
      </w:r>
    </w:p>
    <w:p w14:paraId="18A04442" w14:textId="339B85A7" w:rsidR="00BC2367" w:rsidRPr="00AA685F" w:rsidRDefault="00AA685F" w:rsidP="009B5E77">
      <w:pPr>
        <w:widowControl w:val="0"/>
        <w:spacing w:after="0" w:line="360" w:lineRule="auto"/>
        <w:ind w:firstLine="709"/>
        <w:jc w:val="both"/>
        <w:rPr>
          <w:rFonts w:ascii="Times New Roman" w:eastAsia="Calibri" w:hAnsi="Times New Roman" w:cs="Times New Roman"/>
          <w:sz w:val="24"/>
          <w:szCs w:val="24"/>
        </w:rPr>
      </w:pPr>
      <w:r w:rsidRPr="00AA685F">
        <w:rPr>
          <w:rFonts w:ascii="Times New Roman" w:eastAsia="Calibri" w:hAnsi="Times New Roman" w:cs="Times New Roman"/>
          <w:sz w:val="24"/>
          <w:szCs w:val="24"/>
        </w:rPr>
        <w:t xml:space="preserve">Apesar do processo de constituição dos IFs ter ocorrido no contexto da implementação do projeto neoliberal que pressupõe a redução da intervenção estatal com relação aos serviços das políticas públicas, inclusive a da educação. É importante reconhecer que essas instituições têm potencial para superar a dualidade que marcou a história da política educacional brasileira, pautada numa proposta que formava um público para o trabalho manual e outro para o trabalho intelectual, atendendo apenas as demandas do setor produtivo. Porém, a superação dessa dualidade requer investimentos progressivos e contínuos o que não tem sido a realidade, dados os frequentes cortes orçamentários na área da educação que precarizam e dificultam o funcionamento das instituições. Também é necessária a compreensão sobre a proposta da EPT e sua indissociabilidade  entre o ensino, a pesquisa e a extensão, cujas diretrizes precisam estar referenciadas em um projeto de desenvolvimento (regional ou local) que objetiva diferentes níveis e vieses de transformação. </w:t>
      </w:r>
    </w:p>
    <w:p w14:paraId="52E034BA" w14:textId="339CDE0E" w:rsidR="00AA685F" w:rsidRDefault="00AA685F" w:rsidP="009B5E77">
      <w:pPr>
        <w:spacing w:after="0" w:line="360" w:lineRule="auto"/>
        <w:ind w:firstLine="709"/>
        <w:jc w:val="both"/>
        <w:rPr>
          <w:rFonts w:ascii="Times New Roman" w:hAnsi="Times New Roman" w:cs="Times New Roman"/>
          <w:b/>
          <w:bCs/>
          <w:sz w:val="24"/>
          <w:szCs w:val="24"/>
        </w:rPr>
      </w:pPr>
    </w:p>
    <w:p w14:paraId="23FF89DE" w14:textId="77777777" w:rsidR="00223BBB" w:rsidRDefault="00223BBB" w:rsidP="009B5E77">
      <w:pPr>
        <w:spacing w:after="0" w:line="360" w:lineRule="auto"/>
        <w:ind w:firstLine="709"/>
        <w:jc w:val="both"/>
        <w:rPr>
          <w:rFonts w:ascii="Times New Roman" w:hAnsi="Times New Roman" w:cs="Times New Roman"/>
          <w:b/>
          <w:bCs/>
          <w:sz w:val="24"/>
          <w:szCs w:val="24"/>
        </w:rPr>
      </w:pPr>
    </w:p>
    <w:p w14:paraId="576767B3" w14:textId="0479E203" w:rsidR="00BC2367" w:rsidRPr="0016044D" w:rsidRDefault="00CA018B" w:rsidP="0016044D">
      <w:pPr>
        <w:spacing w:after="0" w:line="240" w:lineRule="auto"/>
        <w:rPr>
          <w:rFonts w:ascii="Times New Roman" w:hAnsi="Times New Roman" w:cs="Times New Roman"/>
          <w:b/>
          <w:bCs/>
          <w:sz w:val="24"/>
          <w:szCs w:val="24"/>
        </w:rPr>
      </w:pPr>
      <w:r w:rsidRPr="0016044D">
        <w:rPr>
          <w:rFonts w:ascii="Times New Roman" w:hAnsi="Times New Roman" w:cs="Times New Roman"/>
          <w:b/>
          <w:bCs/>
          <w:sz w:val="24"/>
          <w:szCs w:val="24"/>
        </w:rPr>
        <w:lastRenderedPageBreak/>
        <w:t>REFERÊNCIAS</w:t>
      </w:r>
    </w:p>
    <w:p w14:paraId="3502220F" w14:textId="77777777" w:rsidR="00BC2367" w:rsidRPr="0016044D" w:rsidRDefault="00BC2367" w:rsidP="0016044D">
      <w:pPr>
        <w:spacing w:after="0" w:line="240" w:lineRule="auto"/>
        <w:rPr>
          <w:rFonts w:ascii="Times New Roman" w:hAnsi="Times New Roman" w:cs="Times New Roman"/>
          <w:sz w:val="24"/>
          <w:szCs w:val="24"/>
        </w:rPr>
      </w:pPr>
    </w:p>
    <w:p w14:paraId="504E61C8"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BRASIL.</w:t>
      </w:r>
      <w:r w:rsidRPr="0016044D">
        <w:rPr>
          <w:rFonts w:ascii="Times New Roman" w:eastAsia="Times New Roman" w:hAnsi="Times New Roman" w:cs="Times New Roman"/>
          <w:b/>
          <w:sz w:val="24"/>
          <w:szCs w:val="24"/>
          <w:lang w:eastAsia="pt-BR"/>
        </w:rPr>
        <w:t xml:space="preserve"> Decreto nº 2.208, de 17 de abril de 1997. </w:t>
      </w:r>
      <w:r w:rsidRPr="0016044D">
        <w:rPr>
          <w:rFonts w:ascii="Times New Roman" w:eastAsia="Times New Roman" w:hAnsi="Times New Roman" w:cs="Times New Roman"/>
          <w:sz w:val="24"/>
          <w:szCs w:val="24"/>
          <w:lang w:eastAsia="pt-BR"/>
        </w:rPr>
        <w:t>Regulamenta o § 2 º do art. 36 e os arts. 39 a 42 da Lei nº 9.394, de 20 de dezembro de 1996, que estabelece as diretrizes e bases da educação nacional. Publicada no Diário Oficial da União em 18 de abril de 1997. Disponível em: http://www.planalto.gov.br/ccivil_03/decreto/D2208.htmimpressa.htm. Acesso em: 01 fev. 2022.</w:t>
      </w:r>
    </w:p>
    <w:p w14:paraId="6A0A1B7B"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p>
    <w:p w14:paraId="20CD381E"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 xml:space="preserve">BRASIL. </w:t>
      </w:r>
      <w:r w:rsidRPr="0016044D">
        <w:rPr>
          <w:rFonts w:ascii="Times New Roman" w:eastAsia="Times New Roman" w:hAnsi="Times New Roman" w:cs="Times New Roman"/>
          <w:b/>
          <w:sz w:val="24"/>
          <w:szCs w:val="24"/>
          <w:lang w:eastAsia="pt-BR"/>
        </w:rPr>
        <w:t>Lei nº 9.649, de 27 de maio de 1998.</w:t>
      </w:r>
      <w:r w:rsidRPr="0016044D">
        <w:rPr>
          <w:rFonts w:ascii="Times New Roman" w:eastAsia="Times New Roman" w:hAnsi="Times New Roman" w:cs="Times New Roman"/>
          <w:sz w:val="24"/>
          <w:szCs w:val="24"/>
          <w:lang w:eastAsia="pt-BR"/>
        </w:rPr>
        <w:t xml:space="preserve"> Dispõe sobre a organização da Presidência da República e dos Ministérios, e dá outras providências. Publicada no Diário Oficial da União em 28 de maio de 1998. Disponível em: http://www.planalto.gov.br/ccivil_03/LEIS/L9649cons.htm#art66. Acesso em: 01 fev. 2022.</w:t>
      </w:r>
    </w:p>
    <w:p w14:paraId="7BEEA917"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p>
    <w:p w14:paraId="0DD9E187"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BRASIL.</w:t>
      </w:r>
      <w:r w:rsidRPr="0016044D">
        <w:rPr>
          <w:rFonts w:ascii="Times New Roman" w:eastAsia="Times New Roman" w:hAnsi="Times New Roman" w:cs="Times New Roman"/>
          <w:b/>
          <w:sz w:val="24"/>
          <w:szCs w:val="24"/>
          <w:lang w:eastAsia="pt-BR"/>
        </w:rPr>
        <w:t xml:space="preserve"> Decreto nº 5.154, de 23 de julho de 2004. </w:t>
      </w:r>
      <w:r w:rsidRPr="0016044D">
        <w:rPr>
          <w:rFonts w:ascii="Times New Roman" w:eastAsia="Times New Roman" w:hAnsi="Times New Roman" w:cs="Times New Roman"/>
          <w:sz w:val="24"/>
          <w:szCs w:val="24"/>
          <w:lang w:eastAsia="pt-BR"/>
        </w:rPr>
        <w:t>Regulamenta o § 2º do art. 36 e os arts. 39 a 41 da Lei nº 9.394, de 20 de dezembro de 1996, que estabelece as diretrizes e bases da educação nacional, e dá outras providências. Publicado no Diário Oficial da União em 26 de julho de 2004. Disponível em: http://www.planalto.gov.br/ccivil_03/_ato2004-2006/2004/decreto/d5154.htm. Acesso em: 01 fev. 2022.</w:t>
      </w:r>
    </w:p>
    <w:p w14:paraId="7AADA96B"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p>
    <w:p w14:paraId="7349629B"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 xml:space="preserve">BRASIL. </w:t>
      </w:r>
      <w:r w:rsidRPr="0016044D">
        <w:rPr>
          <w:rFonts w:ascii="Times New Roman" w:eastAsia="Times New Roman" w:hAnsi="Times New Roman" w:cs="Times New Roman"/>
          <w:b/>
          <w:sz w:val="24"/>
          <w:szCs w:val="24"/>
          <w:lang w:eastAsia="pt-BR"/>
        </w:rPr>
        <w:t xml:space="preserve">Lei nº 11.195, de 18 de novembro de 2005. </w:t>
      </w:r>
      <w:r w:rsidRPr="0016044D">
        <w:rPr>
          <w:rFonts w:ascii="Times New Roman" w:eastAsia="Times New Roman" w:hAnsi="Times New Roman" w:cs="Times New Roman"/>
          <w:sz w:val="24"/>
          <w:szCs w:val="24"/>
          <w:lang w:eastAsia="pt-BR"/>
        </w:rPr>
        <w:t>2005a Dá nova redação ao § 5º do art. 3º da Lei nº 8.948, de 8 de dezembro de 1994. Publicada no Diário Oficial da União em 18 de novembro de 2005. Disponível em: http://www.planalto.gov.br/ccivil_03/_ato2004-2006/2005/lei/l11195.htm. Acesso em: 01 fev. 2022.</w:t>
      </w:r>
    </w:p>
    <w:p w14:paraId="6158D482"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p>
    <w:p w14:paraId="27DD7757"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 xml:space="preserve">BRASIL. Ministério da Educação. Secretaria de Educação Profissional e Tecnológica. </w:t>
      </w:r>
      <w:r w:rsidRPr="0016044D">
        <w:rPr>
          <w:rFonts w:ascii="Times New Roman" w:eastAsia="Times New Roman" w:hAnsi="Times New Roman" w:cs="Times New Roman"/>
          <w:b/>
          <w:sz w:val="24"/>
          <w:szCs w:val="24"/>
          <w:lang w:eastAsia="pt-BR"/>
        </w:rPr>
        <w:t>Plano de Expansão da Rede Federal de Educação Tecnológica.</w:t>
      </w:r>
      <w:r w:rsidRPr="0016044D">
        <w:rPr>
          <w:rFonts w:ascii="Times New Roman" w:eastAsia="Times New Roman" w:hAnsi="Times New Roman" w:cs="Times New Roman"/>
          <w:sz w:val="24"/>
          <w:szCs w:val="24"/>
          <w:lang w:eastAsia="pt-BR"/>
        </w:rPr>
        <w:t xml:space="preserve"> 2005b. Disponível em: http://portal.mec.gov.br/setec-programas-e-acoes/expansao-da-rede-federal. Acesso em: 01 fev. 2022.</w:t>
      </w:r>
    </w:p>
    <w:p w14:paraId="7637FE99" w14:textId="77777777" w:rsidR="00AA685F" w:rsidRPr="0016044D" w:rsidRDefault="00AA685F" w:rsidP="0016044D">
      <w:pPr>
        <w:suppressAutoHyphens/>
        <w:spacing w:after="0" w:line="240" w:lineRule="auto"/>
        <w:rPr>
          <w:rFonts w:ascii="Times New Roman" w:eastAsia="Times New Roman" w:hAnsi="Times New Roman" w:cs="Times New Roman"/>
          <w:color w:val="000000"/>
          <w:sz w:val="24"/>
          <w:szCs w:val="24"/>
          <w:lang w:eastAsia="pt-BR"/>
        </w:rPr>
      </w:pPr>
    </w:p>
    <w:p w14:paraId="5D2F240C"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 xml:space="preserve">BRASIL. Ministério da Educação. Secretaria de Educação Profissional e Tecnológica. </w:t>
      </w:r>
      <w:r w:rsidRPr="0016044D">
        <w:rPr>
          <w:rFonts w:ascii="Times New Roman" w:eastAsia="Times New Roman" w:hAnsi="Times New Roman" w:cs="Times New Roman"/>
          <w:b/>
          <w:sz w:val="24"/>
          <w:szCs w:val="24"/>
          <w:lang w:eastAsia="pt-BR"/>
        </w:rPr>
        <w:t>Chamada Pública MEC/SETEC nº 001/2007.</w:t>
      </w:r>
      <w:r w:rsidRPr="0016044D">
        <w:rPr>
          <w:rFonts w:ascii="Times New Roman" w:eastAsia="Times New Roman" w:hAnsi="Times New Roman" w:cs="Times New Roman"/>
          <w:sz w:val="24"/>
          <w:szCs w:val="24"/>
          <w:lang w:eastAsia="pt-BR"/>
        </w:rPr>
        <w:t xml:space="preserve"> 2007. Disponível em: http://portal.mec.gov.br/setec-programas-e-acoes/expansao-da-rede-federal. Acesso em: 01 fev. 2022.</w:t>
      </w:r>
    </w:p>
    <w:p w14:paraId="7486D2EC"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lang w:eastAsia="pt-BR"/>
        </w:rPr>
      </w:pPr>
    </w:p>
    <w:p w14:paraId="73569D85" w14:textId="77777777" w:rsidR="00AA685F" w:rsidRPr="0016044D" w:rsidRDefault="00AA685F" w:rsidP="0016044D">
      <w:pPr>
        <w:widowControl w:val="0"/>
        <w:spacing w:after="0" w:line="240" w:lineRule="auto"/>
        <w:rPr>
          <w:rFonts w:ascii="Times New Roman" w:eastAsia="Times New Roman" w:hAnsi="Times New Roman" w:cs="Times New Roman"/>
          <w:sz w:val="24"/>
          <w:szCs w:val="24"/>
          <w:lang w:eastAsia="pt-BR"/>
        </w:rPr>
      </w:pPr>
      <w:r w:rsidRPr="0016044D">
        <w:rPr>
          <w:rFonts w:ascii="Times New Roman" w:eastAsia="Times New Roman" w:hAnsi="Times New Roman" w:cs="Times New Roman"/>
          <w:color w:val="000000"/>
          <w:sz w:val="24"/>
          <w:szCs w:val="24"/>
          <w:highlight w:val="white"/>
          <w:lang w:eastAsia="pt-BR"/>
        </w:rPr>
        <w:t xml:space="preserve">BRASIL. </w:t>
      </w:r>
      <w:r w:rsidRPr="0016044D">
        <w:rPr>
          <w:rFonts w:ascii="Times New Roman" w:eastAsia="Times New Roman" w:hAnsi="Times New Roman" w:cs="Times New Roman"/>
          <w:b/>
          <w:color w:val="000000"/>
          <w:sz w:val="24"/>
          <w:szCs w:val="24"/>
          <w:highlight w:val="white"/>
          <w:lang w:eastAsia="pt-BR"/>
        </w:rPr>
        <w:t>Lei nº 11.892, de 29 de dezembro de 2008</w:t>
      </w:r>
      <w:r w:rsidRPr="0016044D">
        <w:rPr>
          <w:rFonts w:ascii="Times New Roman" w:eastAsia="Times New Roman" w:hAnsi="Times New Roman" w:cs="Times New Roman"/>
          <w:color w:val="000000"/>
          <w:sz w:val="24"/>
          <w:szCs w:val="24"/>
          <w:highlight w:val="white"/>
          <w:lang w:eastAsia="pt-BR"/>
        </w:rPr>
        <w:t>. Institui a Rede Federal de Educação Profissional, Científica e Tecnológica, cria os Institutos Federais de Educação, Ciência e Tecnologia, e dá outras providências. Publicada no Diário Oficial da União em 30 de dezembro de 2008. 2008</w:t>
      </w:r>
      <w:r w:rsidRPr="0016044D">
        <w:rPr>
          <w:rFonts w:ascii="Times New Roman" w:eastAsia="Times New Roman" w:hAnsi="Times New Roman" w:cs="Times New Roman"/>
          <w:sz w:val="24"/>
          <w:szCs w:val="24"/>
          <w:highlight w:val="white"/>
          <w:lang w:eastAsia="pt-BR"/>
        </w:rPr>
        <w:t>a.</w:t>
      </w:r>
      <w:r w:rsidRPr="0016044D">
        <w:rPr>
          <w:rFonts w:ascii="Times New Roman" w:eastAsia="Times New Roman" w:hAnsi="Times New Roman" w:cs="Times New Roman"/>
          <w:color w:val="000000"/>
          <w:sz w:val="24"/>
          <w:szCs w:val="24"/>
          <w:highlight w:val="white"/>
          <w:lang w:eastAsia="pt-BR"/>
        </w:rPr>
        <w:t xml:space="preserve"> Disponível em: </w:t>
      </w:r>
      <w:r w:rsidRPr="0016044D">
        <w:rPr>
          <w:rFonts w:ascii="Times New Roman" w:eastAsia="Times New Roman" w:hAnsi="Times New Roman" w:cs="Times New Roman"/>
          <w:sz w:val="24"/>
          <w:szCs w:val="24"/>
          <w:highlight w:val="white"/>
          <w:lang w:eastAsia="pt-BR"/>
        </w:rPr>
        <w:t>http://www.planalto.gov.br/ccivil_03/_Ato2007-2010/2008/Lei/L11892.htm</w:t>
      </w:r>
      <w:r w:rsidRPr="0016044D">
        <w:rPr>
          <w:rFonts w:ascii="Times New Roman" w:eastAsia="Times New Roman" w:hAnsi="Times New Roman" w:cs="Times New Roman"/>
          <w:color w:val="000000"/>
          <w:sz w:val="24"/>
          <w:szCs w:val="24"/>
          <w:highlight w:val="white"/>
          <w:lang w:eastAsia="pt-BR"/>
        </w:rPr>
        <w:t>.</w:t>
      </w:r>
      <w:r w:rsidRPr="0016044D">
        <w:rPr>
          <w:rFonts w:ascii="Times New Roman" w:eastAsia="Times New Roman" w:hAnsi="Times New Roman" w:cs="Times New Roman"/>
          <w:sz w:val="24"/>
          <w:szCs w:val="24"/>
          <w:highlight w:val="white"/>
          <w:lang w:eastAsia="pt-BR"/>
        </w:rPr>
        <w:t xml:space="preserve"> Acesso em: 18 out. 2021.</w:t>
      </w:r>
    </w:p>
    <w:p w14:paraId="5CE5E5D6"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p>
    <w:p w14:paraId="7AAF1995"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BRASIL.</w:t>
      </w:r>
      <w:r w:rsidRPr="0016044D">
        <w:rPr>
          <w:rFonts w:ascii="Times New Roman" w:eastAsia="Times New Roman" w:hAnsi="Times New Roman" w:cs="Times New Roman"/>
          <w:b/>
          <w:sz w:val="24"/>
          <w:szCs w:val="24"/>
          <w:lang w:eastAsia="pt-BR"/>
        </w:rPr>
        <w:t xml:space="preserve"> Decreto nº 11.503, de 25 de fevereiro de 2008.</w:t>
      </w:r>
      <w:r w:rsidRPr="0016044D">
        <w:rPr>
          <w:rFonts w:ascii="Times New Roman" w:eastAsia="Times New Roman" w:hAnsi="Times New Roman" w:cs="Times New Roman"/>
          <w:sz w:val="24"/>
          <w:szCs w:val="24"/>
          <w:lang w:eastAsia="pt-BR"/>
        </w:rPr>
        <w:t xml:space="preserve"> Institui o Programa Territórios da Cidadania e dá outras providências. Publicado no Diário Oficial da União em 26 de fevereiro de 2008. 2008b. Disponível em: http://www.planalto.gov.br/ccivil_03/_ato2007-2010/2008/dnn/Dnn11503compilado.htm. Acesso em: 26 jun. 2022.</w:t>
      </w:r>
    </w:p>
    <w:p w14:paraId="2A7556FA"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lang w:eastAsia="pt-BR"/>
        </w:rPr>
      </w:pPr>
    </w:p>
    <w:p w14:paraId="72967362"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BRASIL. Ministério da Educação. Secretaria de Educação Superior.</w:t>
      </w:r>
      <w:r w:rsidRPr="0016044D">
        <w:rPr>
          <w:rFonts w:ascii="Times New Roman" w:eastAsia="Calibri" w:hAnsi="Times New Roman" w:cs="Times New Roman"/>
          <w:sz w:val="24"/>
          <w:szCs w:val="24"/>
        </w:rPr>
        <w:t xml:space="preserve"> </w:t>
      </w:r>
      <w:r w:rsidRPr="0016044D">
        <w:rPr>
          <w:rFonts w:ascii="Times New Roman" w:eastAsia="Times New Roman" w:hAnsi="Times New Roman" w:cs="Times New Roman"/>
          <w:b/>
          <w:bCs/>
          <w:sz w:val="24"/>
          <w:szCs w:val="24"/>
          <w:lang w:eastAsia="pt-BR"/>
        </w:rPr>
        <w:t>Reuni 2008 – Relatório de Primeiro Ano</w:t>
      </w:r>
      <w:r w:rsidRPr="0016044D">
        <w:rPr>
          <w:rFonts w:ascii="Times New Roman" w:eastAsia="Times New Roman" w:hAnsi="Times New Roman" w:cs="Times New Roman"/>
          <w:b/>
          <w:sz w:val="24"/>
          <w:szCs w:val="24"/>
          <w:lang w:eastAsia="pt-BR"/>
        </w:rPr>
        <w:t>.</w:t>
      </w:r>
      <w:r w:rsidRPr="0016044D">
        <w:rPr>
          <w:rFonts w:ascii="Times New Roman" w:eastAsia="Times New Roman" w:hAnsi="Times New Roman" w:cs="Times New Roman"/>
          <w:sz w:val="24"/>
          <w:szCs w:val="24"/>
          <w:lang w:eastAsia="pt-BR"/>
        </w:rPr>
        <w:t xml:space="preserve"> 2009. Disponível em: http://portal.mec.gov.br/reuni-sp-93318841. Acesso em: 30 jun. 2022.</w:t>
      </w:r>
    </w:p>
    <w:p w14:paraId="10D56A25"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p>
    <w:p w14:paraId="6655C483"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 xml:space="preserve">BRASIL. </w:t>
      </w:r>
      <w:r w:rsidRPr="0016044D">
        <w:rPr>
          <w:rFonts w:ascii="Times New Roman" w:eastAsia="Times New Roman" w:hAnsi="Times New Roman" w:cs="Times New Roman"/>
          <w:b/>
          <w:sz w:val="24"/>
          <w:szCs w:val="24"/>
          <w:lang w:eastAsia="pt-BR"/>
        </w:rPr>
        <w:t>Lei nº 12.513, de 26 de outubro de 2011.</w:t>
      </w:r>
      <w:r w:rsidRPr="0016044D">
        <w:rPr>
          <w:rFonts w:ascii="Times New Roman" w:eastAsia="Times New Roman" w:hAnsi="Times New Roman" w:cs="Times New Roman"/>
          <w:sz w:val="24"/>
          <w:szCs w:val="24"/>
          <w:lang w:eastAsia="pt-BR"/>
        </w:rPr>
        <w:t xml:space="preserve"> Institui o Programa Nacional de Acesso ao Ensino Técnico e Emprego (Pronatec); altera as Leis nº 7.998, de 11 de janeiro de 1990, que regula o Programa do Seguro-Desemprego, o Abono Salarial e institui o Fundo de Amparo ao Trabalhador (FAT), nº 8.212, de 24 de julho de 1991, que dispõe sobre a organização da Seguridade Social e institui Plano de Custeio, nº 10.260, de 12 de julho de 2001, que dispõe sobre o Fundo de Financiamento ao Estudante do Ensino Superior, e nº 11.129, de 30 de junho de 2005, que institui o Programa Nacional de Inclusão de Jovens (ProJovem); e dá outras providências. Publicada no Diário Oficial da União em 27 de outubro de 2011. Disponível em: http://www.planalto.gov.br/ccivil_03/_ato2011-2014/2011/lei/l12513.htm. Acesso em: 01 fev. 2022.</w:t>
      </w:r>
    </w:p>
    <w:p w14:paraId="0360C2D7"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p>
    <w:p w14:paraId="321F5F23"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 xml:space="preserve">BRASIL. Ministério da Integração Nacional. Secretaria de Desenvolvimento Regional. </w:t>
      </w:r>
      <w:r w:rsidRPr="0016044D">
        <w:rPr>
          <w:rFonts w:ascii="Times New Roman" w:eastAsia="Times New Roman" w:hAnsi="Times New Roman" w:cs="Times New Roman"/>
          <w:b/>
          <w:bCs/>
          <w:sz w:val="24"/>
          <w:szCs w:val="24"/>
          <w:lang w:eastAsia="pt-BR"/>
        </w:rPr>
        <w:t xml:space="preserve">I Conferência Nacional de Desenvolvimento Regional: </w:t>
      </w:r>
      <w:r w:rsidRPr="0016044D">
        <w:rPr>
          <w:rFonts w:ascii="Times New Roman" w:eastAsia="Times New Roman" w:hAnsi="Times New Roman" w:cs="Times New Roman"/>
          <w:sz w:val="24"/>
          <w:szCs w:val="24"/>
          <w:lang w:eastAsia="pt-BR"/>
        </w:rPr>
        <w:t>Texto de Referência. 2012. Disponível em: https://www.ipea.gov.br/participacao/conferencias-2/756-1-conferencia-nacional-de-desenvolvimento-regional. Acesso em: 09 abr. 2022.</w:t>
      </w:r>
    </w:p>
    <w:p w14:paraId="7891A1EB"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p>
    <w:p w14:paraId="05FDBD45"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highlight w:val="white"/>
          <w:lang w:eastAsia="pt-BR"/>
        </w:rPr>
      </w:pPr>
      <w:r w:rsidRPr="0016044D">
        <w:rPr>
          <w:rFonts w:ascii="Times New Roman" w:eastAsia="Times New Roman" w:hAnsi="Times New Roman" w:cs="Times New Roman"/>
          <w:sz w:val="24"/>
          <w:szCs w:val="24"/>
          <w:highlight w:val="white"/>
          <w:lang w:eastAsia="pt-BR"/>
        </w:rPr>
        <w:t xml:space="preserve">BRASIL. Ministério da Educação. Secretaria de Educação Profissional e Tecnológica. </w:t>
      </w:r>
      <w:r w:rsidRPr="0016044D">
        <w:rPr>
          <w:rFonts w:ascii="Times New Roman" w:eastAsia="Times New Roman" w:hAnsi="Times New Roman" w:cs="Times New Roman"/>
          <w:b/>
          <w:sz w:val="24"/>
          <w:szCs w:val="24"/>
          <w:highlight w:val="white"/>
          <w:lang w:eastAsia="pt-BR"/>
        </w:rPr>
        <w:t xml:space="preserve">Educação Profissional e Tecnológica (ETP). </w:t>
      </w:r>
      <w:r w:rsidRPr="0016044D">
        <w:rPr>
          <w:rFonts w:ascii="Times New Roman" w:eastAsia="Times New Roman" w:hAnsi="Times New Roman" w:cs="Times New Roman"/>
          <w:sz w:val="24"/>
          <w:szCs w:val="24"/>
          <w:highlight w:val="white"/>
          <w:lang w:eastAsia="pt-BR"/>
        </w:rPr>
        <w:t>2018. Disponível em: http://portal.mec.gov.br/educacao-profissional-e-tecnologica-ept/apresentacao-ept. Acesso em: 13 set. 2020.</w:t>
      </w:r>
    </w:p>
    <w:p w14:paraId="7252AE25"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highlight w:val="white"/>
          <w:lang w:eastAsia="pt-BR"/>
        </w:rPr>
      </w:pPr>
    </w:p>
    <w:p w14:paraId="68EFB67A"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highlight w:val="white"/>
          <w:lang w:eastAsia="pt-BR"/>
        </w:rPr>
      </w:pPr>
      <w:r w:rsidRPr="0016044D">
        <w:rPr>
          <w:rFonts w:ascii="Times New Roman" w:eastAsia="Times New Roman" w:hAnsi="Times New Roman" w:cs="Times New Roman"/>
          <w:sz w:val="24"/>
          <w:szCs w:val="24"/>
          <w:highlight w:val="white"/>
          <w:lang w:eastAsia="pt-BR"/>
        </w:rPr>
        <w:t xml:space="preserve">BRASIL. Ministério da Educação. Secretaria de Educação Profissional e Tecnológica. </w:t>
      </w:r>
      <w:r w:rsidRPr="0016044D">
        <w:rPr>
          <w:rFonts w:ascii="Times New Roman" w:eastAsia="Times New Roman" w:hAnsi="Times New Roman" w:cs="Times New Roman"/>
          <w:b/>
          <w:sz w:val="24"/>
          <w:szCs w:val="24"/>
          <w:highlight w:val="white"/>
          <w:lang w:eastAsia="pt-BR"/>
        </w:rPr>
        <w:t xml:space="preserve">Rede Federal completa 12 anos e ultrapassa mais de um milhão de matrículas. </w:t>
      </w:r>
      <w:r w:rsidRPr="0016044D">
        <w:rPr>
          <w:rFonts w:ascii="Times New Roman" w:eastAsia="Times New Roman" w:hAnsi="Times New Roman" w:cs="Times New Roman"/>
          <w:sz w:val="24"/>
          <w:szCs w:val="24"/>
          <w:highlight w:val="white"/>
          <w:lang w:eastAsia="pt-BR"/>
        </w:rPr>
        <w:t>2020. Disponível em: https://www.gov.br/mec/pt-br/assuntos/noticias/rede-federal-completa-12-anos-e-ultrapassa-mais-de-um-milhao-de-matriculas. Acesso em: 08 fev. 2022.</w:t>
      </w:r>
    </w:p>
    <w:p w14:paraId="4F385C08"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p>
    <w:p w14:paraId="402F8675"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highlight w:val="white"/>
          <w:lang w:eastAsia="pt-BR"/>
        </w:rPr>
      </w:pPr>
      <w:r w:rsidRPr="0016044D">
        <w:rPr>
          <w:rFonts w:ascii="Times New Roman" w:eastAsia="Times New Roman" w:hAnsi="Times New Roman" w:cs="Times New Roman"/>
          <w:sz w:val="24"/>
          <w:szCs w:val="24"/>
          <w:highlight w:val="white"/>
          <w:lang w:eastAsia="pt-BR"/>
        </w:rPr>
        <w:t>BRASIL. Ministério da Educação. Secretaria de Educação Profissional e Tecnológica.</w:t>
      </w:r>
      <w:r w:rsidRPr="0016044D">
        <w:rPr>
          <w:rFonts w:ascii="Times New Roman" w:eastAsia="Times New Roman" w:hAnsi="Times New Roman" w:cs="Times New Roman"/>
          <w:b/>
          <w:sz w:val="24"/>
          <w:szCs w:val="24"/>
          <w:highlight w:val="white"/>
          <w:lang w:eastAsia="pt-BR"/>
        </w:rPr>
        <w:t xml:space="preserve"> 2020 - Unidades da Rede Federal de EPCT.</w:t>
      </w:r>
      <w:r w:rsidRPr="0016044D">
        <w:rPr>
          <w:rFonts w:ascii="Times New Roman" w:eastAsia="Times New Roman" w:hAnsi="Times New Roman" w:cs="Times New Roman"/>
          <w:sz w:val="24"/>
          <w:szCs w:val="24"/>
          <w:highlight w:val="white"/>
          <w:lang w:eastAsia="pt-BR"/>
        </w:rPr>
        <w:t xml:space="preserve"> 2021. Disponível em: http://dadosabertos.mec.gov.br/pronatec/item/122-2020-unidades-da-rede-federal-de-epct. Acesso em: 08 fev. 2022.</w:t>
      </w:r>
    </w:p>
    <w:p w14:paraId="7A461164"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p>
    <w:p w14:paraId="6D160FD4"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 xml:space="preserve">BRAZOROTTO, C. M.; VENCO, S. Educação profissional no Brasil: História e política dos institutos federais. </w:t>
      </w:r>
      <w:r w:rsidRPr="0016044D">
        <w:rPr>
          <w:rFonts w:ascii="Times New Roman" w:eastAsia="Times New Roman" w:hAnsi="Times New Roman" w:cs="Times New Roman"/>
          <w:b/>
          <w:sz w:val="24"/>
          <w:szCs w:val="24"/>
          <w:lang w:eastAsia="pt-BR"/>
        </w:rPr>
        <w:t>ETD: Educação Temática Digital</w:t>
      </w:r>
      <w:r w:rsidRPr="0016044D">
        <w:rPr>
          <w:rFonts w:ascii="Times New Roman" w:eastAsia="Times New Roman" w:hAnsi="Times New Roman" w:cs="Times New Roman"/>
          <w:sz w:val="24"/>
          <w:szCs w:val="24"/>
          <w:lang w:eastAsia="pt-BR"/>
        </w:rPr>
        <w:t>, v. 23, n. 1, p. 98-116, 2021. Disponível em: https://dialnet.unirioja.es/servlet/articulo?codigo=7781850. Acesso em: 01 fev. 2022.</w:t>
      </w:r>
    </w:p>
    <w:p w14:paraId="026A2471"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highlight w:val="white"/>
          <w:lang w:eastAsia="pt-BR"/>
        </w:rPr>
      </w:pPr>
    </w:p>
    <w:p w14:paraId="3D04B03C"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highlight w:val="white"/>
          <w:lang w:eastAsia="pt-BR"/>
        </w:rPr>
      </w:pPr>
      <w:r w:rsidRPr="0016044D">
        <w:rPr>
          <w:rFonts w:ascii="Times New Roman" w:eastAsia="Times New Roman" w:hAnsi="Times New Roman" w:cs="Times New Roman"/>
          <w:sz w:val="24"/>
          <w:szCs w:val="24"/>
          <w:highlight w:val="white"/>
          <w:lang w:eastAsia="pt-BR"/>
        </w:rPr>
        <w:t xml:space="preserve">CGU. Controladoria-Geral da União. </w:t>
      </w:r>
      <w:r w:rsidRPr="0016044D">
        <w:rPr>
          <w:rFonts w:ascii="Times New Roman" w:eastAsia="Times New Roman" w:hAnsi="Times New Roman" w:cs="Times New Roman"/>
          <w:b/>
          <w:sz w:val="24"/>
          <w:szCs w:val="24"/>
          <w:highlight w:val="white"/>
          <w:lang w:eastAsia="pt-BR"/>
        </w:rPr>
        <w:t>Relatório de avaliação da execução de programas de governo nº 23:</w:t>
      </w:r>
      <w:r w:rsidRPr="0016044D">
        <w:rPr>
          <w:rFonts w:ascii="Times New Roman" w:eastAsia="Times New Roman" w:hAnsi="Times New Roman" w:cs="Times New Roman"/>
          <w:sz w:val="24"/>
          <w:szCs w:val="24"/>
          <w:highlight w:val="white"/>
          <w:lang w:eastAsia="pt-BR"/>
        </w:rPr>
        <w:t xml:space="preserve"> expansão da Rede Federal de Educação Profissional e Tecnológica. Brasília, 2013.</w:t>
      </w:r>
    </w:p>
    <w:p w14:paraId="77E9B594"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p>
    <w:p w14:paraId="5BE7E00E"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 xml:space="preserve">CUNHA, L. A. </w:t>
      </w:r>
      <w:r w:rsidRPr="0016044D">
        <w:rPr>
          <w:rFonts w:ascii="Times New Roman" w:eastAsia="Times New Roman" w:hAnsi="Times New Roman" w:cs="Times New Roman"/>
          <w:b/>
          <w:sz w:val="24"/>
          <w:szCs w:val="24"/>
          <w:lang w:eastAsia="pt-BR"/>
        </w:rPr>
        <w:t xml:space="preserve">O ensino de ofícios nos primórdios da industrialização. </w:t>
      </w:r>
      <w:r w:rsidRPr="0016044D">
        <w:rPr>
          <w:rFonts w:ascii="Times New Roman" w:eastAsia="Times New Roman" w:hAnsi="Times New Roman" w:cs="Times New Roman"/>
          <w:sz w:val="24"/>
          <w:szCs w:val="24"/>
          <w:lang w:eastAsia="pt-BR"/>
        </w:rPr>
        <w:t>São Paulo: Editora UNESP, 2000.</w:t>
      </w:r>
    </w:p>
    <w:p w14:paraId="698B6B80"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p>
    <w:p w14:paraId="24A7F55A"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 xml:space="preserve">CUNHA, L. A.; GÓES, M. de. </w:t>
      </w:r>
      <w:r w:rsidRPr="0016044D">
        <w:rPr>
          <w:rFonts w:ascii="Times New Roman" w:eastAsia="Times New Roman" w:hAnsi="Times New Roman" w:cs="Times New Roman"/>
          <w:b/>
          <w:sz w:val="24"/>
          <w:szCs w:val="24"/>
          <w:lang w:eastAsia="pt-BR"/>
        </w:rPr>
        <w:t xml:space="preserve">O golpe na educação. </w:t>
      </w:r>
      <w:r w:rsidRPr="0016044D">
        <w:rPr>
          <w:rFonts w:ascii="Times New Roman" w:eastAsia="Times New Roman" w:hAnsi="Times New Roman" w:cs="Times New Roman"/>
          <w:sz w:val="24"/>
          <w:szCs w:val="24"/>
          <w:lang w:eastAsia="pt-BR"/>
        </w:rPr>
        <w:t>11.ed. Rio de Janeiro: Jorge Zahar Ed., 2002.</w:t>
      </w:r>
    </w:p>
    <w:p w14:paraId="5A7C4E18"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p>
    <w:p w14:paraId="6DCCC4BC"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 xml:space="preserve">FNP. Frente Nacional de Prefeitos. </w:t>
      </w:r>
      <w:r w:rsidRPr="0016044D">
        <w:rPr>
          <w:rFonts w:ascii="Times New Roman" w:eastAsia="Times New Roman" w:hAnsi="Times New Roman" w:cs="Times New Roman"/>
          <w:b/>
          <w:bCs/>
          <w:sz w:val="24"/>
          <w:szCs w:val="24"/>
          <w:lang w:eastAsia="pt-BR"/>
        </w:rPr>
        <w:t xml:space="preserve">g100 Municípios populosos com baixa receita per capita e alta vulnerabilidade socioeconômica. </w:t>
      </w:r>
      <w:r w:rsidRPr="0016044D">
        <w:rPr>
          <w:rFonts w:ascii="Times New Roman" w:eastAsia="Times New Roman" w:hAnsi="Times New Roman" w:cs="Times New Roman"/>
          <w:sz w:val="24"/>
          <w:szCs w:val="24"/>
          <w:lang w:eastAsia="pt-BR"/>
        </w:rPr>
        <w:t>2012.</w:t>
      </w:r>
    </w:p>
    <w:p w14:paraId="63A44E37"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p>
    <w:p w14:paraId="31597FCE"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 xml:space="preserve">FNP. Frente Nacional de Prefeitos. </w:t>
      </w:r>
      <w:r w:rsidRPr="0016044D">
        <w:rPr>
          <w:rFonts w:ascii="Times New Roman" w:eastAsia="Times New Roman" w:hAnsi="Times New Roman" w:cs="Times New Roman"/>
          <w:b/>
          <w:bCs/>
          <w:sz w:val="24"/>
          <w:szCs w:val="24"/>
          <w:lang w:eastAsia="pt-BR"/>
        </w:rPr>
        <w:t xml:space="preserve">Nota técnica – 03/12/2020. </w:t>
      </w:r>
      <w:r w:rsidRPr="0016044D">
        <w:rPr>
          <w:rFonts w:ascii="Times New Roman" w:eastAsia="Times New Roman" w:hAnsi="Times New Roman" w:cs="Times New Roman"/>
          <w:sz w:val="24"/>
          <w:szCs w:val="24"/>
          <w:lang w:eastAsia="pt-BR"/>
        </w:rPr>
        <w:t>2020. Disponível em: https://multimidia.fnp.org.br/biblioteca/documentos/item/899-g100-2020. Acesso em: 27 jun. 2022.</w:t>
      </w:r>
    </w:p>
    <w:p w14:paraId="5188C3EC" w14:textId="77777777" w:rsidR="00AA685F" w:rsidRPr="0016044D" w:rsidRDefault="00AA685F" w:rsidP="0016044D">
      <w:pPr>
        <w:suppressAutoHyphens/>
        <w:spacing w:after="0" w:line="240" w:lineRule="auto"/>
        <w:rPr>
          <w:rFonts w:ascii="Times New Roman" w:eastAsia="Times New Roman" w:hAnsi="Times New Roman" w:cs="Times New Roman"/>
          <w:color w:val="222222"/>
          <w:sz w:val="24"/>
          <w:szCs w:val="24"/>
          <w:highlight w:val="white"/>
          <w:lang w:eastAsia="pt-BR"/>
        </w:rPr>
      </w:pPr>
    </w:p>
    <w:p w14:paraId="06D11685"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highlight w:val="white"/>
          <w:lang w:eastAsia="pt-BR"/>
        </w:rPr>
      </w:pPr>
      <w:r w:rsidRPr="0016044D">
        <w:rPr>
          <w:rFonts w:ascii="Times New Roman" w:eastAsia="Times New Roman" w:hAnsi="Times New Roman" w:cs="Times New Roman"/>
          <w:color w:val="222222"/>
          <w:sz w:val="24"/>
          <w:szCs w:val="24"/>
          <w:highlight w:val="white"/>
          <w:lang w:eastAsia="pt-BR"/>
        </w:rPr>
        <w:t xml:space="preserve">GRABOWSKI, G. </w:t>
      </w:r>
      <w:r w:rsidRPr="0016044D">
        <w:rPr>
          <w:rFonts w:ascii="Times New Roman" w:eastAsia="Times New Roman" w:hAnsi="Times New Roman" w:cs="Times New Roman"/>
          <w:b/>
          <w:color w:val="222222"/>
          <w:sz w:val="24"/>
          <w:szCs w:val="24"/>
          <w:highlight w:val="white"/>
          <w:lang w:eastAsia="pt-BR"/>
        </w:rPr>
        <w:t>Financiamento da educação profissional no Brasil: contradições e desafios</w:t>
      </w:r>
      <w:r w:rsidRPr="0016044D">
        <w:rPr>
          <w:rFonts w:ascii="Times New Roman" w:eastAsia="Times New Roman" w:hAnsi="Times New Roman" w:cs="Times New Roman"/>
          <w:color w:val="222222"/>
          <w:sz w:val="24"/>
          <w:szCs w:val="24"/>
          <w:highlight w:val="white"/>
          <w:lang w:eastAsia="pt-BR"/>
        </w:rPr>
        <w:t xml:space="preserve">. 2010. Tese (Doutorado em Educação) - Universidade Federal do Rio Grande do Sul, Porto Alegre, 2010. Disponível em: https://www.lume.ufrgs.br/handle/10183/27074. </w:t>
      </w:r>
      <w:r w:rsidRPr="0016044D">
        <w:rPr>
          <w:rFonts w:ascii="Times New Roman" w:eastAsia="Times New Roman" w:hAnsi="Times New Roman" w:cs="Times New Roman"/>
          <w:sz w:val="24"/>
          <w:szCs w:val="24"/>
          <w:lang w:eastAsia="pt-BR"/>
        </w:rPr>
        <w:t>Acesso em: 01 fev. 2022.</w:t>
      </w:r>
    </w:p>
    <w:p w14:paraId="1E59A15E"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highlight w:val="white"/>
          <w:lang w:eastAsia="pt-BR"/>
        </w:rPr>
      </w:pPr>
    </w:p>
    <w:p w14:paraId="6F905DB3"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highlight w:val="white"/>
          <w:lang w:eastAsia="pt-BR"/>
        </w:rPr>
      </w:pPr>
      <w:r w:rsidRPr="0016044D">
        <w:rPr>
          <w:rFonts w:ascii="Times New Roman" w:eastAsia="Times New Roman" w:hAnsi="Times New Roman" w:cs="Times New Roman"/>
          <w:sz w:val="24"/>
          <w:szCs w:val="24"/>
          <w:highlight w:val="white"/>
          <w:lang w:eastAsia="pt-BR"/>
        </w:rPr>
        <w:t xml:space="preserve">IFPR. Instituto Federal do Paraná. </w:t>
      </w:r>
      <w:r w:rsidRPr="0016044D">
        <w:rPr>
          <w:rFonts w:ascii="Times New Roman" w:eastAsia="Times New Roman" w:hAnsi="Times New Roman" w:cs="Times New Roman"/>
          <w:b/>
          <w:sz w:val="24"/>
          <w:szCs w:val="24"/>
          <w:highlight w:val="white"/>
          <w:lang w:eastAsia="pt-BR"/>
        </w:rPr>
        <w:t xml:space="preserve">Planejamento Estratégico dos Campi. </w:t>
      </w:r>
      <w:r w:rsidRPr="0016044D">
        <w:rPr>
          <w:rFonts w:ascii="Times New Roman" w:eastAsia="Times New Roman" w:hAnsi="Times New Roman" w:cs="Times New Roman"/>
          <w:sz w:val="24"/>
          <w:szCs w:val="24"/>
          <w:highlight w:val="white"/>
          <w:lang w:eastAsia="pt-BR"/>
        </w:rPr>
        <w:t>2018. Disponível em: http://info.ifpr.edu.br/pdi-2019-2023/pdi-2019-2023-2/. Acesso em: 15 set. 2020.</w:t>
      </w:r>
    </w:p>
    <w:p w14:paraId="106791F8"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highlight w:val="white"/>
          <w:lang w:eastAsia="pt-BR"/>
        </w:rPr>
      </w:pPr>
    </w:p>
    <w:p w14:paraId="705786F8"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highlight w:val="white"/>
          <w:lang w:eastAsia="pt-BR"/>
        </w:rPr>
      </w:pPr>
      <w:r w:rsidRPr="0016044D">
        <w:rPr>
          <w:rFonts w:ascii="Times New Roman" w:eastAsia="Times New Roman" w:hAnsi="Times New Roman" w:cs="Times New Roman"/>
          <w:sz w:val="24"/>
          <w:szCs w:val="24"/>
          <w:highlight w:val="white"/>
          <w:lang w:eastAsia="pt-BR"/>
        </w:rPr>
        <w:t xml:space="preserve">IFPR. Instituto Federal do Paraná. </w:t>
      </w:r>
      <w:r w:rsidRPr="0016044D">
        <w:rPr>
          <w:rFonts w:ascii="Times New Roman" w:eastAsia="Times New Roman" w:hAnsi="Times New Roman" w:cs="Times New Roman"/>
          <w:b/>
          <w:bCs/>
          <w:sz w:val="24"/>
          <w:szCs w:val="24"/>
          <w:highlight w:val="white"/>
          <w:lang w:eastAsia="pt-BR"/>
        </w:rPr>
        <w:t xml:space="preserve">Portal de Informações do IFPR - Mapa dos </w:t>
      </w:r>
      <w:r w:rsidRPr="0016044D">
        <w:rPr>
          <w:rFonts w:ascii="Times New Roman" w:eastAsia="Times New Roman" w:hAnsi="Times New Roman" w:cs="Times New Roman"/>
          <w:b/>
          <w:sz w:val="24"/>
          <w:szCs w:val="24"/>
          <w:highlight w:val="white"/>
          <w:lang w:eastAsia="pt-BR"/>
        </w:rPr>
        <w:t xml:space="preserve">Campi. </w:t>
      </w:r>
      <w:r w:rsidRPr="0016044D">
        <w:rPr>
          <w:rFonts w:ascii="Times New Roman" w:eastAsia="Times New Roman" w:hAnsi="Times New Roman" w:cs="Times New Roman"/>
          <w:sz w:val="24"/>
          <w:szCs w:val="24"/>
          <w:highlight w:val="white"/>
          <w:lang w:eastAsia="pt-BR"/>
        </w:rPr>
        <w:t xml:space="preserve">2022. Disponível em: </w:t>
      </w:r>
      <w:r w:rsidRPr="0016044D">
        <w:rPr>
          <w:rFonts w:ascii="Times New Roman" w:eastAsia="Times New Roman" w:hAnsi="Times New Roman" w:cs="Times New Roman"/>
          <w:sz w:val="24"/>
          <w:szCs w:val="24"/>
          <w:lang w:eastAsia="pt-BR"/>
        </w:rPr>
        <w:t>https://info.ifpr.edu.br/mapa-dos-campi/</w:t>
      </w:r>
      <w:r w:rsidRPr="0016044D">
        <w:rPr>
          <w:rFonts w:ascii="Times New Roman" w:eastAsia="Times New Roman" w:hAnsi="Times New Roman" w:cs="Times New Roman"/>
          <w:sz w:val="24"/>
          <w:szCs w:val="24"/>
          <w:highlight w:val="white"/>
          <w:lang w:eastAsia="pt-BR"/>
        </w:rPr>
        <w:t>. Acesso em: 30 jun. 2022.</w:t>
      </w:r>
    </w:p>
    <w:p w14:paraId="68E1DAEB"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highlight w:val="white"/>
          <w:lang w:eastAsia="pt-BR"/>
        </w:rPr>
      </w:pPr>
    </w:p>
    <w:p w14:paraId="3B9848E8"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highlight w:val="white"/>
          <w:lang w:eastAsia="pt-BR"/>
        </w:rPr>
      </w:pPr>
      <w:r w:rsidRPr="0016044D">
        <w:rPr>
          <w:rFonts w:ascii="Times New Roman" w:eastAsia="Times New Roman" w:hAnsi="Times New Roman" w:cs="Times New Roman"/>
          <w:sz w:val="24"/>
          <w:szCs w:val="24"/>
          <w:highlight w:val="white"/>
          <w:lang w:eastAsia="pt-BR"/>
        </w:rPr>
        <w:t xml:space="preserve">KEMPTON, L. </w:t>
      </w:r>
      <w:r w:rsidRPr="0016044D">
        <w:rPr>
          <w:rFonts w:ascii="Times New Roman" w:eastAsia="Times New Roman" w:hAnsi="Times New Roman" w:cs="Times New Roman"/>
          <w:i/>
          <w:iCs/>
          <w:sz w:val="24"/>
          <w:szCs w:val="24"/>
          <w:highlight w:val="white"/>
          <w:lang w:eastAsia="pt-BR"/>
        </w:rPr>
        <w:t xml:space="preserve">et al. </w:t>
      </w:r>
      <w:r w:rsidRPr="0016044D">
        <w:rPr>
          <w:rFonts w:ascii="Times New Roman" w:eastAsia="Times New Roman" w:hAnsi="Times New Roman" w:cs="Times New Roman"/>
          <w:sz w:val="24"/>
          <w:szCs w:val="24"/>
          <w:highlight w:val="white"/>
          <w:lang w:eastAsia="pt-BR"/>
        </w:rPr>
        <w:t xml:space="preserve">2. Understanding the contributions of universities to regional development. </w:t>
      </w:r>
      <w:r w:rsidRPr="0016044D">
        <w:rPr>
          <w:rFonts w:ascii="Times New Roman" w:eastAsia="Times New Roman" w:hAnsi="Times New Roman" w:cs="Times New Roman"/>
          <w:b/>
          <w:sz w:val="24"/>
          <w:szCs w:val="24"/>
          <w:highlight w:val="white"/>
          <w:lang w:eastAsia="pt-BR"/>
        </w:rPr>
        <w:t>Regional Studies Policy Impact Books</w:t>
      </w:r>
      <w:r w:rsidRPr="0016044D">
        <w:rPr>
          <w:rFonts w:ascii="Times New Roman" w:eastAsia="Times New Roman" w:hAnsi="Times New Roman" w:cs="Times New Roman"/>
          <w:sz w:val="24"/>
          <w:szCs w:val="24"/>
          <w:highlight w:val="white"/>
          <w:lang w:eastAsia="pt-BR"/>
        </w:rPr>
        <w:t>, v. 3, p. 13-32, 2021.</w:t>
      </w:r>
    </w:p>
    <w:p w14:paraId="5C31B675"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highlight w:val="white"/>
          <w:lang w:eastAsia="pt-BR"/>
        </w:rPr>
      </w:pPr>
    </w:p>
    <w:p w14:paraId="7A319FF6"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highlight w:val="white"/>
          <w:lang w:eastAsia="pt-BR"/>
        </w:rPr>
      </w:pPr>
      <w:r w:rsidRPr="0016044D">
        <w:rPr>
          <w:rFonts w:ascii="Times New Roman" w:eastAsia="Times New Roman" w:hAnsi="Times New Roman" w:cs="Times New Roman"/>
          <w:sz w:val="24"/>
          <w:szCs w:val="24"/>
          <w:highlight w:val="white"/>
          <w:lang w:eastAsia="pt-BR"/>
        </w:rPr>
        <w:t xml:space="preserve">KUENZER, A. Z. Da dualidade assumida à dualidade negada: o discurso da flexibilização justifica a inclusão excludente. </w:t>
      </w:r>
      <w:r w:rsidRPr="0016044D">
        <w:rPr>
          <w:rFonts w:ascii="Times New Roman" w:eastAsia="Times New Roman" w:hAnsi="Times New Roman" w:cs="Times New Roman"/>
          <w:b/>
          <w:sz w:val="24"/>
          <w:szCs w:val="24"/>
          <w:highlight w:val="white"/>
          <w:lang w:eastAsia="pt-BR"/>
        </w:rPr>
        <w:t>Educação &amp; Sociedade</w:t>
      </w:r>
      <w:r w:rsidRPr="0016044D">
        <w:rPr>
          <w:rFonts w:ascii="Times New Roman" w:eastAsia="Times New Roman" w:hAnsi="Times New Roman" w:cs="Times New Roman"/>
          <w:sz w:val="24"/>
          <w:szCs w:val="24"/>
          <w:highlight w:val="white"/>
          <w:lang w:eastAsia="pt-BR"/>
        </w:rPr>
        <w:t>, v. 28, n. 100, p. 1153-1178, 2007. Disponível em: https://www.scielo.br/j/es/a/sB3XN4nBLFPRrhZ5QNx4fRr/?format=pdf&amp;lang=pt. Acesso em: 20 fev. 2022.</w:t>
      </w:r>
    </w:p>
    <w:p w14:paraId="5CD28B10"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p>
    <w:p w14:paraId="142DD7D5"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 xml:space="preserve">MANFREDI, S. M. </w:t>
      </w:r>
      <w:r w:rsidRPr="0016044D">
        <w:rPr>
          <w:rFonts w:ascii="Times New Roman" w:eastAsia="Times New Roman" w:hAnsi="Times New Roman" w:cs="Times New Roman"/>
          <w:b/>
          <w:sz w:val="24"/>
          <w:szCs w:val="24"/>
          <w:lang w:eastAsia="pt-BR"/>
        </w:rPr>
        <w:t xml:space="preserve">Educação profissional no Brasil. </w:t>
      </w:r>
      <w:r w:rsidRPr="0016044D">
        <w:rPr>
          <w:rFonts w:ascii="Times New Roman" w:eastAsia="Times New Roman" w:hAnsi="Times New Roman" w:cs="Times New Roman"/>
          <w:sz w:val="24"/>
          <w:szCs w:val="24"/>
          <w:lang w:eastAsia="pt-BR"/>
        </w:rPr>
        <w:t>São Paulo: Cortez, 2002.</w:t>
      </w:r>
    </w:p>
    <w:p w14:paraId="3DBDB2E3"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highlight w:val="white"/>
          <w:lang w:eastAsia="pt-BR"/>
        </w:rPr>
      </w:pPr>
    </w:p>
    <w:p w14:paraId="31848442"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highlight w:val="white"/>
          <w:lang w:eastAsia="pt-BR"/>
        </w:rPr>
      </w:pPr>
      <w:r w:rsidRPr="0016044D">
        <w:rPr>
          <w:rFonts w:ascii="Times New Roman" w:eastAsia="Times New Roman" w:hAnsi="Times New Roman" w:cs="Times New Roman"/>
          <w:sz w:val="24"/>
          <w:szCs w:val="24"/>
          <w:highlight w:val="white"/>
          <w:lang w:eastAsia="pt-BR"/>
        </w:rPr>
        <w:t xml:space="preserve">MOURA, D. H. Educação básica e educação profissional e tecnológica: dualidade histórica e perspectivas de integração. </w:t>
      </w:r>
      <w:r w:rsidRPr="0016044D">
        <w:rPr>
          <w:rFonts w:ascii="Times New Roman" w:eastAsia="Times New Roman" w:hAnsi="Times New Roman" w:cs="Times New Roman"/>
          <w:b/>
          <w:sz w:val="24"/>
          <w:szCs w:val="24"/>
          <w:highlight w:val="white"/>
          <w:lang w:eastAsia="pt-BR"/>
        </w:rPr>
        <w:t>Holos</w:t>
      </w:r>
      <w:r w:rsidRPr="0016044D">
        <w:rPr>
          <w:rFonts w:ascii="Times New Roman" w:eastAsia="Times New Roman" w:hAnsi="Times New Roman" w:cs="Times New Roman"/>
          <w:sz w:val="24"/>
          <w:szCs w:val="24"/>
          <w:highlight w:val="white"/>
          <w:lang w:eastAsia="pt-BR"/>
        </w:rPr>
        <w:t>, v. 2, p. 4-30, 2007. Disponível em: https://www.redalyc.org/pdf/4815/481549273001.pdf. Acesso em: 03 fev. 2022.</w:t>
      </w:r>
    </w:p>
    <w:p w14:paraId="43D2B0FE"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p>
    <w:p w14:paraId="04DCD206" w14:textId="77777777" w:rsidR="00AA685F" w:rsidRPr="0016044D" w:rsidRDefault="00AA685F" w:rsidP="0016044D">
      <w:pPr>
        <w:suppressAutoHyphens/>
        <w:spacing w:after="0" w:line="240" w:lineRule="auto"/>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lang w:eastAsia="pt-BR"/>
        </w:rPr>
        <w:t xml:space="preserve">OBSERVATÓRIO BRASILEIRO APL. </w:t>
      </w:r>
      <w:r w:rsidRPr="0016044D">
        <w:rPr>
          <w:rFonts w:ascii="Times New Roman" w:eastAsia="Times New Roman" w:hAnsi="Times New Roman" w:cs="Times New Roman"/>
          <w:b/>
          <w:bCs/>
          <w:sz w:val="24"/>
          <w:szCs w:val="24"/>
          <w:lang w:eastAsia="pt-BR"/>
        </w:rPr>
        <w:t>Quem são os APLs Brasileiros</w:t>
      </w:r>
      <w:r w:rsidRPr="0016044D">
        <w:rPr>
          <w:rFonts w:ascii="Times New Roman" w:eastAsia="Times New Roman" w:hAnsi="Times New Roman" w:cs="Times New Roman"/>
          <w:sz w:val="24"/>
          <w:szCs w:val="24"/>
          <w:lang w:eastAsia="pt-BR"/>
        </w:rPr>
        <w:t>. 2022. Disponível em: https://www.sistema.observatorioapl.gov.br/apls/#results. Acesso em: 28 jun. 2022.</w:t>
      </w:r>
    </w:p>
    <w:p w14:paraId="2671EA2D"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highlight w:val="white"/>
          <w:lang w:eastAsia="pt-BR"/>
        </w:rPr>
      </w:pPr>
    </w:p>
    <w:p w14:paraId="7B318A73"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highlight w:val="white"/>
          <w:lang w:eastAsia="pt-BR"/>
        </w:rPr>
      </w:pPr>
      <w:r w:rsidRPr="0016044D">
        <w:rPr>
          <w:rFonts w:ascii="Times New Roman" w:eastAsia="Times New Roman" w:hAnsi="Times New Roman" w:cs="Times New Roman"/>
          <w:sz w:val="24"/>
          <w:szCs w:val="24"/>
          <w:highlight w:val="white"/>
          <w:lang w:eastAsia="pt-BR"/>
        </w:rPr>
        <w:t xml:space="preserve">PEREIRA, L. A. C.; CRUZ, J. L. V. da. Os institutos federais e o desenvolvimento regional: </w:t>
      </w:r>
      <w:r w:rsidRPr="0016044D">
        <w:rPr>
          <w:rFonts w:ascii="Times New Roman" w:eastAsia="Times New Roman" w:hAnsi="Times New Roman" w:cs="Times New Roman"/>
          <w:sz w:val="24"/>
          <w:szCs w:val="24"/>
          <w:highlight w:val="white"/>
          <w:lang w:eastAsia="pt-BR"/>
        </w:rPr>
        <w:lastRenderedPageBreak/>
        <w:t xml:space="preserve">interface possível. </w:t>
      </w:r>
      <w:r w:rsidRPr="0016044D">
        <w:rPr>
          <w:rFonts w:ascii="Times New Roman" w:eastAsia="Times New Roman" w:hAnsi="Times New Roman" w:cs="Times New Roman"/>
          <w:b/>
          <w:sz w:val="24"/>
          <w:szCs w:val="24"/>
          <w:highlight w:val="white"/>
          <w:lang w:eastAsia="pt-BR"/>
        </w:rPr>
        <w:t>Holos</w:t>
      </w:r>
      <w:r w:rsidRPr="0016044D">
        <w:rPr>
          <w:rFonts w:ascii="Times New Roman" w:eastAsia="Times New Roman" w:hAnsi="Times New Roman" w:cs="Times New Roman"/>
          <w:sz w:val="24"/>
          <w:szCs w:val="24"/>
          <w:highlight w:val="white"/>
          <w:lang w:eastAsia="pt-BR"/>
        </w:rPr>
        <w:t>, v. 4, p. 1-18, 2019. Disponível em: https://www2.ifrn.edu.br/ojs/index.php/HOLOS/article/view/7992. Acesso em: 03 fev. 2022.</w:t>
      </w:r>
    </w:p>
    <w:p w14:paraId="36995045"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highlight w:val="white"/>
          <w:lang w:eastAsia="pt-BR"/>
        </w:rPr>
      </w:pPr>
    </w:p>
    <w:p w14:paraId="32A92F86"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lang w:eastAsia="pt-BR"/>
        </w:rPr>
      </w:pPr>
      <w:r w:rsidRPr="0016044D">
        <w:rPr>
          <w:rFonts w:ascii="Times New Roman" w:eastAsia="Times New Roman" w:hAnsi="Times New Roman" w:cs="Times New Roman"/>
          <w:sz w:val="24"/>
          <w:szCs w:val="24"/>
          <w:highlight w:val="white"/>
        </w:rPr>
        <w:t xml:space="preserve">PLATAFORMA NILO PEÇANHA. </w:t>
      </w:r>
      <w:r w:rsidRPr="0016044D">
        <w:rPr>
          <w:rFonts w:ascii="Times New Roman" w:eastAsia="Times New Roman" w:hAnsi="Times New Roman" w:cs="Times New Roman"/>
          <w:b/>
          <w:sz w:val="24"/>
          <w:szCs w:val="24"/>
          <w:highlight w:val="white"/>
        </w:rPr>
        <w:t>Indicadores de Gestão.</w:t>
      </w:r>
      <w:r w:rsidRPr="0016044D">
        <w:rPr>
          <w:rFonts w:ascii="Times New Roman" w:eastAsia="Times New Roman" w:hAnsi="Times New Roman" w:cs="Times New Roman"/>
          <w:sz w:val="24"/>
          <w:szCs w:val="24"/>
          <w:highlight w:val="white"/>
        </w:rPr>
        <w:t xml:space="preserve"> 2022. Disponível em: </w:t>
      </w:r>
      <w:r w:rsidRPr="0016044D">
        <w:rPr>
          <w:rFonts w:ascii="Times New Roman" w:eastAsia="Times New Roman" w:hAnsi="Times New Roman" w:cs="Times New Roman"/>
          <w:sz w:val="24"/>
          <w:szCs w:val="24"/>
        </w:rPr>
        <w:t>https://www.gov.br/mec/pt-br/pnp</w:t>
      </w:r>
      <w:r w:rsidRPr="0016044D">
        <w:rPr>
          <w:rFonts w:ascii="Times New Roman" w:eastAsia="Times New Roman" w:hAnsi="Times New Roman" w:cs="Times New Roman"/>
          <w:sz w:val="24"/>
          <w:szCs w:val="24"/>
          <w:highlight w:val="white"/>
        </w:rPr>
        <w:t>. Acesso em: 28 jun. 2022.</w:t>
      </w:r>
    </w:p>
    <w:p w14:paraId="1F90F3F6"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lang w:eastAsia="pt-BR"/>
        </w:rPr>
      </w:pPr>
    </w:p>
    <w:p w14:paraId="16EBD466"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highlight w:val="white"/>
          <w:lang w:eastAsia="pt-BR"/>
        </w:rPr>
      </w:pPr>
      <w:r w:rsidRPr="0016044D">
        <w:rPr>
          <w:rFonts w:ascii="Times New Roman" w:eastAsia="Times New Roman" w:hAnsi="Times New Roman" w:cs="Times New Roman"/>
          <w:sz w:val="24"/>
          <w:szCs w:val="24"/>
          <w:lang w:eastAsia="pt-BR"/>
        </w:rPr>
        <w:t xml:space="preserve">ROMANELLI, O. de O. R. </w:t>
      </w:r>
      <w:r w:rsidRPr="0016044D">
        <w:rPr>
          <w:rFonts w:ascii="Times New Roman" w:eastAsia="Times New Roman" w:hAnsi="Times New Roman" w:cs="Times New Roman"/>
          <w:b/>
          <w:sz w:val="24"/>
          <w:szCs w:val="24"/>
          <w:lang w:eastAsia="pt-BR"/>
        </w:rPr>
        <w:t xml:space="preserve">História da Educação no Brasil. </w:t>
      </w:r>
      <w:r w:rsidRPr="0016044D">
        <w:rPr>
          <w:rFonts w:ascii="Times New Roman" w:eastAsia="Times New Roman" w:hAnsi="Times New Roman" w:cs="Times New Roman"/>
          <w:sz w:val="24"/>
          <w:szCs w:val="24"/>
          <w:lang w:eastAsia="pt-BR"/>
        </w:rPr>
        <w:t>Petrópolis, Vozes, 1986.</w:t>
      </w:r>
    </w:p>
    <w:p w14:paraId="70401116" w14:textId="77777777" w:rsidR="00AA685F" w:rsidRPr="0016044D" w:rsidRDefault="00AA685F" w:rsidP="0016044D">
      <w:pPr>
        <w:widowControl w:val="0"/>
        <w:suppressAutoHyphens/>
        <w:spacing w:after="0" w:line="240" w:lineRule="auto"/>
        <w:rPr>
          <w:rFonts w:ascii="Times New Roman" w:eastAsia="Times New Roman" w:hAnsi="Times New Roman" w:cs="Times New Roman"/>
          <w:sz w:val="24"/>
          <w:szCs w:val="24"/>
          <w:highlight w:val="white"/>
          <w:lang w:eastAsia="pt-BR"/>
        </w:rPr>
      </w:pPr>
    </w:p>
    <w:p w14:paraId="4EC20304" w14:textId="573AF17E" w:rsidR="00BC2367" w:rsidRPr="0016044D" w:rsidRDefault="00AA685F" w:rsidP="0016044D">
      <w:pPr>
        <w:widowControl w:val="0"/>
        <w:suppressAutoHyphens/>
        <w:spacing w:after="0" w:line="240" w:lineRule="auto"/>
        <w:rPr>
          <w:rFonts w:ascii="Times New Roman" w:hAnsi="Times New Roman" w:cs="Times New Roman"/>
          <w:sz w:val="24"/>
          <w:szCs w:val="24"/>
        </w:rPr>
      </w:pPr>
      <w:r w:rsidRPr="0016044D">
        <w:rPr>
          <w:rFonts w:ascii="Times New Roman" w:eastAsia="Times New Roman" w:hAnsi="Times New Roman" w:cs="Times New Roman"/>
          <w:sz w:val="24"/>
          <w:szCs w:val="24"/>
          <w:highlight w:val="white"/>
          <w:lang w:eastAsia="pt-BR"/>
        </w:rPr>
        <w:t xml:space="preserve">UTFPR. </w:t>
      </w:r>
      <w:r w:rsidRPr="0016044D">
        <w:rPr>
          <w:rFonts w:ascii="Times New Roman" w:eastAsia="Times New Roman" w:hAnsi="Times New Roman" w:cs="Times New Roman"/>
          <w:sz w:val="24"/>
          <w:szCs w:val="24"/>
          <w:lang w:eastAsia="pt-BR"/>
        </w:rPr>
        <w:t xml:space="preserve">Universidade Tecnológica Federal do Paraná. </w:t>
      </w:r>
      <w:r w:rsidRPr="0016044D">
        <w:rPr>
          <w:rFonts w:ascii="Times New Roman" w:eastAsia="Times New Roman" w:hAnsi="Times New Roman" w:cs="Times New Roman"/>
          <w:b/>
          <w:bCs/>
          <w:sz w:val="24"/>
          <w:szCs w:val="24"/>
          <w:lang w:eastAsia="pt-BR"/>
        </w:rPr>
        <w:t xml:space="preserve">Sobre a UTFPR. </w:t>
      </w:r>
      <w:r w:rsidRPr="0016044D">
        <w:rPr>
          <w:rFonts w:ascii="Times New Roman" w:eastAsia="Times New Roman" w:hAnsi="Times New Roman" w:cs="Times New Roman"/>
          <w:sz w:val="24"/>
          <w:szCs w:val="24"/>
          <w:lang w:eastAsia="pt-BR"/>
        </w:rPr>
        <w:t>2017. Disponível em: http://portal.utfpr.edu.br/institucional/sobre-a-utfpr-1. Acesso em: 26 jun. 2022.</w:t>
      </w:r>
    </w:p>
    <w:sectPr w:rsidR="00BC2367" w:rsidRPr="0016044D">
      <w:headerReference w:type="default" r:id="rId11"/>
      <w:footerReference w:type="default" r:id="rId12"/>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BACCC" w14:textId="77777777" w:rsidR="00DB23B3" w:rsidRDefault="00DB23B3">
      <w:pPr>
        <w:spacing w:line="240" w:lineRule="auto"/>
      </w:pPr>
      <w:r>
        <w:separator/>
      </w:r>
    </w:p>
  </w:endnote>
  <w:endnote w:type="continuationSeparator" w:id="0">
    <w:p w14:paraId="03605AF0" w14:textId="77777777" w:rsidR="00DB23B3" w:rsidRDefault="00DB23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08EFA" w14:textId="77777777" w:rsidR="00BC2367" w:rsidRDefault="00CA018B">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2434BA0E" wp14:editId="15D25E31">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4EF9CA30" w14:textId="77777777" w:rsidR="00BC2367" w:rsidRDefault="00BC2367">
    <w:pPr>
      <w:pStyle w:val="Rodap"/>
      <w:jc w:val="both"/>
      <w:rPr>
        <w:rFonts w:ascii="Times New Roman" w:hAnsi="Times New Roman" w:cs="Times New Roman"/>
        <w:sz w:val="20"/>
        <w:szCs w:val="20"/>
      </w:rPr>
    </w:pPr>
  </w:p>
  <w:p w14:paraId="5FCE6435" w14:textId="77777777" w:rsidR="00BC2367" w:rsidRDefault="00CA018B">
    <w:pPr>
      <w:pStyle w:val="Rodap"/>
      <w:jc w:val="both"/>
      <w:rPr>
        <w:rFonts w:ascii="Times New Roman" w:hAnsi="Times New Roman" w:cs="Times New Roman"/>
        <w:sz w:val="20"/>
        <w:szCs w:val="20"/>
      </w:rPr>
    </w:pPr>
    <w:r>
      <w:rPr>
        <w:rFonts w:ascii="Times New Roman" w:hAnsi="Times New Roman" w:cs="Times New Roman"/>
        <w:sz w:val="20"/>
        <w:szCs w:val="20"/>
      </w:rPr>
      <w:t>VI SEDRES. Seminário de Desenvolvimento Regional, Estado e Sociedade. Crato - Ce, 06 a 08 de dezembro de 2022. ISSN 2358-4408.</w:t>
    </w:r>
  </w:p>
  <w:p w14:paraId="0BE73E1E" w14:textId="77777777" w:rsidR="00BC2367" w:rsidRDefault="00BC2367">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0E626" w14:textId="77777777" w:rsidR="00DB23B3" w:rsidRDefault="00DB23B3">
      <w:pPr>
        <w:spacing w:after="0"/>
      </w:pPr>
      <w:r>
        <w:separator/>
      </w:r>
    </w:p>
  </w:footnote>
  <w:footnote w:type="continuationSeparator" w:id="0">
    <w:p w14:paraId="2D1E5C46" w14:textId="77777777" w:rsidR="00DB23B3" w:rsidRDefault="00DB23B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FFDDA" w14:textId="77777777" w:rsidR="00BC2367" w:rsidRDefault="00CA018B">
    <w:pPr>
      <w:pStyle w:val="Cabealho"/>
      <w:jc w:val="center"/>
    </w:pPr>
    <w:r>
      <w:rPr>
        <w:noProof/>
      </w:rPr>
      <mc:AlternateContent>
        <mc:Choice Requires="wps">
          <w:drawing>
            <wp:anchor distT="0" distB="0" distL="114300" distR="114300" simplePos="0" relativeHeight="251660288" behindDoc="1" locked="0" layoutInCell="1" allowOverlap="1" wp14:anchorId="382D4B04" wp14:editId="3CA3A40E">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6CD9917D" wp14:editId="71AF5188">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6DD7C89D" wp14:editId="0A3812C5">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5D7A584E" w14:textId="77777777" w:rsidR="00BC2367" w:rsidRDefault="00BC2367">
    <w:pPr>
      <w:pStyle w:val="Cabealho"/>
      <w:jc w:val="center"/>
    </w:pPr>
  </w:p>
  <w:p w14:paraId="399A8672" w14:textId="77777777" w:rsidR="00BC2367" w:rsidRDefault="00BC2367">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819A5"/>
    <w:multiLevelType w:val="hybridMultilevel"/>
    <w:tmpl w:val="6D98E35E"/>
    <w:lvl w:ilvl="0" w:tplc="4D7E3640">
      <w:start w:val="1"/>
      <w:numFmt w:val="lowerLetter"/>
      <w:lvlText w:val="%1)"/>
      <w:lvlJc w:val="left"/>
      <w:pPr>
        <w:ind w:left="720" w:hanging="360"/>
      </w:pPr>
      <w:rPr>
        <w:rFonts w:ascii="Times New Roman" w:eastAsia="Times New Roman" w:hAnsi="Times New Roman" w:cs="Times New Roman"/>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4EFE3B49"/>
    <w:multiLevelType w:val="hybridMultilevel"/>
    <w:tmpl w:val="4C9422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63CA7BAF"/>
    <w:multiLevelType w:val="multilevel"/>
    <w:tmpl w:val="8376CEFA"/>
    <w:lvl w:ilvl="0">
      <w:start w:val="1"/>
      <w:numFmt w:val="lowerLetter"/>
      <w:lvlText w:val="%1)"/>
      <w:lvlJc w:val="left"/>
      <w:pPr>
        <w:tabs>
          <w:tab w:val="num" w:pos="0"/>
        </w:tabs>
        <w:ind w:left="720" w:hanging="360"/>
      </w:pPr>
      <w:rPr>
        <w:strike w:val="0"/>
        <w:dstrike w:val="0"/>
        <w:u w:val="none"/>
        <w:effect w:val="none"/>
      </w:rPr>
    </w:lvl>
    <w:lvl w:ilvl="1">
      <w:start w:val="1"/>
      <w:numFmt w:val="lowerRoman"/>
      <w:lvlText w:val="%2)"/>
      <w:lvlJc w:val="right"/>
      <w:pPr>
        <w:tabs>
          <w:tab w:val="num" w:pos="0"/>
        </w:tabs>
        <w:ind w:left="1440" w:hanging="360"/>
      </w:pPr>
      <w:rPr>
        <w:strike w:val="0"/>
        <w:dstrike w:val="0"/>
        <w:u w:val="none"/>
        <w:effect w:val="none"/>
      </w:rPr>
    </w:lvl>
    <w:lvl w:ilvl="2">
      <w:start w:val="1"/>
      <w:numFmt w:val="decimal"/>
      <w:lvlText w:val="%3)"/>
      <w:lvlJc w:val="left"/>
      <w:pPr>
        <w:tabs>
          <w:tab w:val="num" w:pos="0"/>
        </w:tabs>
        <w:ind w:left="2160" w:hanging="360"/>
      </w:pPr>
      <w:rPr>
        <w:strike w:val="0"/>
        <w:dstrike w:val="0"/>
        <w:u w:val="none"/>
        <w:effect w:val="none"/>
      </w:rPr>
    </w:lvl>
    <w:lvl w:ilvl="3">
      <w:start w:val="1"/>
      <w:numFmt w:val="lowerLetter"/>
      <w:lvlText w:val="(%4)"/>
      <w:lvlJc w:val="left"/>
      <w:pPr>
        <w:tabs>
          <w:tab w:val="num" w:pos="0"/>
        </w:tabs>
        <w:ind w:left="2880" w:hanging="360"/>
      </w:pPr>
      <w:rPr>
        <w:strike w:val="0"/>
        <w:dstrike w:val="0"/>
        <w:u w:val="none"/>
        <w:effect w:val="none"/>
      </w:rPr>
    </w:lvl>
    <w:lvl w:ilvl="4">
      <w:start w:val="1"/>
      <w:numFmt w:val="lowerRoman"/>
      <w:lvlText w:val="(%5)"/>
      <w:lvlJc w:val="right"/>
      <w:pPr>
        <w:tabs>
          <w:tab w:val="num" w:pos="0"/>
        </w:tabs>
        <w:ind w:left="3600" w:hanging="360"/>
      </w:pPr>
      <w:rPr>
        <w:strike w:val="0"/>
        <w:dstrike w:val="0"/>
        <w:u w:val="none"/>
        <w:effect w:val="none"/>
      </w:rPr>
    </w:lvl>
    <w:lvl w:ilvl="5">
      <w:start w:val="1"/>
      <w:numFmt w:val="decimal"/>
      <w:lvlText w:val="(%6)"/>
      <w:lvlJc w:val="left"/>
      <w:pPr>
        <w:tabs>
          <w:tab w:val="num" w:pos="0"/>
        </w:tabs>
        <w:ind w:left="4320" w:hanging="360"/>
      </w:pPr>
      <w:rPr>
        <w:strike w:val="0"/>
        <w:dstrike w:val="0"/>
        <w:u w:val="none"/>
        <w:effect w:val="none"/>
      </w:rPr>
    </w:lvl>
    <w:lvl w:ilvl="6">
      <w:start w:val="1"/>
      <w:numFmt w:val="lowerLetter"/>
      <w:lvlText w:val="%7."/>
      <w:lvlJc w:val="left"/>
      <w:pPr>
        <w:tabs>
          <w:tab w:val="num" w:pos="0"/>
        </w:tabs>
        <w:ind w:left="5040" w:hanging="360"/>
      </w:pPr>
      <w:rPr>
        <w:strike w:val="0"/>
        <w:dstrike w:val="0"/>
        <w:u w:val="none"/>
        <w:effect w:val="none"/>
      </w:rPr>
    </w:lvl>
    <w:lvl w:ilvl="7">
      <w:start w:val="1"/>
      <w:numFmt w:val="lowerRoman"/>
      <w:lvlText w:val="%8."/>
      <w:lvlJc w:val="right"/>
      <w:pPr>
        <w:tabs>
          <w:tab w:val="num" w:pos="0"/>
        </w:tabs>
        <w:ind w:left="5760" w:hanging="360"/>
      </w:pPr>
      <w:rPr>
        <w:strike w:val="0"/>
        <w:dstrike w:val="0"/>
        <w:u w:val="none"/>
        <w:effect w:val="none"/>
      </w:rPr>
    </w:lvl>
    <w:lvl w:ilvl="8">
      <w:start w:val="1"/>
      <w:numFmt w:val="decimal"/>
      <w:lvlText w:val="%9."/>
      <w:lvlJc w:val="left"/>
      <w:pPr>
        <w:tabs>
          <w:tab w:val="num" w:pos="0"/>
        </w:tabs>
        <w:ind w:left="6480" w:hanging="360"/>
      </w:pPr>
      <w:rPr>
        <w:strike w:val="0"/>
        <w:dstrike w:val="0"/>
        <w:u w:val="none"/>
        <w:effect w:val="none"/>
      </w:rPr>
    </w:lvl>
  </w:abstractNum>
  <w:num w:numId="1" w16cid:durableId="7273442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97933059">
    <w:abstractNumId w:val="1"/>
  </w:num>
  <w:num w:numId="3" w16cid:durableId="1709993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625AD"/>
    <w:rsid w:val="00077706"/>
    <w:rsid w:val="000F2C33"/>
    <w:rsid w:val="0010791D"/>
    <w:rsid w:val="0016044D"/>
    <w:rsid w:val="0017619A"/>
    <w:rsid w:val="00194FAD"/>
    <w:rsid w:val="00206A92"/>
    <w:rsid w:val="00223BBB"/>
    <w:rsid w:val="00241841"/>
    <w:rsid w:val="00255C43"/>
    <w:rsid w:val="002949C5"/>
    <w:rsid w:val="002C21EB"/>
    <w:rsid w:val="003835B1"/>
    <w:rsid w:val="003D72A2"/>
    <w:rsid w:val="00492E74"/>
    <w:rsid w:val="004D292A"/>
    <w:rsid w:val="00506CD8"/>
    <w:rsid w:val="00507F7E"/>
    <w:rsid w:val="00510F45"/>
    <w:rsid w:val="005D4F9A"/>
    <w:rsid w:val="0061005C"/>
    <w:rsid w:val="00660205"/>
    <w:rsid w:val="007A3A8D"/>
    <w:rsid w:val="007C3EAC"/>
    <w:rsid w:val="0085799B"/>
    <w:rsid w:val="0087649E"/>
    <w:rsid w:val="00921791"/>
    <w:rsid w:val="00975DE6"/>
    <w:rsid w:val="009B5E77"/>
    <w:rsid w:val="009F167A"/>
    <w:rsid w:val="009F1C44"/>
    <w:rsid w:val="00A12BDF"/>
    <w:rsid w:val="00AA3CB0"/>
    <w:rsid w:val="00AA685F"/>
    <w:rsid w:val="00AC3C6C"/>
    <w:rsid w:val="00AE33AF"/>
    <w:rsid w:val="00B101C5"/>
    <w:rsid w:val="00B51A1E"/>
    <w:rsid w:val="00BC2367"/>
    <w:rsid w:val="00BC6D50"/>
    <w:rsid w:val="00C87F92"/>
    <w:rsid w:val="00CA018B"/>
    <w:rsid w:val="00D406A9"/>
    <w:rsid w:val="00D57A3D"/>
    <w:rsid w:val="00DB23B3"/>
    <w:rsid w:val="00E50039"/>
    <w:rsid w:val="00E675CF"/>
    <w:rsid w:val="00F77696"/>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10A7B"/>
  <w15:docId w15:val="{2C659881-4280-4F6D-9750-7966A7B97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customStyle="1" w:styleId="TTULO3ABNT">
    <w:name w:val="TÍTULO 3 ABNT"/>
    <w:basedOn w:val="Normal"/>
    <w:qFormat/>
    <w:rsid w:val="00921791"/>
    <w:pPr>
      <w:tabs>
        <w:tab w:val="left" w:pos="-170"/>
        <w:tab w:val="left" w:pos="561"/>
        <w:tab w:val="left" w:pos="8547"/>
      </w:tabs>
      <w:suppressAutoHyphens/>
      <w:spacing w:after="0" w:line="360" w:lineRule="auto"/>
      <w:jc w:val="both"/>
    </w:pPr>
    <w:rPr>
      <w:rFonts w:ascii="Times New Roman" w:eastAsia="Times New Roman" w:hAnsi="Times New Roman" w:cs="Times New Roman"/>
      <w:sz w:val="24"/>
      <w:szCs w:val="24"/>
      <w:lang w:eastAsia="pt-BR"/>
    </w:rPr>
  </w:style>
  <w:style w:type="paragraph" w:styleId="Legenda">
    <w:name w:val="caption"/>
    <w:aliases w:val="Legenda Tabela ABNT"/>
    <w:basedOn w:val="Normal"/>
    <w:next w:val="Normal"/>
    <w:uiPriority w:val="35"/>
    <w:unhideWhenUsed/>
    <w:qFormat/>
    <w:rsid w:val="009F1C44"/>
    <w:pPr>
      <w:widowControl w:val="0"/>
      <w:spacing w:after="0" w:line="240" w:lineRule="auto"/>
    </w:pPr>
    <w:rPr>
      <w:rFonts w:ascii="Times New Roman" w:eastAsia="Arial" w:hAnsi="Times New Roman" w:cs="Arial"/>
      <w:iCs/>
      <w:noProof/>
      <w:sz w:val="24"/>
      <w:szCs w:val="18"/>
    </w:rPr>
  </w:style>
  <w:style w:type="paragraph" w:customStyle="1" w:styleId="EstiloLegendaABNT">
    <w:name w:val="Estilo Legenda ABNT"/>
    <w:basedOn w:val="Legenda"/>
    <w:rsid w:val="009F1C44"/>
    <w:rPr>
      <w:rFonts w:eastAsia="Times New Roman" w:cs="Times New Roman"/>
      <w:szCs w:val="20"/>
    </w:rPr>
  </w:style>
  <w:style w:type="paragraph" w:customStyle="1" w:styleId="p1">
    <w:name w:val="p1"/>
    <w:basedOn w:val="Normal"/>
    <w:rsid w:val="009F1C4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9F1C44"/>
    <w:rPr>
      <w:b/>
      <w:bCs/>
    </w:rPr>
  </w:style>
  <w:style w:type="character" w:styleId="nfase">
    <w:name w:val="Emphasis"/>
    <w:basedOn w:val="Fontepargpadro"/>
    <w:uiPriority w:val="20"/>
    <w:qFormat/>
    <w:rsid w:val="009F1C44"/>
    <w:rPr>
      <w:i/>
      <w:iCs/>
    </w:rPr>
  </w:style>
  <w:style w:type="character" w:styleId="Hyperlink">
    <w:name w:val="Hyperlink"/>
    <w:basedOn w:val="Fontepargpadro"/>
    <w:uiPriority w:val="99"/>
    <w:unhideWhenUsed/>
    <w:rsid w:val="009F1C44"/>
    <w:rPr>
      <w:color w:val="0000FF"/>
      <w:u w:val="single"/>
    </w:rPr>
  </w:style>
  <w:style w:type="character" w:customStyle="1" w:styleId="ncoradanotaderodap">
    <w:name w:val="Âncora da nota de rodapé"/>
    <w:rsid w:val="009F1C44"/>
    <w:rPr>
      <w:vertAlign w:val="superscript"/>
    </w:rPr>
  </w:style>
  <w:style w:type="character" w:customStyle="1" w:styleId="Caracteresdenotaderodap">
    <w:name w:val="Caracteres de nota de rodapé"/>
    <w:qFormat/>
    <w:rsid w:val="009F1C44"/>
  </w:style>
  <w:style w:type="table" w:styleId="Tabelacomgrade">
    <w:name w:val="Table Grid"/>
    <w:basedOn w:val="Tabelanormal"/>
    <w:uiPriority w:val="39"/>
    <w:rsid w:val="009F1C4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9F1C44"/>
    <w:pPr>
      <w:ind w:left="720"/>
      <w:contextualSpacing/>
    </w:pPr>
  </w:style>
  <w:style w:type="character" w:styleId="MenoPendente">
    <w:name w:val="Unresolved Mention"/>
    <w:basedOn w:val="Fontepargpadro"/>
    <w:uiPriority w:val="99"/>
    <w:semiHidden/>
    <w:unhideWhenUsed/>
    <w:rsid w:val="009F1C44"/>
    <w:rPr>
      <w:color w:val="605E5C"/>
      <w:shd w:val="clear" w:color="auto" w:fill="E1DFDD"/>
    </w:rPr>
  </w:style>
  <w:style w:type="paragraph" w:styleId="Textodenotaderodap">
    <w:name w:val="footnote text"/>
    <w:basedOn w:val="Normal"/>
    <w:link w:val="TextodenotaderodapChar"/>
    <w:uiPriority w:val="99"/>
    <w:semiHidden/>
    <w:unhideWhenUsed/>
    <w:rsid w:val="009F1C44"/>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F1C44"/>
    <w:rPr>
      <w:lang w:eastAsia="en-US"/>
    </w:rPr>
  </w:style>
  <w:style w:type="character" w:styleId="Refdenotaderodap">
    <w:name w:val="footnote reference"/>
    <w:basedOn w:val="Fontepargpadro"/>
    <w:uiPriority w:val="99"/>
    <w:semiHidden/>
    <w:unhideWhenUsed/>
    <w:rsid w:val="009F1C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simon\Downloads\Artigo\z-PDA_2020_Unidades_Rede_Federal_EPCT.csv"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Planilha1!$B$1</c:f>
              <c:strCache>
                <c:ptCount val="1"/>
                <c:pt idx="0">
                  <c:v>Pré-Expansão (até 2004)</c:v>
                </c:pt>
              </c:strCache>
            </c:strRef>
          </c:tx>
          <c:spPr>
            <a:solidFill>
              <a:srgbClr val="FF0000"/>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Planilha1!$A$2:$A$6</c:f>
              <c:strCache>
                <c:ptCount val="5"/>
                <c:pt idx="0">
                  <c:v>Centro Oeste</c:v>
                </c:pt>
                <c:pt idx="1">
                  <c:v>Nordeste</c:v>
                </c:pt>
                <c:pt idx="2">
                  <c:v>Norte</c:v>
                </c:pt>
                <c:pt idx="3">
                  <c:v>Sudeste</c:v>
                </c:pt>
                <c:pt idx="4">
                  <c:v>Sul</c:v>
                </c:pt>
              </c:strCache>
              <c:extLst/>
            </c:strRef>
          </c:cat>
          <c:val>
            <c:numRef>
              <c:f>Planilha1!$B$2:$B$6</c:f>
              <c:numCache>
                <c:formatCode>General</c:formatCode>
                <c:ptCount val="5"/>
                <c:pt idx="0">
                  <c:v>9</c:v>
                </c:pt>
                <c:pt idx="1">
                  <c:v>45</c:v>
                </c:pt>
                <c:pt idx="2">
                  <c:v>19</c:v>
                </c:pt>
                <c:pt idx="3">
                  <c:v>40</c:v>
                </c:pt>
                <c:pt idx="4">
                  <c:v>28</c:v>
                </c:pt>
              </c:numCache>
              <c:extLst/>
            </c:numRef>
          </c:val>
          <c:extLst>
            <c:ext xmlns:c16="http://schemas.microsoft.com/office/drawing/2014/chart" uri="{C3380CC4-5D6E-409C-BE32-E72D297353CC}">
              <c16:uniqueId val="{00000000-A37B-4539-935D-681A557B48EA}"/>
            </c:ext>
          </c:extLst>
        </c:ser>
        <c:ser>
          <c:idx val="1"/>
          <c:order val="1"/>
          <c:tx>
            <c:strRef>
              <c:f>Planilha1!$C$1</c:f>
              <c:strCache>
                <c:ptCount val="1"/>
                <c:pt idx="0">
                  <c:v>Expansão (2005 a 2014)</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Planilha1!$A$2:$A$6</c:f>
              <c:strCache>
                <c:ptCount val="5"/>
                <c:pt idx="0">
                  <c:v>Centro Oeste</c:v>
                </c:pt>
                <c:pt idx="1">
                  <c:v>Nordeste</c:v>
                </c:pt>
                <c:pt idx="2">
                  <c:v>Norte</c:v>
                </c:pt>
                <c:pt idx="3">
                  <c:v>Sudeste</c:v>
                </c:pt>
                <c:pt idx="4">
                  <c:v>Sul</c:v>
                </c:pt>
              </c:strCache>
              <c:extLst/>
            </c:strRef>
          </c:cat>
          <c:val>
            <c:numRef>
              <c:f>Planilha1!$C$2:$C$6</c:f>
              <c:numCache>
                <c:formatCode>General</c:formatCode>
                <c:ptCount val="5"/>
                <c:pt idx="0">
                  <c:v>48</c:v>
                </c:pt>
                <c:pt idx="1">
                  <c:v>137</c:v>
                </c:pt>
                <c:pt idx="2">
                  <c:v>47</c:v>
                </c:pt>
                <c:pt idx="3">
                  <c:v>117</c:v>
                </c:pt>
                <c:pt idx="4">
                  <c:v>85</c:v>
                </c:pt>
              </c:numCache>
              <c:extLst/>
            </c:numRef>
          </c:val>
          <c:extLst>
            <c:ext xmlns:c16="http://schemas.microsoft.com/office/drawing/2014/chart" uri="{C3380CC4-5D6E-409C-BE32-E72D297353CC}">
              <c16:uniqueId val="{00000001-A37B-4539-935D-681A557B48EA}"/>
            </c:ext>
          </c:extLst>
        </c:ser>
        <c:ser>
          <c:idx val="2"/>
          <c:order val="2"/>
          <c:tx>
            <c:strRef>
              <c:f>Planilha1!$D$1</c:f>
              <c:strCache>
                <c:ptCount val="1"/>
                <c:pt idx="0">
                  <c:v>Pós-Expansão (2015 a 2020)</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Planilha1!$A$2:$A$6</c:f>
              <c:strCache>
                <c:ptCount val="5"/>
                <c:pt idx="0">
                  <c:v>Centro Oeste</c:v>
                </c:pt>
                <c:pt idx="1">
                  <c:v>Nordeste</c:v>
                </c:pt>
                <c:pt idx="2">
                  <c:v>Norte</c:v>
                </c:pt>
                <c:pt idx="3">
                  <c:v>Sudeste</c:v>
                </c:pt>
                <c:pt idx="4">
                  <c:v>Sul</c:v>
                </c:pt>
              </c:strCache>
              <c:extLst/>
            </c:strRef>
          </c:cat>
          <c:val>
            <c:numRef>
              <c:f>Planilha1!$D$2:$D$6</c:f>
              <c:numCache>
                <c:formatCode>General</c:formatCode>
                <c:ptCount val="5"/>
                <c:pt idx="0">
                  <c:v>9</c:v>
                </c:pt>
                <c:pt idx="1">
                  <c:v>39</c:v>
                </c:pt>
                <c:pt idx="2">
                  <c:v>13</c:v>
                </c:pt>
                <c:pt idx="3">
                  <c:v>23</c:v>
                </c:pt>
                <c:pt idx="4">
                  <c:v>6</c:v>
                </c:pt>
              </c:numCache>
              <c:extLst/>
            </c:numRef>
          </c:val>
          <c:extLst>
            <c:ext xmlns:c16="http://schemas.microsoft.com/office/drawing/2014/chart" uri="{C3380CC4-5D6E-409C-BE32-E72D297353CC}">
              <c16:uniqueId val="{00000002-A37B-4539-935D-681A557B48EA}"/>
            </c:ext>
          </c:extLst>
        </c:ser>
        <c:ser>
          <c:idx val="3"/>
          <c:order val="3"/>
          <c:tx>
            <c:strRef>
              <c:f>Planilha1!$E$1</c:f>
              <c:strCache>
                <c:ptCount val="1"/>
                <c:pt idx="0">
                  <c:v>Total</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Planilha1!$A$2:$A$6</c:f>
              <c:strCache>
                <c:ptCount val="5"/>
                <c:pt idx="0">
                  <c:v>Centro Oeste</c:v>
                </c:pt>
                <c:pt idx="1">
                  <c:v>Nordeste</c:v>
                </c:pt>
                <c:pt idx="2">
                  <c:v>Norte</c:v>
                </c:pt>
                <c:pt idx="3">
                  <c:v>Sudeste</c:v>
                </c:pt>
                <c:pt idx="4">
                  <c:v>Sul</c:v>
                </c:pt>
              </c:strCache>
              <c:extLst/>
            </c:strRef>
          </c:cat>
          <c:val>
            <c:numRef>
              <c:f>Planilha1!$E$2:$E$6</c:f>
              <c:numCache>
                <c:formatCode>General</c:formatCode>
                <c:ptCount val="5"/>
                <c:pt idx="0">
                  <c:v>66</c:v>
                </c:pt>
                <c:pt idx="1">
                  <c:v>221</c:v>
                </c:pt>
                <c:pt idx="2">
                  <c:v>79</c:v>
                </c:pt>
                <c:pt idx="3">
                  <c:v>180</c:v>
                </c:pt>
                <c:pt idx="4">
                  <c:v>119</c:v>
                </c:pt>
              </c:numCache>
              <c:extLst/>
            </c:numRef>
          </c:val>
          <c:extLst>
            <c:ext xmlns:c16="http://schemas.microsoft.com/office/drawing/2014/chart" uri="{C3380CC4-5D6E-409C-BE32-E72D297353CC}">
              <c16:uniqueId val="{00000003-A37B-4539-935D-681A557B48EA}"/>
            </c:ext>
          </c:extLst>
        </c:ser>
        <c:dLbls>
          <c:showLegendKey val="0"/>
          <c:showVal val="1"/>
          <c:showCatName val="0"/>
          <c:showSerName val="0"/>
          <c:showPercent val="0"/>
          <c:showBubbleSize val="0"/>
        </c:dLbls>
        <c:gapWidth val="150"/>
        <c:axId val="570888223"/>
        <c:axId val="570889887"/>
      </c:barChart>
      <c:catAx>
        <c:axId val="57088822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crossAx val="570889887"/>
        <c:crosses val="autoZero"/>
        <c:auto val="1"/>
        <c:lblAlgn val="ctr"/>
        <c:lblOffset val="100"/>
        <c:noMultiLvlLbl val="0"/>
      </c:catAx>
      <c:valAx>
        <c:axId val="5708898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crossAx val="570888223"/>
        <c:crosses val="autoZero"/>
        <c:crossBetween val="between"/>
      </c:valAx>
      <c:spPr>
        <a:noFill/>
        <a:ln>
          <a:noFill/>
        </a:ln>
        <a:effectLst/>
      </c:spPr>
    </c:plotArea>
    <c:legend>
      <c:legendPos val="b"/>
      <c:layout>
        <c:manualLayout>
          <c:xMode val="edge"/>
          <c:yMode val="edge"/>
          <c:x val="8.8807717247228156E-3"/>
          <c:y val="0.84056439461259691"/>
          <c:w val="0.9690093114945354"/>
          <c:h val="0.13588310293401745"/>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pt-B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25</Pages>
  <Words>8156</Words>
  <Characters>44047</Characters>
  <Application>Microsoft Office Word</Application>
  <DocSecurity>0</DocSecurity>
  <Lines>367</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Simone Manini</cp:lastModifiedBy>
  <cp:revision>33</cp:revision>
  <dcterms:created xsi:type="dcterms:W3CDTF">2022-05-20T13:04:00Z</dcterms:created>
  <dcterms:modified xsi:type="dcterms:W3CDTF">2022-07-07T18:51:00Z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